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21C5D" w14:textId="77777777" w:rsidR="00BF1282" w:rsidRDefault="00BF1282" w:rsidP="00BF1282">
      <w:pPr>
        <w:pStyle w:val="a"/>
      </w:pPr>
      <w:r>
        <w:t>Extended Data Figures</w:t>
      </w:r>
      <w:r>
        <w:rPr>
          <w:rFonts w:eastAsiaTheme="minorEastAsia" w:hint="eastAsia"/>
        </w:rPr>
        <w:t xml:space="preserve"> </w:t>
      </w:r>
    </w:p>
    <w:p w14:paraId="2A06F69A" w14:textId="77777777" w:rsidR="00BF1282" w:rsidRDefault="00BF1282" w:rsidP="00BF1282">
      <w:pPr>
        <w:pStyle w:val="a3"/>
        <w:spacing w:line="480" w:lineRule="auto"/>
        <w:ind w:right="240" w:firstLineChars="0" w:firstLine="0"/>
      </w:pPr>
      <w:r>
        <w:rPr>
          <w:b/>
          <w:bCs/>
        </w:rPr>
        <w:t>Extended Data Fig. 1</w:t>
      </w:r>
      <w:r>
        <w:rPr>
          <w:rFonts w:hint="eastAsia"/>
          <w:b/>
          <w:bCs/>
        </w:rPr>
        <w:t xml:space="preserve"> </w:t>
      </w:r>
      <w:r>
        <w:rPr>
          <w:b/>
          <w:bCs/>
        </w:rPr>
        <w:t>Flowchart for simulation of month</w:t>
      </w:r>
      <w:r>
        <w:rPr>
          <w:rFonts w:hint="eastAsia"/>
          <w:b/>
          <w:bCs/>
        </w:rPr>
        <w:t>ly</w:t>
      </w:r>
      <w:r>
        <w:rPr>
          <w:b/>
          <w:bCs/>
        </w:rPr>
        <w:t xml:space="preserve"> </w:t>
      </w:r>
      <w:r>
        <w:rPr>
          <w:rFonts w:hint="eastAsia"/>
          <w:b/>
          <w:bCs/>
        </w:rPr>
        <w:t xml:space="preserve">species </w:t>
      </w:r>
      <w:r>
        <w:rPr>
          <w:b/>
          <w:bCs/>
        </w:rPr>
        <w:t>distribution</w:t>
      </w:r>
      <w:r>
        <w:rPr>
          <w:rFonts w:hint="eastAsia"/>
          <w:b/>
          <w:bCs/>
        </w:rPr>
        <w:t xml:space="preserve">. </w:t>
      </w:r>
      <w:r>
        <w:t>The methodology</w:t>
      </w:r>
      <w:r>
        <w:rPr>
          <w:rFonts w:hint="eastAsia"/>
        </w:rPr>
        <w:t xml:space="preserve"> for this study</w:t>
      </w:r>
      <w:r>
        <w:t xml:space="preserve"> is divided into three main parts</w:t>
      </w:r>
      <w:r>
        <w:rPr>
          <w:rFonts w:hint="eastAsia"/>
        </w:rPr>
        <w:t>. First, occurrences</w:t>
      </w:r>
      <w:r>
        <w:t xml:space="preserve"> </w:t>
      </w:r>
      <w:r>
        <w:rPr>
          <w:rFonts w:hint="eastAsia"/>
        </w:rPr>
        <w:t xml:space="preserve">data were sourced from </w:t>
      </w:r>
      <w:r>
        <w:t>the Global Biodiversity Information Facility (GBIF)</w:t>
      </w:r>
      <w:r>
        <w:rPr>
          <w:rFonts w:hint="eastAsia"/>
        </w:rPr>
        <w:t>, and environmental data were derived from g</w:t>
      </w:r>
      <w:r>
        <w:t>lobal climate and weather data</w:t>
      </w:r>
      <w:r>
        <w:rPr>
          <w:rFonts w:hint="eastAsia"/>
        </w:rPr>
        <w:t xml:space="preserve"> (WorldClim), as well as data layers representing water proportion and elevation. Range data for each species were u</w:t>
      </w:r>
      <w:r>
        <w:t>tilized to eliminate outliers</w:t>
      </w:r>
      <w:r>
        <w:rPr>
          <w:rFonts w:hint="eastAsia"/>
        </w:rPr>
        <w:t xml:space="preserve">. Second, we thinned </w:t>
      </w:r>
      <w:r>
        <w:t>species data</w:t>
      </w:r>
      <w:r>
        <w:rPr>
          <w:rFonts w:hint="eastAsia"/>
        </w:rPr>
        <w:t>,</w:t>
      </w:r>
      <w:r>
        <w:t xml:space="preserve"> followed by a </w:t>
      </w:r>
      <w:r>
        <w:rPr>
          <w:rFonts w:hint="eastAsia"/>
        </w:rPr>
        <w:t>careful</w:t>
      </w:r>
      <w:r>
        <w:t xml:space="preserve"> process of filtering, cleaning, and selection.</w:t>
      </w:r>
      <w:r>
        <w:rPr>
          <w:rFonts w:hint="eastAsia"/>
        </w:rPr>
        <w:t xml:space="preserve"> </w:t>
      </w:r>
      <w:r>
        <w:t xml:space="preserve">Environmental variables were subjected to rigorous selection </w:t>
      </w:r>
      <w:r>
        <w:rPr>
          <w:rFonts w:hint="eastAsia"/>
        </w:rPr>
        <w:t xml:space="preserve">to avoid </w:t>
      </w:r>
      <w:r>
        <w:t xml:space="preserve">collinearity and resampling </w:t>
      </w:r>
      <w:r>
        <w:rPr>
          <w:rFonts w:hint="eastAsia"/>
        </w:rPr>
        <w:t>to a common spatial resolution</w:t>
      </w:r>
      <w:r>
        <w:t>.</w:t>
      </w:r>
      <w:r>
        <w:rPr>
          <w:rFonts w:hint="eastAsia"/>
        </w:rPr>
        <w:t xml:space="preserve"> Third, </w:t>
      </w:r>
      <w:r>
        <w:t>simulation</w:t>
      </w:r>
      <w:r>
        <w:rPr>
          <w:rFonts w:hint="eastAsia"/>
        </w:rPr>
        <w:t>s</w:t>
      </w:r>
      <w:r>
        <w:t xml:space="preserve"> </w:t>
      </w:r>
      <w:r>
        <w:rPr>
          <w:rFonts w:hint="eastAsia"/>
        </w:rPr>
        <w:t>were</w:t>
      </w:r>
      <w:r>
        <w:t xml:space="preserve"> conducted on a month</w:t>
      </w:r>
      <w:r>
        <w:rPr>
          <w:rFonts w:hint="eastAsia"/>
        </w:rPr>
        <w:t>ly</w:t>
      </w:r>
      <w:r>
        <w:t xml:space="preserve"> basis to capture temporal variation in species distribution.</w:t>
      </w:r>
      <w:r>
        <w:rPr>
          <w:rFonts w:hint="eastAsia"/>
        </w:rPr>
        <w:t xml:space="preserve"> W</w:t>
      </w:r>
      <w:r>
        <w:t>e employed an ensemble approach, averaging the outcomes of three models—</w:t>
      </w:r>
      <w:r>
        <w:rPr>
          <w:rFonts w:hint="eastAsia"/>
        </w:rPr>
        <w:t>r</w:t>
      </w:r>
      <w:r>
        <w:t xml:space="preserve">andom </w:t>
      </w:r>
      <w:r>
        <w:rPr>
          <w:rFonts w:hint="eastAsia"/>
        </w:rPr>
        <w:t>f</w:t>
      </w:r>
      <w:r>
        <w:t xml:space="preserve">orests, </w:t>
      </w:r>
      <w:r>
        <w:rPr>
          <w:rFonts w:hint="eastAsia"/>
        </w:rPr>
        <w:t>m</w:t>
      </w:r>
      <w:r>
        <w:t xml:space="preserve">aximum </w:t>
      </w:r>
      <w:r>
        <w:rPr>
          <w:rFonts w:hint="eastAsia"/>
        </w:rPr>
        <w:t>e</w:t>
      </w:r>
      <w:r>
        <w:t>ntropy, and e</w:t>
      </w:r>
      <w:r>
        <w:rPr>
          <w:rFonts w:hint="eastAsia"/>
        </w:rPr>
        <w:t>x</w:t>
      </w:r>
      <w:r>
        <w:t xml:space="preserve">treme </w:t>
      </w:r>
      <w:r>
        <w:rPr>
          <w:rFonts w:hint="eastAsia"/>
        </w:rPr>
        <w:t>g</w:t>
      </w:r>
      <w:r>
        <w:t xml:space="preserve">radient </w:t>
      </w:r>
      <w:r>
        <w:rPr>
          <w:rFonts w:hint="eastAsia"/>
        </w:rPr>
        <w:t>b</w:t>
      </w:r>
      <w:r>
        <w:t>oosting—to derive prediction</w:t>
      </w:r>
      <w:r>
        <w:rPr>
          <w:rFonts w:hint="eastAsia"/>
        </w:rPr>
        <w:t>s</w:t>
      </w:r>
      <w:r>
        <w:t>.</w:t>
      </w:r>
      <w:r>
        <w:rPr>
          <w:rFonts w:hint="eastAsia"/>
        </w:rPr>
        <w:t xml:space="preserve"> </w:t>
      </w:r>
      <w:r>
        <w:t>The</w:t>
      </w:r>
      <w:r>
        <w:rPr>
          <w:rFonts w:hint="eastAsia"/>
        </w:rPr>
        <w:t>n, the</w:t>
      </w:r>
      <w:r>
        <w:t xml:space="preserve"> </w:t>
      </w:r>
      <w:r>
        <w:rPr>
          <w:rFonts w:hint="eastAsia"/>
        </w:rPr>
        <w:t>r</w:t>
      </w:r>
      <w:r>
        <w:t xml:space="preserve">eceiver </w:t>
      </w:r>
      <w:r>
        <w:rPr>
          <w:rFonts w:hint="eastAsia"/>
        </w:rPr>
        <w:t>o</w:t>
      </w:r>
      <w:r>
        <w:t xml:space="preserve">perating </w:t>
      </w:r>
      <w:r>
        <w:rPr>
          <w:rFonts w:hint="eastAsia"/>
        </w:rPr>
        <w:t>c</w:t>
      </w:r>
      <w:r>
        <w:t>haracteristic (ROC) curve was used to assess performance of the simulations.</w:t>
      </w:r>
      <w:r>
        <w:rPr>
          <w:rFonts w:hint="eastAsia"/>
        </w:rPr>
        <w:t xml:space="preserve"> </w:t>
      </w:r>
      <w:r>
        <w:t>Ultimately</w:t>
      </w:r>
      <w:r>
        <w:rPr>
          <w:rFonts w:hint="eastAsia"/>
        </w:rPr>
        <w:t>, t</w:t>
      </w:r>
      <w:r>
        <w:t>h</w:t>
      </w:r>
      <w:r>
        <w:rPr>
          <w:rFonts w:hint="eastAsia"/>
        </w:rPr>
        <w:t>is</w:t>
      </w:r>
      <w:r>
        <w:t xml:space="preserve"> </w:t>
      </w:r>
      <w:r>
        <w:rPr>
          <w:rFonts w:hint="eastAsia"/>
        </w:rPr>
        <w:t>approach allowed</w:t>
      </w:r>
      <w:r>
        <w:t xml:space="preserve"> successful</w:t>
      </w:r>
      <w:r>
        <w:rPr>
          <w:rFonts w:hint="eastAsia"/>
        </w:rPr>
        <w:t>ly</w:t>
      </w:r>
      <w:r>
        <w:t xml:space="preserve"> modell</w:t>
      </w:r>
      <w:r>
        <w:rPr>
          <w:rFonts w:hint="eastAsia"/>
        </w:rPr>
        <w:t>ing of</w:t>
      </w:r>
      <w:r>
        <w:t xml:space="preserve"> 779 waterbird species, resulting in </w:t>
      </w:r>
      <w:r>
        <w:rPr>
          <w:rFonts w:hint="eastAsia"/>
        </w:rPr>
        <w:t>9036</w:t>
      </w:r>
      <w:r>
        <w:t xml:space="preserve"> monthly distribution maps.</w:t>
      </w:r>
      <w:r>
        <w:rPr>
          <w:rFonts w:hint="eastAsia"/>
        </w:rPr>
        <w:t xml:space="preserve"> </w:t>
      </w:r>
    </w:p>
    <w:p w14:paraId="682F2B1D" w14:textId="77777777" w:rsidR="00BF1282" w:rsidRDefault="00BF1282" w:rsidP="00BF1282">
      <w:pPr>
        <w:pStyle w:val="a3"/>
        <w:spacing w:line="480" w:lineRule="auto"/>
        <w:ind w:right="238" w:firstLineChars="83" w:firstLine="199"/>
      </w:pPr>
      <w:r>
        <w:rPr>
          <w:noProof/>
        </w:rPr>
        <w:drawing>
          <wp:inline distT="0" distB="0" distL="0" distR="0" wp14:anchorId="75A5192B" wp14:editId="2361A564">
            <wp:extent cx="4975860" cy="2136775"/>
            <wp:effectExtent l="0" t="0" r="0" b="0"/>
            <wp:docPr id="105021495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14957" name="图片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999274" cy="2147121"/>
                    </a:xfrm>
                    <a:prstGeom prst="rect">
                      <a:avLst/>
                    </a:prstGeom>
                    <a:noFill/>
                  </pic:spPr>
                </pic:pic>
              </a:graphicData>
            </a:graphic>
          </wp:inline>
        </w:drawing>
      </w:r>
    </w:p>
    <w:p w14:paraId="7495E813" w14:textId="77777777" w:rsidR="00BF1282" w:rsidRDefault="00BF1282" w:rsidP="00BF1282">
      <w:pPr>
        <w:pStyle w:val="a3"/>
        <w:spacing w:line="480" w:lineRule="auto"/>
        <w:ind w:right="238" w:firstLine="480"/>
        <w:sectPr w:rsidR="00BF1282" w:rsidSect="00BF1282">
          <w:pgSz w:w="11906" w:h="16838"/>
          <w:pgMar w:top="1440" w:right="1800" w:bottom="1440" w:left="1800" w:header="851" w:footer="992" w:gutter="0"/>
          <w:lnNumType w:countBy="1" w:restart="continuous"/>
          <w:cols w:space="425"/>
          <w:docGrid w:type="lines" w:linePitch="326"/>
        </w:sectPr>
      </w:pPr>
    </w:p>
    <w:p w14:paraId="35F51A5D" w14:textId="77777777" w:rsidR="00BF1282" w:rsidRDefault="00BF1282" w:rsidP="00BF1282">
      <w:pPr>
        <w:pStyle w:val="a3"/>
        <w:spacing w:line="480" w:lineRule="auto"/>
        <w:ind w:right="240" w:firstLineChars="0" w:firstLine="0"/>
      </w:pPr>
      <w:r>
        <w:rPr>
          <w:b/>
          <w:bCs/>
        </w:rPr>
        <w:lastRenderedPageBreak/>
        <w:t xml:space="preserve">Extended Data Fig. </w:t>
      </w:r>
      <w:r>
        <w:rPr>
          <w:rFonts w:hint="eastAsia"/>
          <w:b/>
          <w:bCs/>
        </w:rPr>
        <w:t>2 The p</w:t>
      </w:r>
      <w:r>
        <w:rPr>
          <w:b/>
          <w:bCs/>
        </w:rPr>
        <w:t xml:space="preserve">rocess of </w:t>
      </w:r>
      <w:r>
        <w:rPr>
          <w:rFonts w:hint="eastAsia"/>
          <w:b/>
          <w:bCs/>
        </w:rPr>
        <w:t>w</w:t>
      </w:r>
      <w:r>
        <w:rPr>
          <w:b/>
          <w:bCs/>
        </w:rPr>
        <w:t xml:space="preserve">aterbird </w:t>
      </w:r>
      <w:r>
        <w:rPr>
          <w:rFonts w:hint="eastAsia"/>
          <w:b/>
          <w:bCs/>
        </w:rPr>
        <w:t>s</w:t>
      </w:r>
      <w:r>
        <w:rPr>
          <w:b/>
          <w:bCs/>
        </w:rPr>
        <w:t xml:space="preserve">pecies </w:t>
      </w:r>
      <w:r>
        <w:rPr>
          <w:rFonts w:hint="eastAsia"/>
          <w:b/>
          <w:bCs/>
        </w:rPr>
        <w:t>s</w:t>
      </w:r>
      <w:r>
        <w:rPr>
          <w:b/>
          <w:bCs/>
        </w:rPr>
        <w:t>election</w:t>
      </w:r>
      <w:r>
        <w:rPr>
          <w:rFonts w:hint="eastAsia"/>
          <w:b/>
          <w:bCs/>
        </w:rPr>
        <w:t xml:space="preserve">. </w:t>
      </w:r>
      <w:r>
        <w:t>Initially, we collected data on 1</w:t>
      </w:r>
      <w:r>
        <w:rPr>
          <w:rFonts w:hint="eastAsia"/>
        </w:rPr>
        <w:t>177</w:t>
      </w:r>
      <w:r>
        <w:t xml:space="preserve"> species across 15 orders. We excluded species not classified as waterbirds or those with fewer than 9 unique records in each month in the Global Biodiversity Information Facility (GBIF). </w:t>
      </w:r>
      <w:r>
        <w:rPr>
          <w:rFonts w:hint="eastAsia"/>
        </w:rPr>
        <w:t>W</w:t>
      </w:r>
      <w:r>
        <w:t>e successfully modeled 779 waterbird species, among which 18</w:t>
      </w:r>
      <w:r>
        <w:rPr>
          <w:rFonts w:hint="eastAsia"/>
        </w:rPr>
        <w:t>0</w:t>
      </w:r>
      <w:r>
        <w:t xml:space="preserve"> were confirmed hosts. Furthermore, we categorized the 779 species into five functional groups: seabirds, shorebirds, waterfowl, large wading birds, and others. </w:t>
      </w:r>
      <w:r>
        <w:rPr>
          <w:rFonts w:hint="eastAsia"/>
        </w:rPr>
        <w:t>N</w:t>
      </w:r>
      <w:r>
        <w:t>umerals in the figure correspond to the species count.</w:t>
      </w:r>
    </w:p>
    <w:p w14:paraId="17012633" w14:textId="77777777" w:rsidR="00BF1282" w:rsidRDefault="00BF1282" w:rsidP="00BF1282">
      <w:pPr>
        <w:pStyle w:val="a3"/>
        <w:spacing w:line="480" w:lineRule="auto"/>
        <w:ind w:right="240" w:firstLineChars="0" w:firstLine="0"/>
      </w:pPr>
      <w:r>
        <w:rPr>
          <w:noProof/>
        </w:rPr>
        <w:drawing>
          <wp:inline distT="0" distB="0" distL="0" distR="0" wp14:anchorId="3E379178" wp14:editId="74D46C7A">
            <wp:extent cx="5166995" cy="5284470"/>
            <wp:effectExtent l="0" t="0" r="0" b="0"/>
            <wp:docPr id="103604456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044563" name="图片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174174" cy="5291758"/>
                    </a:xfrm>
                    <a:prstGeom prst="rect">
                      <a:avLst/>
                    </a:prstGeom>
                    <a:noFill/>
                  </pic:spPr>
                </pic:pic>
              </a:graphicData>
            </a:graphic>
          </wp:inline>
        </w:drawing>
      </w:r>
    </w:p>
    <w:p w14:paraId="22231FC9"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388730C5" w14:textId="77777777" w:rsidR="00BF1282" w:rsidRDefault="00BF1282" w:rsidP="00BF1282">
      <w:pPr>
        <w:pStyle w:val="a3"/>
        <w:spacing w:line="480" w:lineRule="auto"/>
        <w:ind w:right="240" w:firstLineChars="0" w:firstLine="0"/>
      </w:pPr>
      <w:r>
        <w:rPr>
          <w:b/>
          <w:bCs/>
        </w:rPr>
        <w:lastRenderedPageBreak/>
        <w:t>Extended Data Fig. 3</w:t>
      </w:r>
      <w:r>
        <w:rPr>
          <w:rFonts w:hint="eastAsia"/>
          <w:b/>
          <w:bCs/>
        </w:rPr>
        <w:t xml:space="preserve"> Monthly waterbird species richness and s</w:t>
      </w:r>
      <w:r>
        <w:rPr>
          <w:b/>
          <w:bCs/>
        </w:rPr>
        <w:t>imulation of month</w:t>
      </w:r>
      <w:r>
        <w:rPr>
          <w:rFonts w:hint="eastAsia"/>
          <w:b/>
          <w:bCs/>
        </w:rPr>
        <w:t>ly</w:t>
      </w:r>
      <w:r>
        <w:rPr>
          <w:b/>
          <w:bCs/>
        </w:rPr>
        <w:t xml:space="preserve"> distribution results</w:t>
      </w:r>
      <w:r>
        <w:rPr>
          <w:rFonts w:hint="eastAsia"/>
          <w:b/>
          <w:bCs/>
        </w:rPr>
        <w:t xml:space="preserve">. (a) </w:t>
      </w:r>
      <w:r>
        <w:rPr>
          <w:rFonts w:hint="eastAsia"/>
        </w:rPr>
        <w:t xml:space="preserve">Monthly waterbird species richness patterns. </w:t>
      </w:r>
      <w:r>
        <w:rPr>
          <w:rFonts w:hint="eastAsia"/>
          <w:b/>
          <w:bCs/>
        </w:rPr>
        <w:t xml:space="preserve"> (b) </w:t>
      </w:r>
      <w:r>
        <w:rPr>
          <w:rFonts w:hint="eastAsia"/>
        </w:rPr>
        <w:t>S</w:t>
      </w:r>
      <w:r>
        <w:t xml:space="preserve">imulated monthly distribution results for the </w:t>
      </w:r>
      <w:r>
        <w:rPr>
          <w:rFonts w:hint="eastAsia"/>
        </w:rPr>
        <w:t>s</w:t>
      </w:r>
      <w:r>
        <w:t xml:space="preserve">wan </w:t>
      </w:r>
      <w:r>
        <w:rPr>
          <w:rFonts w:hint="eastAsia"/>
        </w:rPr>
        <w:t>g</w:t>
      </w:r>
      <w:r>
        <w:t>oose (</w:t>
      </w:r>
      <w:r>
        <w:rPr>
          <w:i/>
          <w:iCs/>
        </w:rPr>
        <w:t>Anser cygnoides</w:t>
      </w:r>
      <w:r>
        <w:t xml:space="preserve">). The </w:t>
      </w:r>
      <w:r>
        <w:rPr>
          <w:rFonts w:hint="eastAsia"/>
        </w:rPr>
        <w:t>titles</w:t>
      </w:r>
      <w:r>
        <w:t xml:space="preserve"> in the figure correspond to the respective months, providing a clear temporal representation of species’ distribution patterns throughout the year.</w:t>
      </w:r>
      <w:r>
        <w:rPr>
          <w:rFonts w:hint="eastAsia"/>
        </w:rPr>
        <w:t>d</w:t>
      </w:r>
    </w:p>
    <w:p w14:paraId="3566CBBC" w14:textId="77777777" w:rsidR="00BF1282" w:rsidRDefault="00BF1282" w:rsidP="00BF1282">
      <w:pPr>
        <w:pStyle w:val="a3"/>
        <w:spacing w:line="480" w:lineRule="auto"/>
        <w:ind w:right="240" w:firstLineChars="0" w:firstLine="0"/>
      </w:pPr>
      <w:r>
        <w:rPr>
          <w:noProof/>
        </w:rPr>
        <w:drawing>
          <wp:inline distT="0" distB="0" distL="0" distR="0" wp14:anchorId="145273E4" wp14:editId="4AB52BE4">
            <wp:extent cx="5081905" cy="6687820"/>
            <wp:effectExtent l="0" t="0" r="0" b="0"/>
            <wp:docPr id="11901367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136745" name="图片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091920" cy="6700831"/>
                    </a:xfrm>
                    <a:prstGeom prst="rect">
                      <a:avLst/>
                    </a:prstGeom>
                    <a:noFill/>
                  </pic:spPr>
                </pic:pic>
              </a:graphicData>
            </a:graphic>
          </wp:inline>
        </w:drawing>
      </w:r>
    </w:p>
    <w:p w14:paraId="43A2C0CA"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55CAE8E3" w14:textId="77777777" w:rsidR="00BF1282" w:rsidRDefault="00BF1282" w:rsidP="00BF1282">
      <w:pPr>
        <w:pStyle w:val="a3"/>
        <w:spacing w:line="480" w:lineRule="auto"/>
        <w:ind w:right="240" w:firstLineChars="0" w:firstLine="0"/>
      </w:pPr>
      <w:r>
        <w:rPr>
          <w:b/>
          <w:bCs/>
        </w:rPr>
        <w:lastRenderedPageBreak/>
        <w:t>Extended Data Fig. 4</w:t>
      </w:r>
      <w:r>
        <w:rPr>
          <w:rFonts w:hint="eastAsia"/>
          <w:b/>
          <w:bCs/>
        </w:rPr>
        <w:t xml:space="preserve"> Scheme for definition of waterbird activity entropy (WAE) and identification of exposure risk hotspots. </w:t>
      </w:r>
      <w:r>
        <w:rPr>
          <w:rFonts w:ascii="Segoe UI" w:hAnsi="Segoe UI" w:cs="Segoe UI"/>
          <w:color w:val="404040"/>
        </w:rPr>
        <w:t xml:space="preserve">The diagram's top section illustrates </w:t>
      </w:r>
      <w:r>
        <w:rPr>
          <w:rFonts w:ascii="Segoe UI" w:hAnsi="Segoe UI" w:cs="Segoe UI" w:hint="eastAsia"/>
          <w:color w:val="404040"/>
        </w:rPr>
        <w:t xml:space="preserve">concept of </w:t>
      </w:r>
      <w:r>
        <w:rPr>
          <w:rFonts w:ascii="Segoe UI" w:hAnsi="Segoe UI" w:cs="Segoe UI"/>
          <w:color w:val="404040"/>
        </w:rPr>
        <w:t>WAE, highlighting three risk dimensions: accumulated residence time, duration match (alignment of species' residency periods), and host species richness. Three scenarios are outlined: (1) </w:t>
      </w:r>
      <w:r w:rsidRPr="000D27B2">
        <w:rPr>
          <w:rStyle w:val="Strong"/>
          <w:rFonts w:ascii="Segoe UI" w:hAnsi="Segoe UI" w:cs="Segoe UI"/>
          <w:color w:val="404040"/>
        </w:rPr>
        <w:t>Low WAE</w:t>
      </w:r>
      <w:r>
        <w:rPr>
          <w:rFonts w:ascii="Segoe UI" w:hAnsi="Segoe UI" w:cs="Segoe UI"/>
          <w:color w:val="404040"/>
        </w:rPr>
        <w:t>: high species richness but non-overlapping residence times, resulting in low AIV cross-species transmission risk. (2</w:t>
      </w:r>
      <w:r w:rsidRPr="000D27B2">
        <w:rPr>
          <w:rFonts w:ascii="Segoe UI" w:hAnsi="Segoe UI" w:cs="Segoe UI"/>
          <w:color w:val="404040"/>
        </w:rPr>
        <w:t>)</w:t>
      </w:r>
      <w:r w:rsidRPr="000D27B2">
        <w:rPr>
          <w:rFonts w:ascii="Segoe UI" w:hAnsi="Segoe UI" w:cs="Segoe UI"/>
          <w:b/>
          <w:color w:val="404040"/>
        </w:rPr>
        <w:t> </w:t>
      </w:r>
      <w:r w:rsidRPr="000D27B2">
        <w:rPr>
          <w:rStyle w:val="Strong"/>
          <w:rFonts w:ascii="Segoe UI" w:hAnsi="Segoe UI" w:cs="Segoe UI"/>
          <w:color w:val="404040"/>
        </w:rPr>
        <w:t>Medium WAE</w:t>
      </w:r>
      <w:r>
        <w:rPr>
          <w:rFonts w:ascii="Segoe UI" w:hAnsi="Segoe UI" w:cs="Segoe UI"/>
          <w:color w:val="404040"/>
        </w:rPr>
        <w:t>: low species richness and residence time, with brief species encounters, leading to moderate AIV transmission risk. (3) </w:t>
      </w:r>
      <w:r w:rsidRPr="000D27B2">
        <w:rPr>
          <w:rStyle w:val="Strong"/>
          <w:rFonts w:ascii="Segoe UI" w:hAnsi="Segoe UI" w:cs="Segoe UI"/>
          <w:color w:val="404040"/>
        </w:rPr>
        <w:t>High WAE</w:t>
      </w:r>
      <w:r>
        <w:rPr>
          <w:rFonts w:ascii="Segoe UI" w:hAnsi="Segoe UI" w:cs="Segoe UI"/>
          <w:color w:val="404040"/>
        </w:rPr>
        <w:t>: high species richness and residence time, increasing AIV transmission risk due to frequent species interactions. The middle section depicts AIV spillover risk from natural to artificial ecosystems, where WAE levels correlate with spillover magnitude, potentially causing outbreaks in artificial systems. The lower section identifies exposure risk hotspots by overlaying WAE with cattle, poultry, and human populations. Using the Youden index, high-risk areas were identified, with high-density populations based on the top 15th percentile of grid cells. Three exposure risk scenarios are shown: (1) </w:t>
      </w:r>
      <w:r w:rsidRPr="000D27B2">
        <w:rPr>
          <w:rStyle w:val="Strong"/>
          <w:rFonts w:ascii="Segoe UI" w:hAnsi="Segoe UI" w:cs="Segoe UI"/>
          <w:color w:val="404040"/>
        </w:rPr>
        <w:t xml:space="preserve">Low </w:t>
      </w:r>
      <w:r>
        <w:rPr>
          <w:rStyle w:val="Strong"/>
          <w:rFonts w:ascii="Segoe UI" w:hAnsi="Segoe UI" w:cs="Segoe UI" w:hint="eastAsia"/>
          <w:color w:val="404040"/>
        </w:rPr>
        <w:t xml:space="preserve">exposure </w:t>
      </w:r>
      <w:r w:rsidRPr="000D27B2">
        <w:rPr>
          <w:rStyle w:val="Strong"/>
          <w:rFonts w:ascii="Segoe UI" w:hAnsi="Segoe UI" w:cs="Segoe UI"/>
          <w:color w:val="404040"/>
        </w:rPr>
        <w:t>risk</w:t>
      </w:r>
      <w:r>
        <w:rPr>
          <w:rFonts w:ascii="Segoe UI" w:hAnsi="Segoe UI" w:cs="Segoe UI"/>
          <w:color w:val="404040"/>
        </w:rPr>
        <w:t>: low WAE areas, regardless of population density. (2) </w:t>
      </w:r>
      <w:r w:rsidRPr="000D27B2">
        <w:rPr>
          <w:rStyle w:val="Strong"/>
          <w:rFonts w:ascii="Segoe UI" w:hAnsi="Segoe UI" w:cs="Segoe UI"/>
          <w:color w:val="404040"/>
        </w:rPr>
        <w:t xml:space="preserve">Specific population </w:t>
      </w:r>
      <w:r w:rsidRPr="000D27B2">
        <w:rPr>
          <w:rStyle w:val="Strong"/>
          <w:rFonts w:ascii="Segoe UI" w:hAnsi="Segoe UI" w:cs="Segoe UI" w:hint="eastAsia"/>
          <w:color w:val="404040"/>
        </w:rPr>
        <w:t xml:space="preserve">exposure </w:t>
      </w:r>
      <w:r w:rsidRPr="000D27B2">
        <w:rPr>
          <w:rStyle w:val="Strong"/>
          <w:rFonts w:ascii="Segoe UI" w:hAnsi="Segoe UI" w:cs="Segoe UI"/>
          <w:color w:val="404040"/>
        </w:rPr>
        <w:t>risk</w:t>
      </w:r>
      <w:r>
        <w:rPr>
          <w:rFonts w:ascii="Segoe UI" w:hAnsi="Segoe UI" w:cs="Segoe UI"/>
          <w:color w:val="404040"/>
        </w:rPr>
        <w:t>: medium WAE with high cattle/poultry density but low human density, increasing exposure risk for livestock. (3)</w:t>
      </w:r>
      <w:r w:rsidRPr="000D27B2">
        <w:rPr>
          <w:rFonts w:ascii="Segoe UI" w:hAnsi="Segoe UI" w:cs="Segoe UI"/>
          <w:color w:val="404040"/>
        </w:rPr>
        <w:t> </w:t>
      </w:r>
      <w:r w:rsidRPr="000D27B2">
        <w:rPr>
          <w:rStyle w:val="Strong"/>
          <w:rFonts w:ascii="Segoe UI" w:hAnsi="Segoe UI" w:cs="Segoe UI"/>
          <w:color w:val="404040"/>
        </w:rPr>
        <w:t xml:space="preserve">High </w:t>
      </w:r>
      <w:r w:rsidRPr="000D27B2">
        <w:rPr>
          <w:rStyle w:val="Strong"/>
          <w:rFonts w:ascii="Segoe UI" w:hAnsi="Segoe UI" w:cs="Segoe UI" w:hint="eastAsia"/>
          <w:color w:val="404040"/>
        </w:rPr>
        <w:t xml:space="preserve">exposure </w:t>
      </w:r>
      <w:r w:rsidRPr="000D27B2">
        <w:rPr>
          <w:rStyle w:val="Strong"/>
          <w:rFonts w:ascii="Segoe UI" w:hAnsi="Segoe UI" w:cs="Segoe UI"/>
          <w:color w:val="404040"/>
        </w:rPr>
        <w:t>risk</w:t>
      </w:r>
      <w:r>
        <w:rPr>
          <w:rFonts w:ascii="Segoe UI" w:hAnsi="Segoe UI" w:cs="Segoe UI"/>
          <w:color w:val="404040"/>
        </w:rPr>
        <w:t>: high WAE with dense human, cattle, and poultry populations, representing the highest AIV transmission risk.</w:t>
      </w:r>
    </w:p>
    <w:p w14:paraId="64552EB2" w14:textId="77777777" w:rsidR="00BF1282" w:rsidRDefault="00BF1282" w:rsidP="00BF1282">
      <w:pPr>
        <w:pStyle w:val="a3"/>
        <w:spacing w:line="480" w:lineRule="auto"/>
        <w:ind w:right="240" w:firstLineChars="0" w:firstLine="0"/>
      </w:pPr>
      <w:r>
        <w:rPr>
          <w:noProof/>
        </w:rPr>
        <w:lastRenderedPageBreak/>
        <w:drawing>
          <wp:inline distT="0" distB="0" distL="0" distR="0" wp14:anchorId="1362943B" wp14:editId="47DD5F18">
            <wp:extent cx="5353050" cy="4608830"/>
            <wp:effectExtent l="0" t="0" r="0" b="1270"/>
            <wp:docPr id="66323207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232074" name="图片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353050" cy="4608830"/>
                    </a:xfrm>
                    <a:prstGeom prst="rect">
                      <a:avLst/>
                    </a:prstGeom>
                    <a:noFill/>
                  </pic:spPr>
                </pic:pic>
              </a:graphicData>
            </a:graphic>
          </wp:inline>
        </w:drawing>
      </w:r>
    </w:p>
    <w:p w14:paraId="32ED4186"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52F789DF" w14:textId="77777777" w:rsidR="00BF1282" w:rsidRDefault="00BF1282" w:rsidP="00BF1282">
      <w:pPr>
        <w:pStyle w:val="a3"/>
        <w:spacing w:line="480" w:lineRule="auto"/>
        <w:ind w:right="240" w:firstLineChars="0" w:firstLine="0"/>
      </w:pPr>
      <w:r>
        <w:rPr>
          <w:b/>
          <w:bCs/>
        </w:rPr>
        <w:lastRenderedPageBreak/>
        <w:t xml:space="preserve">Extended Data Fig. 5 </w:t>
      </w:r>
      <w:r>
        <w:rPr>
          <w:rFonts w:hint="eastAsia"/>
          <w:b/>
          <w:bCs/>
        </w:rPr>
        <w:t xml:space="preserve">Seasonal </w:t>
      </w:r>
      <w:r>
        <w:rPr>
          <w:b/>
          <w:bCs/>
        </w:rPr>
        <w:t xml:space="preserve">analysis of </w:t>
      </w:r>
      <w:r>
        <w:rPr>
          <w:rFonts w:hint="eastAsia"/>
          <w:b/>
          <w:bCs/>
        </w:rPr>
        <w:t>g</w:t>
      </w:r>
      <w:r>
        <w:rPr>
          <w:b/>
          <w:bCs/>
        </w:rPr>
        <w:t xml:space="preserve">lobal </w:t>
      </w:r>
      <w:r>
        <w:rPr>
          <w:rFonts w:hint="eastAsia"/>
          <w:b/>
          <w:bCs/>
        </w:rPr>
        <w:t>w</w:t>
      </w:r>
      <w:r>
        <w:rPr>
          <w:b/>
          <w:bCs/>
        </w:rPr>
        <w:t>aterbird</w:t>
      </w:r>
      <w:r>
        <w:rPr>
          <w:rFonts w:hint="eastAsia"/>
          <w:b/>
          <w:bCs/>
        </w:rPr>
        <w:t xml:space="preserve"> species</w:t>
      </w:r>
      <w:r>
        <w:rPr>
          <w:b/>
          <w:bCs/>
        </w:rPr>
        <w:t xml:space="preserve"> </w:t>
      </w:r>
      <w:r>
        <w:rPr>
          <w:rFonts w:hint="eastAsia"/>
          <w:b/>
          <w:bCs/>
        </w:rPr>
        <w:t>r</w:t>
      </w:r>
      <w:r>
        <w:rPr>
          <w:b/>
          <w:bCs/>
        </w:rPr>
        <w:t>ichness</w:t>
      </w:r>
      <w:r>
        <w:rPr>
          <w:rFonts w:hint="eastAsia"/>
          <w:b/>
          <w:bCs/>
        </w:rPr>
        <w:t xml:space="preserve"> </w:t>
      </w:r>
      <w:r>
        <w:rPr>
          <w:b/>
          <w:bCs/>
        </w:rPr>
        <w:t>based on monthly species distribution models.</w:t>
      </w:r>
      <w:r>
        <w:t xml:space="preserve"> </w:t>
      </w:r>
      <w:r>
        <w:rPr>
          <w:rFonts w:hint="eastAsia"/>
          <w:b/>
          <w:bCs/>
        </w:rPr>
        <w:t xml:space="preserve">(a) </w:t>
      </w:r>
      <w:r>
        <w:rPr>
          <w:rFonts w:hint="eastAsia"/>
        </w:rPr>
        <w:t xml:space="preserve">Global waterbird pattern of peak months with highest </w:t>
      </w:r>
      <w:r>
        <w:t>seaso</w:t>
      </w:r>
      <w:r>
        <w:rPr>
          <w:rFonts w:hint="eastAsia"/>
        </w:rPr>
        <w:t xml:space="preserve">nal </w:t>
      </w:r>
      <w:r>
        <w:t>variation</w:t>
      </w:r>
      <w:r>
        <w:rPr>
          <w:rFonts w:hint="eastAsia"/>
        </w:rPr>
        <w:t xml:space="preserve"> in one year based on monthly species distribution models. The pie chart </w:t>
      </w:r>
      <w:r>
        <w:t>illustrates </w:t>
      </w:r>
      <w:r>
        <w:rPr>
          <w:rFonts w:hint="eastAsia"/>
        </w:rPr>
        <w:t xml:space="preserve">the percentage of each peak month. </w:t>
      </w:r>
      <w:r>
        <w:t xml:space="preserve">The locations of the eight typical cities on the drawing </w:t>
      </w:r>
      <w:r>
        <w:rPr>
          <w:rFonts w:hint="eastAsia"/>
        </w:rPr>
        <w:t>are</w:t>
      </w:r>
      <w:r>
        <w:t xml:space="preserve"> </w:t>
      </w:r>
      <w:r>
        <w:rPr>
          <w:rFonts w:hint="eastAsia"/>
        </w:rPr>
        <w:t xml:space="preserve">on the map. </w:t>
      </w:r>
      <w:r>
        <w:rPr>
          <w:rFonts w:hint="eastAsia"/>
          <w:b/>
          <w:bCs/>
        </w:rPr>
        <w:t xml:space="preserve">(b) </w:t>
      </w:r>
      <w:r>
        <w:rPr>
          <w:rFonts w:hint="eastAsia"/>
        </w:rPr>
        <w:t xml:space="preserve">Monthly </w:t>
      </w:r>
      <w:r>
        <w:t>variation</w:t>
      </w:r>
      <w:r>
        <w:rPr>
          <w:rFonts w:hint="eastAsia"/>
        </w:rPr>
        <w:t xml:space="preserve"> of seasonal migration of waterbirds and city examples with different migration seasons. C</w:t>
      </w:r>
      <w:r>
        <w:t>hanges in species richness</w:t>
      </w:r>
      <w:r>
        <w:rPr>
          <w:rFonts w:hint="eastAsia"/>
        </w:rPr>
        <w:t xml:space="preserve"> of </w:t>
      </w:r>
      <w:r>
        <w:t>eight typical cities</w:t>
      </w:r>
      <w:r>
        <w:rPr>
          <w:rFonts w:hint="eastAsia"/>
        </w:rPr>
        <w:t xml:space="preserve"> are shown and classified into four types using</w:t>
      </w:r>
      <w:r>
        <w:t xml:space="preserve"> </w:t>
      </w:r>
      <w:r>
        <w:rPr>
          <w:rFonts w:hint="eastAsia"/>
        </w:rPr>
        <w:t>an a</w:t>
      </w:r>
      <w:r>
        <w:t xml:space="preserve">ugmented Dickey-Fuller </w:t>
      </w:r>
      <w:r>
        <w:rPr>
          <w:rFonts w:hint="eastAsia"/>
        </w:rPr>
        <w:t>t</w:t>
      </w:r>
      <w:r>
        <w:t>est</w:t>
      </w:r>
      <w:r>
        <w:rPr>
          <w:rFonts w:hint="eastAsia"/>
        </w:rPr>
        <w:t xml:space="preserve">. </w:t>
      </w:r>
      <w:r>
        <w:rPr>
          <w:rFonts w:hint="eastAsia"/>
          <w:b/>
          <w:bCs/>
        </w:rPr>
        <w:t>(c)</w:t>
      </w:r>
      <w:r>
        <w:rPr>
          <w:rFonts w:hint="eastAsia"/>
        </w:rPr>
        <w:t xml:space="preserve"> </w:t>
      </w:r>
      <w:r>
        <w:t>Spatial distribution of classification of monthly changes in species richness</w:t>
      </w:r>
      <w:r>
        <w:rPr>
          <w:rFonts w:hint="eastAsia"/>
        </w:rPr>
        <w:t xml:space="preserve">. </w:t>
      </w:r>
      <w:r>
        <w:t>“</w:t>
      </w:r>
      <w:r>
        <w:rPr>
          <w:rFonts w:hint="eastAsia"/>
        </w:rPr>
        <w:t>Breeding Season Risk</w:t>
      </w:r>
      <w:r>
        <w:t>”</w:t>
      </w:r>
      <w:r>
        <w:rPr>
          <w:rFonts w:hint="eastAsia"/>
        </w:rPr>
        <w:t xml:space="preserve"> </w:t>
      </w:r>
      <w:r>
        <w:t>refers to areas where the peak month occurs in the summer</w:t>
      </w:r>
      <w:r>
        <w:rPr>
          <w:rFonts w:hint="eastAsia"/>
        </w:rPr>
        <w:t xml:space="preserve">, whereas </w:t>
      </w:r>
      <w:r>
        <w:t>“</w:t>
      </w:r>
      <w:r>
        <w:rPr>
          <w:rFonts w:hint="eastAsia"/>
        </w:rPr>
        <w:t>Overwinter Season Risk</w:t>
      </w:r>
      <w:r>
        <w:t>”</w:t>
      </w:r>
      <w:r>
        <w:rPr>
          <w:rFonts w:hint="eastAsia"/>
        </w:rPr>
        <w:t xml:space="preserve"> refers </w:t>
      </w:r>
      <w:r>
        <w:t>to areas where the peak month occurs in the winter. ‘</w:t>
      </w:r>
      <w:r>
        <w:rPr>
          <w:rFonts w:hint="eastAsia"/>
        </w:rPr>
        <w:t>NH</w:t>
      </w:r>
      <w:r>
        <w:t>’</w:t>
      </w:r>
      <w:r>
        <w:rPr>
          <w:rFonts w:hint="eastAsia"/>
        </w:rPr>
        <w:t xml:space="preserve"> </w:t>
      </w:r>
      <w:r>
        <w:t xml:space="preserve">denotes </w:t>
      </w:r>
      <w:r>
        <w:rPr>
          <w:rFonts w:hint="eastAsia"/>
        </w:rPr>
        <w:t xml:space="preserve">the </w:t>
      </w:r>
      <w:r>
        <w:t>Northern Hemisphere</w:t>
      </w:r>
      <w:r>
        <w:rPr>
          <w:rFonts w:hint="eastAsia"/>
        </w:rPr>
        <w:t xml:space="preserve">, and </w:t>
      </w:r>
      <w:r>
        <w:t>‘</w:t>
      </w:r>
      <w:r>
        <w:rPr>
          <w:rFonts w:hint="eastAsia"/>
        </w:rPr>
        <w:t>SH</w:t>
      </w:r>
      <w:r>
        <w:t>’</w:t>
      </w:r>
      <w:r>
        <w:rPr>
          <w:rFonts w:hint="eastAsia"/>
        </w:rPr>
        <w:t xml:space="preserve"> </w:t>
      </w:r>
      <w:r>
        <w:t>denotes</w:t>
      </w:r>
      <w:r>
        <w:rPr>
          <w:rFonts w:hint="eastAsia"/>
        </w:rPr>
        <w:t xml:space="preserve"> the Southern </w:t>
      </w:r>
      <w:r>
        <w:t>Hemisphere</w:t>
      </w:r>
      <w:r>
        <w:rPr>
          <w:rFonts w:hint="eastAsia"/>
        </w:rPr>
        <w:t xml:space="preserve">. </w:t>
      </w:r>
      <w:r>
        <w:t>“</w:t>
      </w:r>
      <w:r>
        <w:rPr>
          <w:rFonts w:hint="eastAsia"/>
        </w:rPr>
        <w:t>Other</w:t>
      </w:r>
      <w:r>
        <w:t>”</w:t>
      </w:r>
      <w:r>
        <w:rPr>
          <w:rFonts w:hint="eastAsia"/>
        </w:rPr>
        <w:t xml:space="preserve"> indicates r</w:t>
      </w:r>
      <w:r>
        <w:t xml:space="preserve">elatively smooth changes in </w:t>
      </w:r>
      <w:r>
        <w:rPr>
          <w:rFonts w:hint="eastAsia"/>
        </w:rPr>
        <w:t xml:space="preserve">monthly species richness. </w:t>
      </w:r>
    </w:p>
    <w:p w14:paraId="7D7101D4" w14:textId="77777777" w:rsidR="00BF1282" w:rsidRDefault="00BF1282" w:rsidP="00BF1282">
      <w:pPr>
        <w:pStyle w:val="a3"/>
        <w:spacing w:line="480" w:lineRule="auto"/>
        <w:ind w:right="240" w:firstLine="480"/>
      </w:pPr>
    </w:p>
    <w:p w14:paraId="73602FB4" w14:textId="77777777" w:rsidR="00BF1282" w:rsidRDefault="00BF1282" w:rsidP="00BF1282">
      <w:pPr>
        <w:pStyle w:val="a3"/>
        <w:spacing w:line="480" w:lineRule="auto"/>
        <w:ind w:right="240" w:firstLine="420"/>
      </w:pPr>
      <w:r>
        <w:rPr>
          <w:noProof/>
          <w:sz w:val="21"/>
        </w:rPr>
        <w:lastRenderedPageBreak/>
        <w:drawing>
          <wp:inline distT="0" distB="0" distL="0" distR="0" wp14:anchorId="1295F663" wp14:editId="1E19DF33">
            <wp:extent cx="5160010" cy="3683635"/>
            <wp:effectExtent l="0" t="0" r="2540" b="0"/>
            <wp:docPr id="64293129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931291"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169038" cy="3689827"/>
                    </a:xfrm>
                    <a:prstGeom prst="rect">
                      <a:avLst/>
                    </a:prstGeom>
                    <a:noFill/>
                  </pic:spPr>
                </pic:pic>
              </a:graphicData>
            </a:graphic>
          </wp:inline>
        </w:drawing>
      </w:r>
    </w:p>
    <w:p w14:paraId="4C12F8D0"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0EE0171C" w14:textId="77777777" w:rsidR="00BF1282" w:rsidRDefault="00BF1282" w:rsidP="00BF1282">
      <w:pPr>
        <w:pStyle w:val="a3"/>
        <w:spacing w:line="480" w:lineRule="auto"/>
        <w:ind w:right="240" w:firstLineChars="0" w:firstLine="0"/>
      </w:pPr>
      <w:r>
        <w:rPr>
          <w:b/>
          <w:bCs/>
        </w:rPr>
        <w:lastRenderedPageBreak/>
        <w:t>Extended Data Fig. 6</w:t>
      </w:r>
      <w:r>
        <w:rPr>
          <w:rFonts w:hint="eastAsia"/>
          <w:b/>
          <w:bCs/>
        </w:rPr>
        <w:t xml:space="preserve"> The relationship between species richness </w:t>
      </w:r>
      <w:r>
        <w:rPr>
          <w:b/>
          <w:bCs/>
        </w:rPr>
        <w:t>coefficient</w:t>
      </w:r>
      <w:r>
        <w:rPr>
          <w:rFonts w:hint="eastAsia"/>
          <w:b/>
          <w:bCs/>
        </w:rPr>
        <w:t xml:space="preserve"> of variation (CV), gross primary productivity (GPP) </w:t>
      </w:r>
      <w:r>
        <w:rPr>
          <w:b/>
          <w:bCs/>
        </w:rPr>
        <w:t>coefficient</w:t>
      </w:r>
      <w:r>
        <w:rPr>
          <w:rFonts w:hint="eastAsia"/>
          <w:b/>
          <w:bCs/>
        </w:rPr>
        <w:t xml:space="preserve"> of variation (CV), </w:t>
      </w:r>
      <w:r>
        <w:rPr>
          <w:b/>
          <w:bCs/>
        </w:rPr>
        <w:t>and between species richness CV and frost days</w:t>
      </w:r>
      <w:r>
        <w:rPr>
          <w:rFonts w:hint="eastAsia"/>
          <w:b/>
          <w:bCs/>
        </w:rPr>
        <w:t>. (a)</w:t>
      </w:r>
      <w:r>
        <w:t xml:space="preserve"> The linear relationship between species richness CV and GPP CV across different Wallace’s realms.</w:t>
      </w:r>
      <w:r>
        <w:rPr>
          <w:rFonts w:hint="eastAsia"/>
        </w:rPr>
        <w:t xml:space="preserve"> </w:t>
      </w:r>
      <w:r>
        <w:t>Red</w:t>
      </w:r>
      <w:r>
        <w:rPr>
          <w:rFonts w:hint="eastAsia"/>
        </w:rPr>
        <w:t xml:space="preserve"> points and bars represent pixels derived from the Northern Hemisphere, while blue points and bars represent pixels derived from the Southern Hemisphere. Different shapes of points correspond to</w:t>
      </w:r>
      <w:r>
        <w:t> </w:t>
      </w:r>
      <w:r>
        <w:rPr>
          <w:rFonts w:hint="eastAsia"/>
        </w:rPr>
        <w:t xml:space="preserve">the six </w:t>
      </w:r>
      <w:r>
        <w:t>Wallace’s realms</w:t>
      </w:r>
      <w:r>
        <w:rPr>
          <w:rFonts w:hint="eastAsia"/>
        </w:rPr>
        <w:t xml:space="preserve">. </w:t>
      </w:r>
      <w:r>
        <w:rPr>
          <w:rFonts w:hint="eastAsia"/>
          <w:b/>
          <w:bCs/>
        </w:rPr>
        <w:t xml:space="preserve">(b) </w:t>
      </w:r>
      <w:r>
        <w:t xml:space="preserve">A detailed demonstration of the linear relationship between species richness </w:t>
      </w:r>
      <w:r>
        <w:rPr>
          <w:rFonts w:hint="eastAsia"/>
        </w:rPr>
        <w:t xml:space="preserve">CV </w:t>
      </w:r>
      <w:r>
        <w:t>and GPP</w:t>
      </w:r>
      <w:r>
        <w:rPr>
          <w:rFonts w:hint="eastAsia"/>
        </w:rPr>
        <w:t xml:space="preserve"> </w:t>
      </w:r>
      <w:r>
        <w:t xml:space="preserve">CV </w:t>
      </w:r>
      <w:r>
        <w:rPr>
          <w:rFonts w:hint="eastAsia"/>
        </w:rPr>
        <w:t>with</w:t>
      </w:r>
      <w:r>
        <w:t xml:space="preserve">in different </w:t>
      </w:r>
      <w:r>
        <w:rPr>
          <w:rFonts w:hint="eastAsia"/>
        </w:rPr>
        <w:t>Wallace</w:t>
      </w:r>
      <w:r>
        <w:t>’</w:t>
      </w:r>
      <w:r>
        <w:rPr>
          <w:rFonts w:hint="eastAsia"/>
        </w:rPr>
        <w:t>s realms</w:t>
      </w:r>
      <w:r>
        <w:t>, shown through sub-interfaces.</w:t>
      </w:r>
      <w:r>
        <w:rPr>
          <w:rFonts w:hint="eastAsia"/>
        </w:rPr>
        <w:t xml:space="preserve"> </w:t>
      </w:r>
      <w:r>
        <w:rPr>
          <w:rFonts w:hint="eastAsia"/>
          <w:b/>
          <w:bCs/>
        </w:rPr>
        <w:t>(c)</w:t>
      </w:r>
      <w:r>
        <w:t xml:space="preserve"> The linear relationship between species richness CV and frost days across different Wallace’s realms.</w:t>
      </w:r>
      <w:r>
        <w:rPr>
          <w:rFonts w:hint="eastAsia"/>
        </w:rPr>
        <w:t xml:space="preserve"> </w:t>
      </w:r>
      <w:r>
        <w:t>Red</w:t>
      </w:r>
      <w:r>
        <w:rPr>
          <w:rFonts w:hint="eastAsia"/>
        </w:rPr>
        <w:t xml:space="preserve"> points and bars represent pixels derived from the Northern Hemisphere, while blue points and bars represent pixels derived from the Southern Hemisphere. Different shapes of points correspond to</w:t>
      </w:r>
      <w:r>
        <w:t> </w:t>
      </w:r>
      <w:r>
        <w:rPr>
          <w:rFonts w:hint="eastAsia"/>
        </w:rPr>
        <w:t xml:space="preserve">the six </w:t>
      </w:r>
      <w:r>
        <w:t>Wallace’s realms</w:t>
      </w:r>
      <w:r>
        <w:rPr>
          <w:rFonts w:hint="eastAsia"/>
        </w:rPr>
        <w:t xml:space="preserve">. </w:t>
      </w:r>
      <w:r>
        <w:rPr>
          <w:rFonts w:hint="eastAsia"/>
          <w:b/>
          <w:bCs/>
        </w:rPr>
        <w:t xml:space="preserve">(d) </w:t>
      </w:r>
      <w:r>
        <w:t xml:space="preserve">A detailed demonstration of the linear relationship between species richness </w:t>
      </w:r>
      <w:r>
        <w:rPr>
          <w:rFonts w:hint="eastAsia"/>
        </w:rPr>
        <w:t xml:space="preserve">CV </w:t>
      </w:r>
      <w:r>
        <w:t xml:space="preserve">and frost days </w:t>
      </w:r>
      <w:r>
        <w:rPr>
          <w:rFonts w:hint="eastAsia"/>
        </w:rPr>
        <w:t>with</w:t>
      </w:r>
      <w:r>
        <w:t xml:space="preserve">in different </w:t>
      </w:r>
      <w:r>
        <w:rPr>
          <w:rFonts w:hint="eastAsia"/>
        </w:rPr>
        <w:t>Wallace</w:t>
      </w:r>
      <w:r>
        <w:t>’</w:t>
      </w:r>
      <w:r>
        <w:rPr>
          <w:rFonts w:hint="eastAsia"/>
        </w:rPr>
        <w:t>s realms</w:t>
      </w:r>
      <w:r>
        <w:t>, shown through sub-interfaces.</w:t>
      </w:r>
    </w:p>
    <w:p w14:paraId="45E354F4" w14:textId="77777777" w:rsidR="00BF1282" w:rsidRDefault="00BF1282" w:rsidP="00BF1282">
      <w:pPr>
        <w:pStyle w:val="a3"/>
        <w:spacing w:line="480" w:lineRule="auto"/>
        <w:ind w:right="240" w:firstLine="480"/>
      </w:pPr>
    </w:p>
    <w:p w14:paraId="3D3EEEEE" w14:textId="77777777" w:rsidR="00BF1282" w:rsidRDefault="00BF1282" w:rsidP="00BF1282">
      <w:pPr>
        <w:pStyle w:val="a3"/>
        <w:spacing w:line="480" w:lineRule="auto"/>
        <w:ind w:right="240" w:firstLineChars="0" w:firstLine="0"/>
      </w:pPr>
      <w:r>
        <w:rPr>
          <w:noProof/>
        </w:rPr>
        <w:lastRenderedPageBreak/>
        <w:drawing>
          <wp:inline distT="0" distB="0" distL="0" distR="0" wp14:anchorId="619479F2" wp14:editId="181731A0">
            <wp:extent cx="5210175" cy="6255385"/>
            <wp:effectExtent l="0" t="0" r="0" b="0"/>
            <wp:docPr id="117654897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54897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213639" cy="6259920"/>
                    </a:xfrm>
                    <a:prstGeom prst="rect">
                      <a:avLst/>
                    </a:prstGeom>
                    <a:noFill/>
                  </pic:spPr>
                </pic:pic>
              </a:graphicData>
            </a:graphic>
          </wp:inline>
        </w:drawing>
      </w:r>
    </w:p>
    <w:p w14:paraId="3260F595"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4CBA15CB" w14:textId="77777777" w:rsidR="00BF1282" w:rsidRDefault="00BF1282" w:rsidP="00BF1282">
      <w:pPr>
        <w:pStyle w:val="a3"/>
        <w:spacing w:line="480" w:lineRule="auto"/>
        <w:ind w:right="240" w:firstLineChars="0" w:firstLine="0"/>
      </w:pPr>
      <w:r>
        <w:rPr>
          <w:b/>
          <w:bCs/>
        </w:rPr>
        <w:lastRenderedPageBreak/>
        <w:t xml:space="preserve">Extended Data Fig. 7 Validation of waterbird activity entropy (WAE) for predicting avian influenza. (a) </w:t>
      </w:r>
      <w:r>
        <w:t>Spatial distribution of high</w:t>
      </w:r>
      <w:r>
        <w:rPr>
          <w:rFonts w:hint="eastAsia"/>
        </w:rPr>
        <w:t xml:space="preserve"> and </w:t>
      </w:r>
      <w:r>
        <w:t xml:space="preserve">low binary exposure risk areas and locations of reported </w:t>
      </w:r>
      <w:r>
        <w:rPr>
          <w:rFonts w:hint="eastAsia"/>
        </w:rPr>
        <w:t>different subtype cases</w:t>
      </w:r>
      <w:r>
        <w:t xml:space="preserve">. The high and low exposure risk areas </w:t>
      </w:r>
      <w:r>
        <w:rPr>
          <w:rFonts w:hint="eastAsia"/>
        </w:rPr>
        <w:t>has been</w:t>
      </w:r>
      <w:r>
        <w:t xml:space="preserve"> divided by </w:t>
      </w:r>
      <w:r>
        <w:rPr>
          <w:rFonts w:hint="eastAsia"/>
        </w:rPr>
        <w:t xml:space="preserve">the </w:t>
      </w:r>
      <w:r>
        <w:t>optimal threshold of WAE</w:t>
      </w:r>
      <w:r>
        <w:rPr>
          <w:rFonts w:hint="eastAsia"/>
        </w:rPr>
        <w:t xml:space="preserve"> (4.2), </w:t>
      </w:r>
      <w:r>
        <w:t xml:space="preserve">determined from </w:t>
      </w:r>
      <w:r>
        <w:rPr>
          <w:rFonts w:hint="eastAsia"/>
        </w:rPr>
        <w:t>the r</w:t>
      </w:r>
      <w:r>
        <w:t xml:space="preserve">eceiver </w:t>
      </w:r>
      <w:r>
        <w:rPr>
          <w:rFonts w:hint="eastAsia"/>
        </w:rPr>
        <w:t>o</w:t>
      </w:r>
      <w:r>
        <w:t xml:space="preserve">perating </w:t>
      </w:r>
      <w:r>
        <w:rPr>
          <w:rFonts w:hint="eastAsia"/>
        </w:rPr>
        <w:t>c</w:t>
      </w:r>
      <w:r>
        <w:t>haracteristic (ROC)</w:t>
      </w:r>
      <w:r>
        <w:rPr>
          <w:rFonts w:hint="eastAsia"/>
        </w:rPr>
        <w:t xml:space="preserve"> c</w:t>
      </w:r>
      <w:r>
        <w:t>urve using </w:t>
      </w:r>
      <w:r>
        <w:rPr>
          <w:rFonts w:hint="eastAsia"/>
        </w:rPr>
        <w:t xml:space="preserve">the </w:t>
      </w:r>
      <w:r>
        <w:t>Youden Index. The red points represent the reported cases of H5N1 HPAI</w:t>
      </w:r>
      <w:r>
        <w:rPr>
          <w:rFonts w:hint="eastAsia"/>
        </w:rPr>
        <w:t>;</w:t>
      </w:r>
      <w:r>
        <w:t xml:space="preserve"> violet points denote H5N5 HPAI cases</w:t>
      </w:r>
      <w:r>
        <w:rPr>
          <w:rFonts w:hint="eastAsia"/>
        </w:rPr>
        <w:t>;</w:t>
      </w:r>
      <w:r>
        <w:t xml:space="preserve"> blue triangles indicate occurrences of H9N2 LPAI</w:t>
      </w:r>
      <w:r>
        <w:rPr>
          <w:rFonts w:hint="eastAsia"/>
        </w:rPr>
        <w:t xml:space="preserve">; </w:t>
      </w:r>
      <w:r>
        <w:t xml:space="preserve">and dark green points signify H7N3 HPAI reports. Cases of H5N2 HPAI are shown as dark red points, and H5N6 HPAI is represented by orange points. The purple points reflect H5N8 HPAI instances, and light green triangles mark reported cases of H7N9 LPAI. </w:t>
      </w:r>
      <w:r>
        <w:rPr>
          <w:b/>
          <w:bCs/>
        </w:rPr>
        <w:t>(</w:t>
      </w:r>
      <w:r>
        <w:rPr>
          <w:rFonts w:hint="eastAsia"/>
          <w:b/>
          <w:bCs/>
        </w:rPr>
        <w:t>b</w:t>
      </w:r>
      <w:r>
        <w:rPr>
          <w:b/>
          <w:bCs/>
        </w:rPr>
        <w:t xml:space="preserve">) </w:t>
      </w:r>
      <w:r>
        <w:t>Spatial distribution of high</w:t>
      </w:r>
      <w:r>
        <w:rPr>
          <w:rFonts w:hint="eastAsia"/>
        </w:rPr>
        <w:t xml:space="preserve"> and </w:t>
      </w:r>
      <w:r>
        <w:t xml:space="preserve">low binary exposure risk areas and locations of </w:t>
      </w:r>
      <w:r>
        <w:rPr>
          <w:rFonts w:hint="eastAsia"/>
        </w:rPr>
        <w:t xml:space="preserve">different </w:t>
      </w:r>
      <w:r>
        <w:t>infected</w:t>
      </w:r>
      <w:r>
        <w:rPr>
          <w:rFonts w:hint="eastAsia"/>
        </w:rPr>
        <w:t xml:space="preserve"> animals, humans and the environmental samples</w:t>
      </w:r>
      <w:r>
        <w:t>.</w:t>
      </w:r>
      <w:r>
        <w:rPr>
          <w:rFonts w:hint="eastAsia"/>
        </w:rPr>
        <w:t xml:space="preserve"> R</w:t>
      </w:r>
      <w:r>
        <w:t xml:space="preserve">ed points represent cases in poultry, </w:t>
      </w:r>
      <w:r>
        <w:rPr>
          <w:rFonts w:hint="eastAsia"/>
        </w:rPr>
        <w:t>whereas</w:t>
      </w:r>
      <w:r>
        <w:t xml:space="preserve"> the dark red triangles indicate cases in wild birds. Domestic mammals are shown with purple points, and human-affected cases are marked with blue points. Environmental samples are represented by dark green squares, and wild mammal cases are shown with violet triangles.</w:t>
      </w:r>
      <w:r>
        <w:rPr>
          <w:b/>
          <w:bCs/>
        </w:rPr>
        <w:t xml:space="preserve"> (</w:t>
      </w:r>
      <w:r>
        <w:rPr>
          <w:rFonts w:hint="eastAsia"/>
          <w:b/>
          <w:bCs/>
        </w:rPr>
        <w:t>c</w:t>
      </w:r>
      <w:r>
        <w:rPr>
          <w:b/>
          <w:bCs/>
        </w:rPr>
        <w:t xml:space="preserve">) </w:t>
      </w:r>
      <w:r>
        <w:rPr>
          <w:rFonts w:hint="eastAsia"/>
        </w:rPr>
        <w:t>T</w:t>
      </w:r>
      <w:r>
        <w:t xml:space="preserve">he probability density of WAE. The histogram is colored gray for values </w:t>
      </w:r>
      <w:r>
        <w:rPr>
          <w:rFonts w:hint="eastAsia"/>
        </w:rPr>
        <w:t>≤</w:t>
      </w:r>
      <w:r>
        <w:t xml:space="preserve"> 4.11 and yellow for values </w:t>
      </w:r>
      <w:r>
        <w:rPr>
          <w:rFonts w:hint="eastAsia"/>
        </w:rPr>
        <w:t>&gt;</w:t>
      </w:r>
      <w:r>
        <w:t xml:space="preserve"> 4.11.</w:t>
      </w:r>
      <w:r>
        <w:rPr>
          <w:b/>
          <w:bCs/>
        </w:rPr>
        <w:t xml:space="preserve"> (</w:t>
      </w:r>
      <w:r>
        <w:rPr>
          <w:rFonts w:hint="eastAsia"/>
          <w:b/>
          <w:bCs/>
        </w:rPr>
        <w:t>d</w:t>
      </w:r>
      <w:r>
        <w:rPr>
          <w:b/>
          <w:bCs/>
        </w:rPr>
        <w:t xml:space="preserve">) </w:t>
      </w:r>
      <w:r>
        <w:rPr>
          <w:rFonts w:hint="eastAsia"/>
        </w:rPr>
        <w:t>P</w:t>
      </w:r>
      <w:r>
        <w:t>redictive</w:t>
      </w:r>
      <w:r>
        <w:rPr>
          <w:rFonts w:hint="eastAsia"/>
        </w:rPr>
        <w:t xml:space="preserve"> sensitivity of different subtypes and various </w:t>
      </w:r>
      <w:r>
        <w:t>pathogenicities</w:t>
      </w:r>
      <w:r>
        <w:rPr>
          <w:rFonts w:hint="eastAsia"/>
        </w:rPr>
        <w:t>. The size of the circles indicates the number of reported cases</w:t>
      </w:r>
      <w:r>
        <w:t xml:space="preserve">. The dotted line represents the overall </w:t>
      </w:r>
      <w:r>
        <w:rPr>
          <w:rFonts w:hint="eastAsia"/>
        </w:rPr>
        <w:t>sensitivity.</w:t>
      </w:r>
      <w:r>
        <w:t xml:space="preserve"> </w:t>
      </w:r>
      <w:r>
        <w:rPr>
          <w:b/>
          <w:bCs/>
        </w:rPr>
        <w:t>(</w:t>
      </w:r>
      <w:r>
        <w:rPr>
          <w:rFonts w:hint="eastAsia"/>
          <w:b/>
          <w:bCs/>
        </w:rPr>
        <w:t>e</w:t>
      </w:r>
      <w:r>
        <w:rPr>
          <w:b/>
          <w:bCs/>
        </w:rPr>
        <w:t xml:space="preserve">) </w:t>
      </w:r>
      <w:r>
        <w:rPr>
          <w:rFonts w:hint="eastAsia"/>
        </w:rPr>
        <w:t>P</w:t>
      </w:r>
      <w:r>
        <w:t>redictive</w:t>
      </w:r>
      <w:r>
        <w:rPr>
          <w:rFonts w:hint="eastAsia"/>
        </w:rPr>
        <w:t xml:space="preserve"> sensitivity across different </w:t>
      </w:r>
      <w:r>
        <w:t>infected</w:t>
      </w:r>
      <w:r>
        <w:rPr>
          <w:rFonts w:hint="eastAsia"/>
        </w:rPr>
        <w:t xml:space="preserve"> animals, humans and the environmental samples. The size of the circles </w:t>
      </w:r>
      <w:r>
        <w:rPr>
          <w:rFonts w:hint="eastAsia"/>
        </w:rPr>
        <w:lastRenderedPageBreak/>
        <w:t>indicates the number of reported cases</w:t>
      </w:r>
      <w:r>
        <w:t xml:space="preserve">. The dotted line represents the overall </w:t>
      </w:r>
      <w:r>
        <w:rPr>
          <w:rFonts w:hint="eastAsia"/>
        </w:rPr>
        <w:t>sensitivity.</w:t>
      </w:r>
    </w:p>
    <w:p w14:paraId="19E2DD39" w14:textId="77777777" w:rsidR="00BF1282" w:rsidRDefault="00BF1282" w:rsidP="00BF1282">
      <w:pPr>
        <w:pStyle w:val="a3"/>
        <w:spacing w:line="480" w:lineRule="auto"/>
        <w:ind w:right="240" w:firstLineChars="0" w:firstLine="0"/>
      </w:pPr>
      <w:r>
        <w:rPr>
          <w:noProof/>
        </w:rPr>
        <w:drawing>
          <wp:inline distT="0" distB="0" distL="0" distR="0" wp14:anchorId="4CD79281" wp14:editId="60F8FAAA">
            <wp:extent cx="5198110" cy="3447415"/>
            <wp:effectExtent l="0" t="0" r="0" b="0"/>
            <wp:docPr id="204393778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937782" name="图片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211155" cy="3456163"/>
                    </a:xfrm>
                    <a:prstGeom prst="rect">
                      <a:avLst/>
                    </a:prstGeom>
                    <a:noFill/>
                  </pic:spPr>
                </pic:pic>
              </a:graphicData>
            </a:graphic>
          </wp:inline>
        </w:drawing>
      </w:r>
    </w:p>
    <w:p w14:paraId="2F4D8A55"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4CC0A250" w14:textId="77777777" w:rsidR="00BF1282" w:rsidRDefault="00BF1282" w:rsidP="00BF1282">
      <w:pPr>
        <w:pStyle w:val="a3"/>
        <w:spacing w:line="480" w:lineRule="auto"/>
        <w:ind w:right="240" w:firstLineChars="0" w:firstLine="0"/>
      </w:pPr>
      <w:r>
        <w:rPr>
          <w:b/>
          <w:bCs/>
        </w:rPr>
        <w:lastRenderedPageBreak/>
        <w:t>Extended Data Fig. 8 Global</w:t>
      </w:r>
      <w:r>
        <w:rPr>
          <w:rFonts w:hint="eastAsia"/>
          <w:b/>
          <w:bCs/>
        </w:rPr>
        <w:t xml:space="preserve"> overlap patterns between waterbirds activity entropy (WAE) and </w:t>
      </w:r>
      <w:r>
        <w:rPr>
          <w:b/>
          <w:bCs/>
        </w:rPr>
        <w:t>human</w:t>
      </w:r>
      <w:r>
        <w:rPr>
          <w:rFonts w:hint="eastAsia"/>
          <w:b/>
          <w:bCs/>
        </w:rPr>
        <w:t xml:space="preserve"> density, cattle density, and poultry density. </w:t>
      </w:r>
      <w:r>
        <w:rPr>
          <w:rFonts w:hint="eastAsia"/>
        </w:rPr>
        <w:t>The</w:t>
      </w:r>
      <w:r>
        <w:t xml:space="preserve"> bivariate color map</w:t>
      </w:r>
      <w:r>
        <w:rPr>
          <w:rFonts w:hint="eastAsia"/>
        </w:rPr>
        <w:t>s</w:t>
      </w:r>
      <w:r>
        <w:t xml:space="preserve"> illustrate the relationship</w:t>
      </w:r>
      <w:r>
        <w:rPr>
          <w:rFonts w:hint="eastAsia"/>
        </w:rPr>
        <w:t>s</w:t>
      </w:r>
      <w:r>
        <w:t xml:space="preserve"> </w:t>
      </w:r>
      <w:r>
        <w:rPr>
          <w:rFonts w:hint="eastAsia"/>
        </w:rPr>
        <w:t>among</w:t>
      </w:r>
      <w:r>
        <w:t xml:space="preserve"> </w:t>
      </w:r>
      <w:r>
        <w:rPr>
          <w:rFonts w:hint="eastAsia"/>
        </w:rPr>
        <w:t>WAE</w:t>
      </w:r>
      <w:r>
        <w:t xml:space="preserve"> and human density</w:t>
      </w:r>
      <w:r>
        <w:rPr>
          <w:rFonts w:hint="eastAsia"/>
        </w:rPr>
        <w:t xml:space="preserve"> </w:t>
      </w:r>
      <w:r>
        <w:rPr>
          <w:rFonts w:hint="eastAsia"/>
          <w:b/>
          <w:bCs/>
        </w:rPr>
        <w:t xml:space="preserve">(a), </w:t>
      </w:r>
      <w:r>
        <w:rPr>
          <w:rFonts w:hint="eastAsia"/>
        </w:rPr>
        <w:t xml:space="preserve">cattle density </w:t>
      </w:r>
      <w:r>
        <w:rPr>
          <w:rFonts w:hint="eastAsia"/>
          <w:b/>
          <w:bCs/>
        </w:rPr>
        <w:t>(b)</w:t>
      </w:r>
      <w:r>
        <w:rPr>
          <w:rFonts w:hint="eastAsia"/>
        </w:rPr>
        <w:t xml:space="preserve">, and poultry density </w:t>
      </w:r>
      <w:r>
        <w:rPr>
          <w:rFonts w:hint="eastAsia"/>
          <w:b/>
          <w:bCs/>
        </w:rPr>
        <w:t>(c)</w:t>
      </w:r>
      <w:r>
        <w:rPr>
          <w:rFonts w:hint="eastAsia"/>
        </w:rPr>
        <w:t>.</w:t>
      </w:r>
      <w:r>
        <w:t xml:space="preserve"> Regions in purple indicate areas with high activity entropy concurrent with high human, cattle, or poultry density. All variables are separated by the tenth percentile.</w:t>
      </w:r>
      <w:r>
        <w:rPr>
          <w:rFonts w:hint="eastAsia"/>
        </w:rPr>
        <w:t xml:space="preserve"> Exposure risk areas for human density (WAE-Human) </w:t>
      </w:r>
      <w:r>
        <w:rPr>
          <w:rFonts w:hint="eastAsia"/>
          <w:b/>
          <w:bCs/>
        </w:rPr>
        <w:t xml:space="preserve">(d), </w:t>
      </w:r>
      <w:r>
        <w:rPr>
          <w:rFonts w:hint="eastAsia"/>
        </w:rPr>
        <w:t xml:space="preserve">cattle density (WAE-Cattle) </w:t>
      </w:r>
      <w:r>
        <w:rPr>
          <w:rFonts w:hint="eastAsia"/>
          <w:b/>
          <w:bCs/>
        </w:rPr>
        <w:t>(e)</w:t>
      </w:r>
      <w:r>
        <w:rPr>
          <w:rFonts w:hint="eastAsia"/>
        </w:rPr>
        <w:t xml:space="preserve">, and poultry density (WAE-Poultry) </w:t>
      </w:r>
      <w:r>
        <w:rPr>
          <w:rFonts w:hint="eastAsia"/>
          <w:b/>
          <w:bCs/>
        </w:rPr>
        <w:t xml:space="preserve">(f) </w:t>
      </w:r>
      <w:r>
        <w:rPr>
          <w:rFonts w:hint="eastAsia"/>
        </w:rPr>
        <w:t xml:space="preserve">are identified. Statistics are provided on the area of WAE-Human, WAE-Cattle, and WAE-Poultry </w:t>
      </w:r>
      <w:r>
        <w:t>a</w:t>
      </w:r>
      <w:r>
        <w:rPr>
          <w:rFonts w:hint="eastAsia"/>
        </w:rPr>
        <w:t>mong</w:t>
      </w:r>
      <w:r>
        <w:t xml:space="preserve"> different continents</w:t>
      </w:r>
      <w:r>
        <w:rPr>
          <w:rFonts w:hint="eastAsia"/>
        </w:rPr>
        <w:t xml:space="preserve"> </w:t>
      </w:r>
      <w:r>
        <w:rPr>
          <w:rFonts w:hint="eastAsia"/>
          <w:b/>
          <w:bCs/>
        </w:rPr>
        <w:t xml:space="preserve">(g) </w:t>
      </w:r>
      <w:r>
        <w:rPr>
          <w:rFonts w:hint="eastAsia"/>
        </w:rPr>
        <w:t xml:space="preserve">and countries </w:t>
      </w:r>
      <w:r>
        <w:rPr>
          <w:rFonts w:hint="eastAsia"/>
          <w:b/>
          <w:bCs/>
        </w:rPr>
        <w:t>(h)</w:t>
      </w:r>
      <w:r>
        <w:rPr>
          <w:rFonts w:hint="eastAsia"/>
        </w:rPr>
        <w:t xml:space="preserve">. </w:t>
      </w:r>
      <w:r>
        <w:t>Additionally, </w:t>
      </w:r>
      <w:r>
        <w:rPr>
          <w:rFonts w:hint="eastAsia"/>
        </w:rPr>
        <w:t xml:space="preserve">statistics on numbers of exposed </w:t>
      </w:r>
      <w:r>
        <w:t>populations</w:t>
      </w:r>
      <w:r>
        <w:rPr>
          <w:rFonts w:hint="eastAsia"/>
        </w:rPr>
        <w:t xml:space="preserve"> within regions of WAE-Human, WAE-Cattle, and WAE-Poultry </w:t>
      </w:r>
      <w:r>
        <w:t>across </w:t>
      </w:r>
      <w:r>
        <w:rPr>
          <w:rFonts w:hint="eastAsia"/>
        </w:rPr>
        <w:t xml:space="preserve">different continents </w:t>
      </w:r>
      <w:r>
        <w:rPr>
          <w:rFonts w:hint="eastAsia"/>
          <w:b/>
          <w:bCs/>
        </w:rPr>
        <w:t xml:space="preserve">(i) </w:t>
      </w:r>
      <w:r>
        <w:rPr>
          <w:rFonts w:hint="eastAsia"/>
        </w:rPr>
        <w:t>and countries/regions</w:t>
      </w:r>
      <w:r>
        <w:rPr>
          <w:rFonts w:hint="eastAsia"/>
          <w:b/>
          <w:bCs/>
        </w:rPr>
        <w:t xml:space="preserve"> (j)</w:t>
      </w:r>
      <w:r>
        <w:rPr>
          <w:rFonts w:hint="eastAsia"/>
        </w:rPr>
        <w:t>.</w:t>
      </w:r>
    </w:p>
    <w:p w14:paraId="151FC330" w14:textId="77777777" w:rsidR="00BF1282" w:rsidRDefault="00BF1282" w:rsidP="00BF1282">
      <w:pPr>
        <w:pStyle w:val="a3"/>
        <w:spacing w:line="480" w:lineRule="auto"/>
        <w:ind w:right="240" w:firstLineChars="0" w:firstLine="0"/>
      </w:pPr>
      <w:r>
        <w:rPr>
          <w:noProof/>
        </w:rPr>
        <w:lastRenderedPageBreak/>
        <w:drawing>
          <wp:inline distT="0" distB="0" distL="0" distR="0" wp14:anchorId="252B74E9" wp14:editId="28EE81DE">
            <wp:extent cx="5283835" cy="3926205"/>
            <wp:effectExtent l="0" t="0" r="0" b="0"/>
            <wp:docPr id="210065436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654362" name="图片 1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94858" cy="3934354"/>
                    </a:xfrm>
                    <a:prstGeom prst="rect">
                      <a:avLst/>
                    </a:prstGeom>
                    <a:noFill/>
                  </pic:spPr>
                </pic:pic>
              </a:graphicData>
            </a:graphic>
          </wp:inline>
        </w:drawing>
      </w:r>
    </w:p>
    <w:p w14:paraId="7E8FC008"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6BC6EA90" w14:textId="77777777" w:rsidR="00BF1282" w:rsidRDefault="00BF1282" w:rsidP="00BF1282">
      <w:pPr>
        <w:pStyle w:val="a3"/>
        <w:spacing w:line="480" w:lineRule="auto"/>
        <w:ind w:right="240" w:firstLineChars="0" w:firstLine="0"/>
      </w:pPr>
      <w:r>
        <w:rPr>
          <w:b/>
          <w:bCs/>
        </w:rPr>
        <w:lastRenderedPageBreak/>
        <w:t xml:space="preserve">Extended Data Fig. 9 </w:t>
      </w:r>
      <w:r>
        <w:rPr>
          <w:rFonts w:hint="eastAsia"/>
          <w:b/>
          <w:bCs/>
        </w:rPr>
        <w:t xml:space="preserve">Statistics of area and exposed population in exposure hotspots. (a) </w:t>
      </w:r>
      <w:r>
        <w:t>Statistics</w:t>
      </w:r>
      <w:r>
        <w:rPr>
          <w:rFonts w:hint="eastAsia"/>
        </w:rPr>
        <w:t xml:space="preserve"> on the number of exposed </w:t>
      </w:r>
      <w:r>
        <w:t>humans</w:t>
      </w:r>
      <w:r>
        <w:rPr>
          <w:rFonts w:hint="eastAsia"/>
        </w:rPr>
        <w:t xml:space="preserve">, cattle, and </w:t>
      </w:r>
      <w:r>
        <w:t>poultry</w:t>
      </w:r>
      <w:r>
        <w:rPr>
          <w:rFonts w:hint="eastAsia"/>
        </w:rPr>
        <w:t xml:space="preserve"> within hotspots among different continents.</w:t>
      </w:r>
      <w:r>
        <w:rPr>
          <w:rFonts w:hint="eastAsia"/>
          <w:b/>
          <w:bCs/>
        </w:rPr>
        <w:t xml:space="preserve"> </w:t>
      </w:r>
      <w:r>
        <w:rPr>
          <w:rFonts w:hint="eastAsia"/>
        </w:rPr>
        <w:t xml:space="preserve">Hotspots </w:t>
      </w:r>
      <w:r>
        <w:t>are categorized into</w:t>
      </w:r>
      <w:r>
        <w:rPr>
          <w:rFonts w:hint="eastAsia"/>
        </w:rPr>
        <w:t xml:space="preserve"> poultry-exposed-zones, cattle- exposed-zones, human-exposed-zones, cattle-and-poultry-exposed zones, cattle-and-human-exposed zones, human-and-poultry-exposed zones, and </w:t>
      </w:r>
      <w:r>
        <w:t>human</w:t>
      </w:r>
      <w:r>
        <w:rPr>
          <w:rFonts w:hint="eastAsia"/>
        </w:rPr>
        <w:t>-cattle-and-poultry-exposed zones.</w:t>
      </w:r>
      <w:r>
        <w:rPr>
          <w:rFonts w:hint="eastAsia"/>
          <w:b/>
          <w:bCs/>
        </w:rPr>
        <w:t xml:space="preserve"> (b)</w:t>
      </w:r>
      <w:r>
        <w:rPr>
          <w:rFonts w:hint="eastAsia"/>
        </w:rPr>
        <w:t xml:space="preserve"> </w:t>
      </w:r>
      <w:r>
        <w:t>Statistics</w:t>
      </w:r>
      <w:r>
        <w:rPr>
          <w:rFonts w:hint="eastAsia"/>
        </w:rPr>
        <w:t xml:space="preserve"> on the number of exposed </w:t>
      </w:r>
      <w:r>
        <w:t>humans</w:t>
      </w:r>
      <w:r>
        <w:rPr>
          <w:rFonts w:hint="eastAsia"/>
        </w:rPr>
        <w:t>, cattle, and poultry populations within hotspots among the k</w:t>
      </w:r>
      <w:r>
        <w:t>ey exposure countries/regions</w:t>
      </w:r>
      <w:r>
        <w:rPr>
          <w:rFonts w:hint="eastAsia"/>
        </w:rPr>
        <w:t>.</w:t>
      </w:r>
    </w:p>
    <w:p w14:paraId="492199A9" w14:textId="77777777" w:rsidR="00BF1282" w:rsidRDefault="00BF1282" w:rsidP="00BF1282">
      <w:pPr>
        <w:pStyle w:val="a3"/>
        <w:spacing w:line="480" w:lineRule="auto"/>
        <w:ind w:right="240" w:firstLineChars="0" w:firstLine="0"/>
      </w:pPr>
      <w:r>
        <w:rPr>
          <w:noProof/>
        </w:rPr>
        <w:drawing>
          <wp:inline distT="0" distB="0" distL="0" distR="0" wp14:anchorId="613FBB22" wp14:editId="00391530">
            <wp:extent cx="5194300" cy="2828925"/>
            <wp:effectExtent l="0" t="0" r="0" b="0"/>
            <wp:docPr id="76597467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974670" name="图片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10979" cy="2838001"/>
                    </a:xfrm>
                    <a:prstGeom prst="rect">
                      <a:avLst/>
                    </a:prstGeom>
                    <a:noFill/>
                  </pic:spPr>
                </pic:pic>
              </a:graphicData>
            </a:graphic>
          </wp:inline>
        </w:drawing>
      </w:r>
    </w:p>
    <w:p w14:paraId="2910D245"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055F6DCC" w14:textId="77777777" w:rsidR="00BF1282" w:rsidRDefault="00BF1282" w:rsidP="00BF1282">
      <w:pPr>
        <w:pStyle w:val="a3"/>
        <w:spacing w:line="480" w:lineRule="auto"/>
        <w:ind w:right="240" w:firstLineChars="0" w:firstLine="0"/>
      </w:pPr>
      <w:r>
        <w:rPr>
          <w:b/>
          <w:bCs/>
        </w:rPr>
        <w:lastRenderedPageBreak/>
        <w:t>Extended Data Fig.</w:t>
      </w:r>
      <w:r>
        <w:rPr>
          <w:rFonts w:hint="eastAsia"/>
          <w:b/>
          <w:bCs/>
        </w:rPr>
        <w:t xml:space="preserve"> 10 W</w:t>
      </w:r>
      <w:r>
        <w:rPr>
          <w:b/>
          <w:bCs/>
        </w:rPr>
        <w:t xml:space="preserve">aterbird functional groups </w:t>
      </w:r>
      <w:r>
        <w:rPr>
          <w:rFonts w:hint="eastAsia"/>
          <w:b/>
          <w:bCs/>
        </w:rPr>
        <w:t xml:space="preserve">with highest water activity entropy (WAE) </w:t>
      </w:r>
      <w:r>
        <w:rPr>
          <w:b/>
          <w:bCs/>
        </w:rPr>
        <w:t>in hotspots</w:t>
      </w:r>
      <w:r>
        <w:rPr>
          <w:rFonts w:hint="eastAsia"/>
          <w:b/>
          <w:bCs/>
        </w:rPr>
        <w:t xml:space="preserve"> among</w:t>
      </w:r>
      <w:r>
        <w:rPr>
          <w:b/>
          <w:bCs/>
        </w:rPr>
        <w:t xml:space="preserve"> </w:t>
      </w:r>
      <w:r>
        <w:rPr>
          <w:rFonts w:hint="eastAsia"/>
          <w:b/>
          <w:bCs/>
        </w:rPr>
        <w:t>k</w:t>
      </w:r>
      <w:r>
        <w:rPr>
          <w:b/>
          <w:bCs/>
        </w:rPr>
        <w:t>ey exposure countries/regions</w:t>
      </w:r>
      <w:r>
        <w:rPr>
          <w:rFonts w:hint="eastAsia"/>
          <w:b/>
          <w:bCs/>
        </w:rPr>
        <w:t xml:space="preserve"> (</w:t>
      </w:r>
      <w:r>
        <w:rPr>
          <w:b/>
          <w:bCs/>
        </w:rPr>
        <w:t xml:space="preserve">USA, EU, </w:t>
      </w:r>
      <w:r>
        <w:rPr>
          <w:rFonts w:hint="eastAsia"/>
          <w:b/>
          <w:bCs/>
        </w:rPr>
        <w:t xml:space="preserve"> </w:t>
      </w:r>
      <w:r>
        <w:rPr>
          <w:b/>
          <w:bCs/>
        </w:rPr>
        <w:t xml:space="preserve">China and India </w:t>
      </w:r>
      <w:r>
        <w:rPr>
          <w:rFonts w:hint="eastAsia"/>
          <w:b/>
          <w:bCs/>
        </w:rPr>
        <w:t>)</w:t>
      </w:r>
      <w:r>
        <w:rPr>
          <w:b/>
          <w:bCs/>
        </w:rPr>
        <w:t>.</w:t>
      </w:r>
      <w:r>
        <w:rPr>
          <w:rFonts w:hint="eastAsia"/>
          <w:b/>
          <w:bCs/>
        </w:rPr>
        <w:t xml:space="preserve"> </w:t>
      </w:r>
      <w:r>
        <w:t>Each</w:t>
      </w:r>
      <w:r>
        <w:rPr>
          <w:rFonts w:hint="eastAsia"/>
        </w:rPr>
        <w:t xml:space="preserve"> pixel is </w:t>
      </w:r>
      <w:r>
        <w:t>identified</w:t>
      </w:r>
      <w:r>
        <w:rPr>
          <w:rFonts w:hint="eastAsia"/>
        </w:rPr>
        <w:t xml:space="preserve"> as one of </w:t>
      </w:r>
      <w:r>
        <w:t>the following functional groups with the highest WAE: </w:t>
      </w:r>
      <w:r>
        <w:rPr>
          <w:rFonts w:hint="eastAsia"/>
        </w:rPr>
        <w:t xml:space="preserve">seabirds, shorebirds, waterbirds, large wading birds, and others. </w:t>
      </w:r>
      <w:r>
        <w:t>This identification is based on</w:t>
      </w:r>
      <w:r>
        <w:rPr>
          <w:rFonts w:hint="eastAsia"/>
        </w:rPr>
        <w:t xml:space="preserve"> confirmed </w:t>
      </w:r>
      <w:r>
        <w:t>avian</w:t>
      </w:r>
      <w:r>
        <w:rPr>
          <w:rFonts w:hint="eastAsia"/>
        </w:rPr>
        <w:t xml:space="preserve"> influenza virus </w:t>
      </w:r>
      <w:r>
        <w:t>carr</w:t>
      </w:r>
      <w:r>
        <w:rPr>
          <w:rFonts w:hint="eastAsia"/>
        </w:rPr>
        <w:t>ying hosts</w:t>
      </w:r>
      <w:r>
        <w:rPr>
          <w:rFonts w:hint="eastAsia"/>
          <w:b/>
          <w:bCs/>
        </w:rPr>
        <w:t xml:space="preserve"> (a)</w:t>
      </w:r>
      <w:r>
        <w:rPr>
          <w:rFonts w:hint="eastAsia"/>
        </w:rPr>
        <w:t xml:space="preserve"> or all suspected hosts</w:t>
      </w:r>
      <w:r>
        <w:rPr>
          <w:rFonts w:hint="eastAsia"/>
          <w:b/>
          <w:bCs/>
        </w:rPr>
        <w:t xml:space="preserve"> (c)</w:t>
      </w:r>
      <w:r>
        <w:rPr>
          <w:rFonts w:hint="eastAsia"/>
        </w:rPr>
        <w:t xml:space="preserve">. </w:t>
      </w:r>
      <w:r>
        <w:t>The numbers represent the count of pixels among waterbird functional group</w:t>
      </w:r>
      <w:r>
        <w:rPr>
          <w:rFonts w:hint="eastAsia"/>
        </w:rPr>
        <w:t xml:space="preserve"> of confirmed </w:t>
      </w:r>
      <w:r>
        <w:t>hosts</w:t>
      </w:r>
      <w:r>
        <w:rPr>
          <w:rFonts w:hint="eastAsia"/>
          <w:b/>
          <w:bCs/>
        </w:rPr>
        <w:t xml:space="preserve"> (b)</w:t>
      </w:r>
      <w:r>
        <w:rPr>
          <w:rFonts w:hint="eastAsia"/>
        </w:rPr>
        <w:t xml:space="preserve"> or all suspected hosts</w:t>
      </w:r>
      <w:r>
        <w:rPr>
          <w:rFonts w:hint="eastAsia"/>
          <w:b/>
          <w:bCs/>
        </w:rPr>
        <w:t xml:space="preserve"> (d)</w:t>
      </w:r>
      <w:r>
        <w:t xml:space="preserve"> with highest WAE across </w:t>
      </w:r>
      <w:r>
        <w:rPr>
          <w:rFonts w:hint="eastAsia"/>
        </w:rPr>
        <w:t>hotspots in the</w:t>
      </w:r>
      <w:r>
        <w:t xml:space="preserve"> different </w:t>
      </w:r>
      <w:r>
        <w:rPr>
          <w:rFonts w:hint="eastAsia"/>
        </w:rPr>
        <w:t xml:space="preserve">key </w:t>
      </w:r>
      <w:r>
        <w:t xml:space="preserve">exposure </w:t>
      </w:r>
      <w:r>
        <w:rPr>
          <w:rFonts w:hint="eastAsia"/>
        </w:rPr>
        <w:t>countries/</w:t>
      </w:r>
      <w:r>
        <w:t>regions.</w:t>
      </w:r>
      <w:r>
        <w:rPr>
          <w:rFonts w:hint="eastAsia"/>
        </w:rPr>
        <w:t xml:space="preserve"> </w:t>
      </w:r>
    </w:p>
    <w:p w14:paraId="3903DE96" w14:textId="77777777" w:rsidR="00BF1282" w:rsidRDefault="00BF1282" w:rsidP="00BF1282">
      <w:pPr>
        <w:pStyle w:val="a3"/>
        <w:spacing w:line="480" w:lineRule="auto"/>
        <w:ind w:right="240" w:firstLineChars="0" w:firstLine="0"/>
      </w:pPr>
      <w:r>
        <w:rPr>
          <w:noProof/>
        </w:rPr>
        <w:drawing>
          <wp:inline distT="0" distB="0" distL="0" distR="0" wp14:anchorId="0958928F" wp14:editId="40EA8690">
            <wp:extent cx="5283200" cy="2988310"/>
            <wp:effectExtent l="0" t="0" r="0" b="0"/>
            <wp:docPr id="66097673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976733" name="图片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96080" cy="2995620"/>
                    </a:xfrm>
                    <a:prstGeom prst="rect">
                      <a:avLst/>
                    </a:prstGeom>
                    <a:noFill/>
                  </pic:spPr>
                </pic:pic>
              </a:graphicData>
            </a:graphic>
          </wp:inline>
        </w:drawing>
      </w:r>
    </w:p>
    <w:p w14:paraId="647EF22A"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751D0EA5" w14:textId="77777777" w:rsidR="00BF1282" w:rsidRDefault="00BF1282" w:rsidP="00BF1282">
      <w:pPr>
        <w:pStyle w:val="a3"/>
        <w:spacing w:line="480" w:lineRule="auto"/>
        <w:ind w:right="240" w:firstLineChars="0" w:firstLine="0"/>
      </w:pPr>
      <w:r>
        <w:rPr>
          <w:b/>
          <w:bCs/>
        </w:rPr>
        <w:lastRenderedPageBreak/>
        <w:t>Extended Data Fig</w:t>
      </w:r>
      <w:r>
        <w:rPr>
          <w:rFonts w:hint="eastAsia"/>
          <w:b/>
          <w:bCs/>
        </w:rPr>
        <w:t xml:space="preserve">. 11 </w:t>
      </w:r>
      <w:r>
        <w:rPr>
          <w:b/>
          <w:bCs/>
        </w:rPr>
        <w:t xml:space="preserve">Comparative efficacy of different models in simulating waterbird species distribution. </w:t>
      </w:r>
      <w:r>
        <w:rPr>
          <w:rFonts w:hint="eastAsia"/>
          <w:b/>
          <w:bCs/>
        </w:rPr>
        <w:t>(a)</w:t>
      </w:r>
      <w:r>
        <w:rPr>
          <w:b/>
          <w:bCs/>
        </w:rPr>
        <w:t xml:space="preserve"> </w:t>
      </w:r>
      <w:r>
        <w:t>Comparative analysis.</w:t>
      </w:r>
      <w:r>
        <w:rPr>
          <w:b/>
          <w:bCs/>
        </w:rPr>
        <w:t xml:space="preserve"> </w:t>
      </w:r>
      <w:r>
        <w:t xml:space="preserve">Red boxplots/bars represent SDM models without water, while green boxplots/bars represent SDM models with water. This panel compares the overall AUC of SDM models with and without water bodies, facilitating an evaluation of model performance and predictive accuracy across different orders. </w:t>
      </w:r>
      <w:r>
        <w:rPr>
          <w:rFonts w:hint="eastAsia"/>
          <w:b/>
          <w:bCs/>
        </w:rPr>
        <w:t xml:space="preserve">(b) </w:t>
      </w:r>
      <w:r>
        <w:t>Comparison of the AUC for three distinct SDM models with and without water bodies.</w:t>
      </w:r>
      <w:r>
        <w:rPr>
          <w:rFonts w:hint="eastAsia"/>
        </w:rPr>
        <w:t xml:space="preserve"> </w:t>
      </w:r>
      <w:r>
        <w:rPr>
          <w:rFonts w:hint="eastAsia"/>
          <w:b/>
          <w:bCs/>
        </w:rPr>
        <w:t xml:space="preserve">(c) </w:t>
      </w:r>
      <w:r>
        <w:t>Comparison of the AUC for simulations targeting different species with and without water bodies.</w:t>
      </w:r>
      <w:r>
        <w:rPr>
          <w:rFonts w:hint="eastAsia"/>
        </w:rPr>
        <w:t xml:space="preserve"> </w:t>
      </w:r>
      <w:r>
        <w:t>We combined the outcomes of various modeling approaches to simulate the distribution patterns of waterbird species, enabling a comprehensive evaluation of model performance and predictive accuracy.</w:t>
      </w:r>
    </w:p>
    <w:p w14:paraId="76C7C487" w14:textId="77777777" w:rsidR="00BF1282" w:rsidRDefault="00BF1282" w:rsidP="00BF1282">
      <w:pPr>
        <w:pStyle w:val="a3"/>
        <w:spacing w:line="480" w:lineRule="auto"/>
        <w:ind w:right="240" w:firstLineChars="0" w:firstLine="0"/>
      </w:pPr>
      <w:r>
        <w:rPr>
          <w:noProof/>
        </w:rPr>
        <w:drawing>
          <wp:inline distT="0" distB="0" distL="0" distR="0" wp14:anchorId="324D28C9" wp14:editId="177A10FD">
            <wp:extent cx="5337175" cy="1936750"/>
            <wp:effectExtent l="0" t="0" r="0" b="0"/>
            <wp:docPr id="137345266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452662" name="图片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5363372" cy="1946359"/>
                    </a:xfrm>
                    <a:prstGeom prst="rect">
                      <a:avLst/>
                    </a:prstGeom>
                    <a:noFill/>
                  </pic:spPr>
                </pic:pic>
              </a:graphicData>
            </a:graphic>
          </wp:inline>
        </w:drawing>
      </w:r>
    </w:p>
    <w:p w14:paraId="68CB6128"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5D5B2DF2" w14:textId="77777777" w:rsidR="00BF1282" w:rsidRDefault="00BF1282" w:rsidP="00BF1282">
      <w:pPr>
        <w:pStyle w:val="a3"/>
        <w:spacing w:line="480" w:lineRule="auto"/>
        <w:ind w:right="240" w:firstLineChars="0" w:firstLine="0"/>
      </w:pPr>
      <w:r>
        <w:rPr>
          <w:b/>
          <w:bCs/>
        </w:rPr>
        <w:lastRenderedPageBreak/>
        <w:t>Extended Data Fig. 1</w:t>
      </w:r>
      <w:r>
        <w:rPr>
          <w:rFonts w:hint="eastAsia"/>
          <w:b/>
          <w:bCs/>
        </w:rPr>
        <w:t>2</w:t>
      </w:r>
      <w:r>
        <w:rPr>
          <w:b/>
          <w:bCs/>
        </w:rPr>
        <w:t xml:space="preserve"> Drive analysis of waterbird activity entropy (WAE) in</w:t>
      </w:r>
      <w:r>
        <w:rPr>
          <w:rFonts w:hint="eastAsia"/>
          <w:b/>
          <w:bCs/>
        </w:rPr>
        <w:t xml:space="preserve"> the</w:t>
      </w:r>
      <w:r>
        <w:rPr>
          <w:b/>
          <w:bCs/>
        </w:rPr>
        <w:t xml:space="preserve"> </w:t>
      </w:r>
      <w:r>
        <w:rPr>
          <w:rFonts w:hint="eastAsia"/>
          <w:b/>
          <w:bCs/>
        </w:rPr>
        <w:t>k</w:t>
      </w:r>
      <w:r>
        <w:rPr>
          <w:b/>
          <w:bCs/>
        </w:rPr>
        <w:t xml:space="preserve">ey exposure countries/regions. (a) </w:t>
      </w:r>
      <w:r>
        <w:t xml:space="preserve">The Pearson correlation statistic between WAE and three groups of drivers. It was conducted across </w:t>
      </w:r>
      <w:r>
        <w:rPr>
          <w:rFonts w:hint="eastAsia"/>
        </w:rPr>
        <w:t>of key</w:t>
      </w:r>
      <w:r>
        <w:t xml:space="preserve"> exposure countries/regions: the United States (US</w:t>
      </w:r>
      <w:r>
        <w:rPr>
          <w:rFonts w:hint="eastAsia"/>
        </w:rPr>
        <w:t>A</w:t>
      </w:r>
      <w:r>
        <w:t>)</w:t>
      </w:r>
      <w:r>
        <w:rPr>
          <w:rFonts w:hint="eastAsia"/>
        </w:rPr>
        <w:t xml:space="preserve">, </w:t>
      </w:r>
      <w:r>
        <w:t>the E</w:t>
      </w:r>
      <w:r>
        <w:rPr>
          <w:rFonts w:hint="eastAsia"/>
        </w:rPr>
        <w:t xml:space="preserve">uropean </w:t>
      </w:r>
      <w:r>
        <w:t>U</w:t>
      </w:r>
      <w:r>
        <w:rPr>
          <w:rFonts w:hint="eastAsia"/>
        </w:rPr>
        <w:t>nion</w:t>
      </w:r>
      <w:r>
        <w:t xml:space="preserve"> (E</w:t>
      </w:r>
      <w:r>
        <w:rPr>
          <w:rFonts w:hint="eastAsia"/>
        </w:rPr>
        <w:t>U</w:t>
      </w:r>
      <w:r>
        <w:t>),</w:t>
      </w:r>
      <w:r>
        <w:rPr>
          <w:rFonts w:hint="eastAsia"/>
        </w:rPr>
        <w:t xml:space="preserve"> </w:t>
      </w:r>
      <w:r>
        <w:t xml:space="preserve">China, and India. These drivers were categorized into three groups: </w:t>
      </w:r>
      <w:r>
        <w:rPr>
          <w:rFonts w:hint="eastAsia"/>
        </w:rPr>
        <w:t>g</w:t>
      </w:r>
      <w:r>
        <w:t xml:space="preserve">eographic and </w:t>
      </w:r>
      <w:r>
        <w:rPr>
          <w:rFonts w:hint="eastAsia"/>
        </w:rPr>
        <w:t>c</w:t>
      </w:r>
      <w:r>
        <w:t xml:space="preserve">limate </w:t>
      </w:r>
      <w:r>
        <w:rPr>
          <w:rFonts w:hint="eastAsia"/>
        </w:rPr>
        <w:t>f</w:t>
      </w:r>
      <w:r>
        <w:t xml:space="preserve">actors, </w:t>
      </w:r>
      <w:r>
        <w:rPr>
          <w:rFonts w:hint="eastAsia"/>
        </w:rPr>
        <w:t>v</w:t>
      </w:r>
      <w:r>
        <w:t xml:space="preserve">egetation </w:t>
      </w:r>
      <w:r>
        <w:rPr>
          <w:rFonts w:hint="eastAsia"/>
        </w:rPr>
        <w:t>i</w:t>
      </w:r>
      <w:r>
        <w:t>ndicator</w:t>
      </w:r>
      <w:r>
        <w:rPr>
          <w:rFonts w:hint="eastAsia"/>
        </w:rPr>
        <w:t>,</w:t>
      </w:r>
      <w:r>
        <w:t xml:space="preserve"> and </w:t>
      </w:r>
      <w:r>
        <w:rPr>
          <w:rFonts w:hint="eastAsia"/>
        </w:rPr>
        <w:t>h</w:t>
      </w:r>
      <w:r>
        <w:t xml:space="preserve">uman </w:t>
      </w:r>
      <w:r>
        <w:rPr>
          <w:rFonts w:hint="eastAsia"/>
        </w:rPr>
        <w:t>a</w:t>
      </w:r>
      <w:r>
        <w:t xml:space="preserve">ctivity </w:t>
      </w:r>
      <w:r>
        <w:rPr>
          <w:rFonts w:hint="eastAsia"/>
        </w:rPr>
        <w:t>f</w:t>
      </w:r>
      <w:r>
        <w:t xml:space="preserve">actors. </w:t>
      </w:r>
      <w:r>
        <w:rPr>
          <w:b/>
          <w:bCs/>
        </w:rPr>
        <w:t xml:space="preserve">(b) </w:t>
      </w:r>
      <w:r>
        <w:t xml:space="preserve">The relationship between WAE and </w:t>
      </w:r>
      <w:r>
        <w:rPr>
          <w:rFonts w:hint="eastAsia"/>
        </w:rPr>
        <w:t>human</w:t>
      </w:r>
      <w:r>
        <w:t xml:space="preserve"> density</w:t>
      </w:r>
      <w:r>
        <w:rPr>
          <w:rFonts w:hint="eastAsia"/>
        </w:rPr>
        <w:t>,</w:t>
      </w:r>
      <w:r>
        <w:t xml:space="preserve"> </w:t>
      </w:r>
      <w:r>
        <w:rPr>
          <w:rFonts w:hint="eastAsia"/>
        </w:rPr>
        <w:t>cattle density, and</w:t>
      </w:r>
      <w:r>
        <w:t xml:space="preserve"> poultry density, respectively</w:t>
      </w:r>
      <w:r>
        <w:rPr>
          <w:rFonts w:hint="eastAsia"/>
        </w:rPr>
        <w:t>;</w:t>
      </w:r>
      <w:r>
        <w:t xml:space="preserve"> </w:t>
      </w:r>
      <w:r>
        <w:rPr>
          <w:rFonts w:hint="eastAsia"/>
        </w:rPr>
        <w:t>b</w:t>
      </w:r>
      <w:r>
        <w:t xml:space="preserve">oth </w:t>
      </w:r>
      <w:r>
        <w:rPr>
          <w:rFonts w:hint="eastAsia"/>
        </w:rPr>
        <w:t>populations</w:t>
      </w:r>
      <w:r>
        <w:t xml:space="preserve"> density were log-transformed. </w:t>
      </w:r>
      <w:r>
        <w:rPr>
          <w:b/>
          <w:bCs/>
        </w:rPr>
        <w:t xml:space="preserve">(c) </w:t>
      </w:r>
      <w:r>
        <w:t>Mantel tests and Pearson's correlation matrix illustrate relationships between WAE of different waterbird functional group and three types of drivers</w:t>
      </w:r>
      <w:r>
        <w:rPr>
          <w:rFonts w:hint="eastAsia"/>
        </w:rPr>
        <w:t xml:space="preserve"> in the USA,</w:t>
      </w:r>
      <w:r>
        <w:t xml:space="preserve"> EU</w:t>
      </w:r>
      <w:r>
        <w:rPr>
          <w:rFonts w:hint="eastAsia"/>
        </w:rPr>
        <w:t>, China, and India</w:t>
      </w:r>
      <w:r>
        <w:t>. Mantel tests quantified the correlation between WAE and dependent drivers at five waterbird functional groups (seabirds, shorebirds, large wading birds, waterfowl and others). The line width corresponds to the</w:t>
      </w:r>
      <w:r>
        <w:rPr>
          <w:rFonts w:hint="eastAsia"/>
        </w:rPr>
        <w:t xml:space="preserve"> p</w:t>
      </w:r>
      <w:r>
        <w:t>artial Mantel's r</w:t>
      </w:r>
      <w:r>
        <w:rPr>
          <w:rFonts w:hint="eastAsia"/>
        </w:rPr>
        <w:t>-</w:t>
      </w:r>
      <w:r>
        <w:t xml:space="preserve">statistic for the corresponding correlation, and the solid lines indicate statistical significance. Pearson's correlation coefficient matrix shows the relationships among dependent drivers. Warm and cold colors represent the negative and positive correlations, respectively. The significant levels of Pearson's correlation among dependent drivers were indicated by square size. The three types of drivers </w:t>
      </w:r>
      <w:r>
        <w:rPr>
          <w:rFonts w:hint="eastAsia"/>
        </w:rPr>
        <w:t>i</w:t>
      </w:r>
      <w:r>
        <w:t xml:space="preserve">nclude </w:t>
      </w:r>
      <w:r>
        <w:rPr>
          <w:rFonts w:hint="eastAsia"/>
        </w:rPr>
        <w:t>l</w:t>
      </w:r>
      <w:r>
        <w:t xml:space="preserve">ongitude (°), </w:t>
      </w:r>
      <w:r>
        <w:rPr>
          <w:rFonts w:hint="eastAsia"/>
        </w:rPr>
        <w:t>l</w:t>
      </w:r>
      <w:r>
        <w:t xml:space="preserve">atitude (°), </w:t>
      </w:r>
      <w:r>
        <w:rPr>
          <w:rFonts w:hint="eastAsia"/>
        </w:rPr>
        <w:t>p</w:t>
      </w:r>
      <w:r>
        <w:t xml:space="preserve">recipitation (mm), </w:t>
      </w:r>
      <w:r>
        <w:rPr>
          <w:rFonts w:hint="eastAsia"/>
        </w:rPr>
        <w:t>t</w:t>
      </w:r>
      <w:r>
        <w:t>emperature (</w:t>
      </w:r>
      <w:r>
        <w:rPr>
          <w:vertAlign w:val="superscript"/>
        </w:rPr>
        <w:t>o</w:t>
      </w:r>
      <w:r>
        <w:rPr>
          <w:rFonts w:hint="eastAsia"/>
        </w:rPr>
        <w:t>C</w:t>
      </w:r>
      <w:r>
        <w:t xml:space="preserve">), numbers of days below 0 </w:t>
      </w:r>
      <w:r>
        <w:rPr>
          <w:rFonts w:hint="eastAsia"/>
          <w:vertAlign w:val="superscript"/>
        </w:rPr>
        <w:t>o</w:t>
      </w:r>
      <w:r>
        <w:rPr>
          <w:rFonts w:hint="eastAsia"/>
        </w:rPr>
        <w:t>C</w:t>
      </w:r>
      <w:r>
        <w:t xml:space="preserve"> (Frost days), gross primary productivity (GPP, g C m</w:t>
      </w:r>
      <w:r>
        <w:rPr>
          <w:vertAlign w:val="superscript"/>
        </w:rPr>
        <w:t>−2</w:t>
      </w:r>
      <w:r>
        <w:t xml:space="preserve"> day</w:t>
      </w:r>
      <w:r>
        <w:rPr>
          <w:vertAlign w:val="superscript"/>
        </w:rPr>
        <w:t>−1</w:t>
      </w:r>
      <w:r>
        <w:t>), gross primary productivity coefficient of variation (CV of GPP), net primary productivity (NPP, g C m</w:t>
      </w:r>
      <w:r>
        <w:rPr>
          <w:vertAlign w:val="superscript"/>
        </w:rPr>
        <w:t>−2</w:t>
      </w:r>
      <w:r>
        <w:t xml:space="preserve"> day</w:t>
      </w:r>
      <w:r>
        <w:rPr>
          <w:vertAlign w:val="superscript"/>
        </w:rPr>
        <w:t>−1</w:t>
      </w:r>
      <w:r>
        <w:t xml:space="preserve">), normalized difference </w:t>
      </w:r>
      <w:r>
        <w:lastRenderedPageBreak/>
        <w:t xml:space="preserve">vegetation index (NDVI), normalized difference water index (NDWI), leaf area index (LAI), </w:t>
      </w:r>
      <w:r>
        <w:rPr>
          <w:rFonts w:hint="eastAsia"/>
        </w:rPr>
        <w:t>n</w:t>
      </w:r>
      <w:r>
        <w:t xml:space="preserve">ighttime lights (Light density), </w:t>
      </w:r>
      <w:r>
        <w:rPr>
          <w:rFonts w:hint="eastAsia"/>
        </w:rPr>
        <w:t>r</w:t>
      </w:r>
      <w:r>
        <w:t>oad density (m per km</w:t>
      </w:r>
      <w:r>
        <w:rPr>
          <w:vertAlign w:val="superscript"/>
        </w:rPr>
        <w:t>2</w:t>
      </w:r>
      <w:r>
        <w:t>), human density (log-transformed, number per km</w:t>
      </w:r>
      <w:r>
        <w:rPr>
          <w:vertAlign w:val="superscript"/>
        </w:rPr>
        <w:t>2</w:t>
      </w:r>
      <w:r>
        <w:t xml:space="preserve">), </w:t>
      </w:r>
      <w:r>
        <w:rPr>
          <w:rFonts w:hint="eastAsia"/>
        </w:rPr>
        <w:t xml:space="preserve">and </w:t>
      </w:r>
      <w:r>
        <w:t>poultry density (log-transformed, number per km</w:t>
      </w:r>
      <w:r>
        <w:rPr>
          <w:vertAlign w:val="superscript"/>
        </w:rPr>
        <w:t>2</w:t>
      </w:r>
      <w:r>
        <w:t>).</w:t>
      </w:r>
      <w:r>
        <w:rPr>
          <w:b/>
          <w:bCs/>
        </w:rPr>
        <w:t xml:space="preserve"> </w:t>
      </w:r>
    </w:p>
    <w:p w14:paraId="0DFE84C5" w14:textId="77777777" w:rsidR="00BF1282" w:rsidRDefault="00BF1282" w:rsidP="00BF1282">
      <w:pPr>
        <w:pStyle w:val="a3"/>
        <w:spacing w:line="480" w:lineRule="auto"/>
        <w:ind w:right="240" w:firstLineChars="83" w:firstLine="199"/>
      </w:pPr>
      <w:r>
        <w:rPr>
          <w:noProof/>
        </w:rPr>
        <w:drawing>
          <wp:inline distT="0" distB="0" distL="0" distR="0" wp14:anchorId="24D0AAF6" wp14:editId="743B6DD0">
            <wp:extent cx="5013960" cy="685800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6"/>
                    <a:stretch>
                      <a:fillRect/>
                    </a:stretch>
                  </pic:blipFill>
                  <pic:spPr>
                    <a:xfrm>
                      <a:off x="0" y="0"/>
                      <a:ext cx="5014266" cy="6858000"/>
                    </a:xfrm>
                    <a:prstGeom prst="rect">
                      <a:avLst/>
                    </a:prstGeom>
                  </pic:spPr>
                </pic:pic>
              </a:graphicData>
            </a:graphic>
          </wp:inline>
        </w:drawing>
      </w:r>
    </w:p>
    <w:p w14:paraId="78382399" w14:textId="77777777" w:rsidR="00BF1282" w:rsidRDefault="00BF1282" w:rsidP="00BF1282">
      <w:pPr>
        <w:pStyle w:val="a3"/>
        <w:spacing w:line="480" w:lineRule="auto"/>
        <w:ind w:right="240" w:firstLine="480"/>
        <w:sectPr w:rsidR="00BF1282" w:rsidSect="00BF1282">
          <w:pgSz w:w="11906" w:h="16838"/>
          <w:pgMar w:top="1440" w:right="1800" w:bottom="1440" w:left="1800" w:header="851" w:footer="992" w:gutter="0"/>
          <w:lnNumType w:countBy="1" w:restart="continuous"/>
          <w:cols w:space="425"/>
          <w:docGrid w:type="lines" w:linePitch="326"/>
        </w:sectPr>
      </w:pPr>
    </w:p>
    <w:p w14:paraId="1CBAA0F7" w14:textId="77777777" w:rsidR="00BF1282" w:rsidRDefault="00BF1282" w:rsidP="00BF1282">
      <w:pPr>
        <w:pStyle w:val="a"/>
      </w:pPr>
      <w:r>
        <w:lastRenderedPageBreak/>
        <w:t>Extended Data</w:t>
      </w:r>
      <w:r>
        <w:rPr>
          <w:rFonts w:eastAsiaTheme="minorEastAsia" w:hint="eastAsia"/>
        </w:rPr>
        <w:t xml:space="preserve"> Table</w:t>
      </w:r>
      <w:r>
        <w:t>s</w:t>
      </w:r>
      <w:r>
        <w:rPr>
          <w:rFonts w:eastAsiaTheme="minorEastAsia" w:hint="eastAsia"/>
        </w:rPr>
        <w:t xml:space="preserve"> </w:t>
      </w:r>
    </w:p>
    <w:p w14:paraId="3EBDEB4A" w14:textId="77777777" w:rsidR="00BF1282" w:rsidRDefault="00BF1282" w:rsidP="00BF1282">
      <w:pPr>
        <w:spacing w:line="480" w:lineRule="auto"/>
        <w:rPr>
          <w:sz w:val="21"/>
        </w:rPr>
      </w:pPr>
      <w:bookmarkStart w:id="0" w:name="_Hlk168048292"/>
      <w:r>
        <w:rPr>
          <w:rFonts w:hint="eastAsia"/>
          <w:b/>
          <w:bCs/>
          <w:sz w:val="21"/>
        </w:rPr>
        <w:t xml:space="preserve">Extended Data Table 1 </w:t>
      </w:r>
      <w:r>
        <w:rPr>
          <w:b/>
          <w:bCs/>
          <w:sz w:val="21"/>
        </w:rPr>
        <w:t>List of waterbird species</w:t>
      </w:r>
      <w:r>
        <w:rPr>
          <w:sz w:val="21"/>
        </w:rPr>
        <w:t xml:space="preserve">. This table provides a detailed enumeration of </w:t>
      </w:r>
      <w:r>
        <w:rPr>
          <w:rFonts w:hint="eastAsia"/>
          <w:sz w:val="21"/>
        </w:rPr>
        <w:t>specific</w:t>
      </w:r>
      <w:r>
        <w:rPr>
          <w:sz w:val="21"/>
        </w:rPr>
        <w:t xml:space="preserve"> names and respective orders of the 779 </w:t>
      </w:r>
      <w:r>
        <w:rPr>
          <w:rFonts w:hint="eastAsia"/>
          <w:sz w:val="21"/>
        </w:rPr>
        <w:t>waterbird</w:t>
      </w:r>
      <w:r>
        <w:rPr>
          <w:sz w:val="21"/>
        </w:rPr>
        <w:t xml:space="preserve"> species successfully simulated in this study.</w:t>
      </w:r>
    </w:p>
    <w:tbl>
      <w:tblPr>
        <w:tblW w:w="9127" w:type="dxa"/>
        <w:tblInd w:w="108" w:type="dxa"/>
        <w:tblLook w:val="04A0" w:firstRow="1" w:lastRow="0" w:firstColumn="1" w:lastColumn="0" w:noHBand="0" w:noVBand="1"/>
      </w:tblPr>
      <w:tblGrid>
        <w:gridCol w:w="1819"/>
        <w:gridCol w:w="7308"/>
      </w:tblGrid>
      <w:tr w:rsidR="00BF1282" w14:paraId="3096CDFA" w14:textId="77777777" w:rsidTr="003B6D54">
        <w:trPr>
          <w:trHeight w:val="482"/>
        </w:trPr>
        <w:tc>
          <w:tcPr>
            <w:tcW w:w="1819" w:type="dxa"/>
            <w:tcBorders>
              <w:top w:val="single" w:sz="4" w:space="0" w:color="auto"/>
              <w:left w:val="nil"/>
              <w:bottom w:val="single" w:sz="4" w:space="0" w:color="auto"/>
              <w:right w:val="nil"/>
            </w:tcBorders>
            <w:shd w:val="clear" w:color="auto" w:fill="auto"/>
            <w:vAlign w:val="center"/>
          </w:tcPr>
          <w:p w14:paraId="16F83B45" w14:textId="77777777" w:rsidR="00BF1282" w:rsidRDefault="00BF1282" w:rsidP="003B6D54">
            <w:pPr>
              <w:widowControl/>
              <w:jc w:val="center"/>
              <w:rPr>
                <w:rFonts w:eastAsia="DengXian" w:cs="Times New Roman"/>
                <w:b/>
                <w:bCs/>
                <w:color w:val="000000"/>
                <w:kern w:val="0"/>
                <w:sz w:val="18"/>
                <w:szCs w:val="18"/>
              </w:rPr>
            </w:pPr>
            <w:r>
              <w:rPr>
                <w:rFonts w:eastAsia="DengXian" w:cs="Times New Roman"/>
                <w:b/>
                <w:bCs/>
                <w:color w:val="000000"/>
                <w:kern w:val="0"/>
                <w:sz w:val="18"/>
                <w:szCs w:val="18"/>
              </w:rPr>
              <w:t>Functional group</w:t>
            </w:r>
            <w:r>
              <w:rPr>
                <w:rFonts w:eastAsia="DengXian" w:cs="Times New Roman"/>
                <w:b/>
                <w:bCs/>
                <w:color w:val="000000"/>
                <w:kern w:val="0"/>
                <w:sz w:val="18"/>
                <w:szCs w:val="18"/>
              </w:rPr>
              <w:br/>
              <w:t>(numbers of species)</w:t>
            </w:r>
          </w:p>
        </w:tc>
        <w:tc>
          <w:tcPr>
            <w:tcW w:w="7308" w:type="dxa"/>
            <w:tcBorders>
              <w:top w:val="single" w:sz="4" w:space="0" w:color="auto"/>
              <w:left w:val="nil"/>
              <w:bottom w:val="single" w:sz="4" w:space="0" w:color="auto"/>
              <w:right w:val="nil"/>
            </w:tcBorders>
            <w:shd w:val="clear" w:color="auto" w:fill="auto"/>
            <w:noWrap/>
            <w:vAlign w:val="center"/>
          </w:tcPr>
          <w:p w14:paraId="4C06812F" w14:textId="77777777" w:rsidR="00BF1282" w:rsidRDefault="00BF1282" w:rsidP="003B6D54">
            <w:pPr>
              <w:widowControl/>
              <w:jc w:val="center"/>
              <w:rPr>
                <w:rFonts w:eastAsia="DengXian" w:cs="Times New Roman"/>
                <w:b/>
                <w:bCs/>
                <w:color w:val="000000"/>
                <w:kern w:val="0"/>
                <w:sz w:val="18"/>
                <w:szCs w:val="18"/>
              </w:rPr>
            </w:pPr>
            <w:r>
              <w:rPr>
                <w:rFonts w:eastAsia="DengXian" w:cs="Times New Roman"/>
                <w:b/>
                <w:bCs/>
                <w:color w:val="000000"/>
                <w:kern w:val="0"/>
                <w:sz w:val="18"/>
                <w:szCs w:val="18"/>
              </w:rPr>
              <w:t>Species</w:t>
            </w:r>
          </w:p>
        </w:tc>
      </w:tr>
      <w:tr w:rsidR="00BF1282" w14:paraId="6F7A45D0" w14:textId="77777777" w:rsidTr="003B6D54">
        <w:trPr>
          <w:trHeight w:val="7231"/>
        </w:trPr>
        <w:tc>
          <w:tcPr>
            <w:tcW w:w="1819" w:type="dxa"/>
            <w:tcBorders>
              <w:top w:val="nil"/>
              <w:left w:val="nil"/>
              <w:bottom w:val="single" w:sz="4" w:space="0" w:color="auto"/>
              <w:right w:val="nil"/>
            </w:tcBorders>
            <w:shd w:val="clear" w:color="auto" w:fill="auto"/>
            <w:vAlign w:val="center"/>
          </w:tcPr>
          <w:p w14:paraId="2468CADC" w14:textId="77777777" w:rsidR="00BF1282" w:rsidRDefault="00BF1282" w:rsidP="003B6D54">
            <w:pPr>
              <w:widowControl/>
              <w:jc w:val="center"/>
              <w:rPr>
                <w:rFonts w:eastAsia="DengXian" w:cs="Times New Roman"/>
                <w:color w:val="000000"/>
                <w:kern w:val="0"/>
                <w:sz w:val="16"/>
                <w:szCs w:val="16"/>
              </w:rPr>
            </w:pPr>
            <w:r>
              <w:rPr>
                <w:rFonts w:eastAsia="DengXian" w:cs="Times New Roman"/>
                <w:color w:val="000000"/>
                <w:sz w:val="16"/>
                <w:szCs w:val="16"/>
              </w:rPr>
              <w:t>seabirds</w:t>
            </w:r>
            <w:r>
              <w:rPr>
                <w:rFonts w:eastAsia="DengXian" w:cs="Times New Roman"/>
                <w:color w:val="000000"/>
                <w:sz w:val="16"/>
                <w:szCs w:val="16"/>
              </w:rPr>
              <w:br/>
              <w:t>(206)</w:t>
            </w:r>
          </w:p>
        </w:tc>
        <w:tc>
          <w:tcPr>
            <w:tcW w:w="7308" w:type="dxa"/>
            <w:tcBorders>
              <w:top w:val="nil"/>
              <w:left w:val="nil"/>
              <w:bottom w:val="single" w:sz="4" w:space="0" w:color="auto"/>
              <w:right w:val="nil"/>
            </w:tcBorders>
            <w:shd w:val="clear" w:color="auto" w:fill="auto"/>
            <w:vAlign w:val="center"/>
          </w:tcPr>
          <w:p w14:paraId="633B27FF" w14:textId="77777777" w:rsidR="00BF1282" w:rsidRDefault="00BF1282" w:rsidP="003B6D54">
            <w:pPr>
              <w:widowControl/>
              <w:jc w:val="center"/>
              <w:rPr>
                <w:rFonts w:eastAsia="DengXian" w:cs="Times New Roman"/>
                <w:i/>
                <w:iCs/>
                <w:color w:val="000000"/>
                <w:kern w:val="0"/>
                <w:sz w:val="16"/>
                <w:szCs w:val="16"/>
              </w:rPr>
            </w:pPr>
            <w:r>
              <w:rPr>
                <w:rFonts w:eastAsia="DengXian" w:cs="Times New Roman"/>
                <w:color w:val="000000"/>
                <w:sz w:val="16"/>
                <w:szCs w:val="16"/>
              </w:rPr>
              <w:t>Alca torda, Alle alle, Anous minutus, Anous stolidus, Aphrodroma brevirostris, Aptenodytes forsteri, Aptenodytes patagonicus, Brachyramphus marmoratus, Bulweria bulwerii, Calonectris diomedea, Calonectris leucomelas, Cepphus carbo, Cepphus columba, Cepphus grylle, Cerorhinca monocerata, Chlidonias albostriatus, Chlidonias hybrida, Chlidonias leucopterus, Chlidonias niger, Chroicocephalus brunnicephalus, Chroicocephalus bulleri, Chroicocephalus cirrocephalus, Chroicocephalus genei, Chroicocephalus hartlaubii, Chroicocephalus novaehollandiae, Chroicocephalus philadelphia, Chroicocephalus ridibundus, Daption capense, Diomedea antipodensis, Diomedea epomophora, Diomedea exulans, Diomedea sanfordi, Eudyptes chrysocome, Eudyptes chrysolophus, Eudyptes pachyrhynchus, Eudyptula minor, Fratercula arctica, Fratercula cirrhata, Fratercula corniculata, Fregata ariel, Fregata magnificens, Fregata minor, Fregetta tropica, Fulmarus glacialis, Fulmarus glacialoides, Garrodia nereis, Gelochelidon macrotarsa, Gelochelidon nilotica, Glareola cinerea, Glareola ocularis, Gygis alba, Halobaena caerulea, Hydrobates melania, Hydrobates pelagicus, Hydrocoloeus minutus, Hydroprogne caspia, Ichthyaetus audouinii, Ichthyaetus hemprichii, Ichthyaetus ichthyaetus, Ichthyaetus leucophthalmus, Ichthyaetus melanocephalus, Larus argentatus, Larus armenicus, Larus cachinnans, Larus californicus, Larus canus, Larus crassirostris, Larus delawarensis, Larus dominicanus, Larus fuscus, Larus glaucescens, Larus glaucoides, Larus heermanni, Larus hyperboreus, Larus livens, Larus marinus, Larus michahellis, Larus occidentalis, Larus pacificus, Larus schistisagus, Larus smithsonianus, Larus vegae, Leucophaeus atricilla, Macronectes giganteus, Macronectes halli, Megadyptes antipodes, Microcarbo africanus, Microcarbo coronatus, Microcarbo melanoleucos, Microcarbo niger, Microcarbo pygmaeus, Morus bassanus, Morus capensis, Morus serrator, Oceanites gracilis, Oceanites oceanicus, Onychoprion anaethetus, Onychoprion fuscatus, Pachyptila belcheri, Pachyptila desolata, Pachyptila salvini, Pachyptila turtur, Pagodroma nivea, Pagophila eburnea, Pelagodroma marina, Pelecanoides urinatrix, Phaethon aethereus, Phaethon lepturus, Phaethon rubricauda, Phaetusa simplex, Phalacrocorax aristotelis, Phalacrocorax auritus, Phalacrocorax brasilianus, Phalacrocorax capensis, Phalacrocorax capillatus, Phalacrocorax carbo, Phalacrocorax fuscescens, Phalacrocorax fuscicollis, Phalacrocorax lucidus, Phalacrocorax pelagicus, Phalacrocorax penicillatus, Phalacrocorax punctatus, Phalacrocorax sulcirostris, Phalacrocorax urile, Phalacrocorax varius, Phoebastria albatrus, Phoebastria immutabilis, Phoebastria nigripes, Phoebetria palpebrata, Procellaria aequinoctialis, Procellaria cinerea, Procellaria parkinsoni, Procellaria westlandica, Pseudobulweria rostrata, Pterodroma cookii, Pterodroma inexpectata, Pterodroma lessonii, Pterodroma leucoptera, Pterodroma macroptera, Pterodroma nigripennis, Pterodroma solandri, Ptychoramphus aleuticus, Puffinus assimilis, Puffinus gavia, Puffinus huttoni, Puffinus lherminieri, Puffinus mauretanicus, Puffinus opisthomelas, Puffinus persicus, Puffinus puffinus, Puffinus yelkouan, Pygoscelis adeliae, Pygoscelis antarcticus, Pygoscelis papua, Rissa tridactyla, Spheniscus demersus, Spheniscus humboldti, Spheniscus magellanicus, Stercorarius antarcticus, Stercorarius longicaudus, Stercorarius maccormicki, Stercorarius parasiticus, Stercorarius pomarinus, Stercorarius skua, Sterna dougallii, Sterna forsteri, Sterna hirundinacea, Sterna hirundo, Sterna paradisaea, Sterna repressa, Sterna striata, Sterna sumatrana, Sterna trudeaui, Sterna vittata, Sternula albifrons, Sternula antillarum, Sternula balaenarum, Sternula nereis, Sternula superciliaris, Sula dactylatra, Sula granti, Sula leucogaster, Sula nebouxii, Sula sula, Sula variegata, Synthliboramphus antiquus, Synthliboramphus craveri, Synthliboramphus scrippsi, Tachybaptus pelzelnii, Thalassarche bulleri, Thalassarche carteri, Thalassarche cauta, Thalassarche chlororhynchos, Thalassarche chrysostoma, Thalassarche impavida, Thalassarche melanophris, Thalassarche salvini, Thalasseus acuflavidus, Thalasseus bengalensis, Thalasseus bergii, Thalasseus elegans, Thalasseus maximus, Thalasseus sandvicensis, Thalassoica antarctica, Uria aalge, Uria lomvia</w:t>
            </w:r>
          </w:p>
        </w:tc>
      </w:tr>
      <w:tr w:rsidR="00BF1282" w14:paraId="06B8F0F8" w14:textId="77777777" w:rsidTr="003B6D54">
        <w:trPr>
          <w:trHeight w:val="6779"/>
        </w:trPr>
        <w:tc>
          <w:tcPr>
            <w:tcW w:w="1819" w:type="dxa"/>
            <w:tcBorders>
              <w:top w:val="nil"/>
              <w:left w:val="nil"/>
              <w:bottom w:val="single" w:sz="4" w:space="0" w:color="auto"/>
              <w:right w:val="nil"/>
            </w:tcBorders>
            <w:shd w:val="clear" w:color="auto" w:fill="auto"/>
            <w:vAlign w:val="center"/>
          </w:tcPr>
          <w:p w14:paraId="40D53725" w14:textId="77777777" w:rsidR="00BF1282" w:rsidRDefault="00BF1282" w:rsidP="003B6D54">
            <w:pPr>
              <w:widowControl/>
              <w:jc w:val="center"/>
              <w:rPr>
                <w:rFonts w:eastAsia="DengXian" w:cs="Times New Roman"/>
                <w:color w:val="000000"/>
                <w:kern w:val="0"/>
                <w:sz w:val="16"/>
                <w:szCs w:val="16"/>
              </w:rPr>
            </w:pPr>
            <w:r>
              <w:rPr>
                <w:rFonts w:eastAsia="DengXian" w:cs="Times New Roman"/>
                <w:color w:val="000000"/>
                <w:sz w:val="16"/>
                <w:szCs w:val="16"/>
              </w:rPr>
              <w:lastRenderedPageBreak/>
              <w:t>shorebirds</w:t>
            </w:r>
            <w:r>
              <w:rPr>
                <w:rFonts w:eastAsia="DengXian" w:cs="Times New Roman"/>
                <w:color w:val="000000"/>
                <w:sz w:val="16"/>
                <w:szCs w:val="16"/>
              </w:rPr>
              <w:br/>
              <w:t>(210)</w:t>
            </w:r>
          </w:p>
        </w:tc>
        <w:tc>
          <w:tcPr>
            <w:tcW w:w="7308" w:type="dxa"/>
            <w:tcBorders>
              <w:top w:val="nil"/>
              <w:left w:val="nil"/>
              <w:bottom w:val="single" w:sz="4" w:space="0" w:color="auto"/>
              <w:right w:val="nil"/>
            </w:tcBorders>
            <w:shd w:val="clear" w:color="auto" w:fill="auto"/>
            <w:vAlign w:val="center"/>
          </w:tcPr>
          <w:p w14:paraId="4EB16693" w14:textId="77777777" w:rsidR="00BF1282" w:rsidRDefault="00BF1282" w:rsidP="003B6D54">
            <w:pPr>
              <w:widowControl/>
              <w:jc w:val="center"/>
              <w:rPr>
                <w:rFonts w:eastAsia="DengXian" w:cs="Times New Roman"/>
                <w:i/>
                <w:iCs/>
                <w:color w:val="000000"/>
                <w:kern w:val="0"/>
                <w:sz w:val="16"/>
                <w:szCs w:val="16"/>
              </w:rPr>
            </w:pPr>
            <w:r>
              <w:rPr>
                <w:rFonts w:eastAsia="DengXian" w:cs="Times New Roman"/>
                <w:color w:val="000000"/>
                <w:sz w:val="16"/>
                <w:szCs w:val="16"/>
              </w:rPr>
              <w:t>Actitis hypoleucos, Actitis macularius, Actophilornis africanus, Amaurornis flavirostra, Anarhynchus frontalis, Arenaria interpres, Arenaria melanocephala, Attagis gayi, Bartramia longicauda, Burhinus bistriatus, Burhinus capensis, Burhinus grallarius, Burhinus indicus, Burhinus oedicnemus, Burhinus senegalensis, Burhinus vermiculatus, Calidris acuminata, Calidris alba, Calidris alpina, Calidris bairdii, Calidris canutus, Calidris falcinellus, Calidris ferruginea, Calidris fuscicollis, Calidris himantopus, Calidris maritima, Calidris mauri, Calidris melanotos, Calidris minuta, Calidris minutilla, Calidris ptilocnemis, Calidris pugnax, Calidris pusilla, Calidris pygmaea, Calidris ruficollis, Calidris subminuta, Calidris subruficollis, Calidris temminckii, Calidris tenuirostris, Calidris virgata, Charadrius alexandrinus, Charadrius asiaticus, Charadrius bicinctus, Charadrius collaris, Charadrius dealbatus, Charadrius dubius, Charadrius falklandicus, Charadrius forbesi, Charadrius hiaticula, Charadrius leschenaultii, Charadrius marginatus, Charadrius melodus, Charadrius modestus, Charadrius mongolus, Charadrius montanus, Charadrius nivosus, Charadrius pallidus, Charadrius pecuarius, Charadrius peronii, Charadrius placidus, Charadrius ruficapillus, Charadrius semipalmatus, Charadrius thoracicus, Charadrius tricollaris, Charadrius veredus, Charadrius vociferus, Charadrius wilsonia, Chionis albus, Cladorhynchus leucocephalus, Cursorius coromandelicus, Cursorius cursor, Cursorius rufus, Cursorius somalensis, Cursorius temminckii, Dromas ardeola, Elseyornis melanops, Erythrogonys cinctus, Esacus magnirostris, Esacus recurvirostris, Gallinago delicata, Gallinago gallinago, Gallinago hardwickii, Gallinago macrodactyla, Gallinago media, Gallinago megala, Gallinago nigripennis, Gallinago paraguaiae, Gallinago stenura, Glareola lactea, Glareola maldivarum, Glareola nordmanni, Glareola nuchalis, Glareola pratincola, Haematopus ater, Haematopus bachmani, Haematopus finschi, Haematopus fuliginosus, Haematopus leucopodus, Haematopus longirostris, Haematopus moquini, Haematopus ostralegus, Haematopus palliatus, Haematopus unicolor, Himantopus himantopus, Himantopus leucocephalus, Himantopus mexicanus, Hoploxypterus cayanus, Hydrophasianus chirurgus, Ibidorhyncha struthersii, Irediparra gallinacea, Jacana jacana, Jacana spinosa, Leucophaeus pipixcan, Limnodromus griseus, Limnodromus scolopaceus, Limnodromus semipalmatus, Limosa fedoa, Limosa haemastica, Limosa lapponica, Limosa limosa, Lymnocryptes minimus, Metopidius indicus, Microparra capensis, Numenius americanus, Numenius arquata, Numenius madagascariensis, Numenius minutus, Numenius phaeopus, Nycticryphes semicollaris, Oreopholus ruficollis, Pedionomus torquatus, Peltohyas australis, Phalaropus fulicarius, Phalaropus lobatus, Phegornis mitchellii, Platalea ajaja, Platalea alba, Platalea flavipes, Platalea leucorodia, Platalea minor, Platalea regia, Pluvialis apricaria, Pluvialis dominica, Pluvialis fulva, Pluvialis squatarola, Pluvianus aegyptius, Recurvirostra americana, Recurvirostra andina, Recurvirostra avosetta, Recurvirostra novaehollandiae, Rhinoptilus africanus, Rhinoptilus chalcopterus, Rhinoptilus cinctus, Rostratula australis, Rostratula benghalensis, Rynchops albicollis, Rynchops flavirostris, Rynchops niger, Scolopax minor, Scolopax rusticola, Sterna aurantia, Stiltia isabella, Thinocorus orbignyianus, Thinocorus rumicivorus, Thinornis cucullatus, Tringa brevipes, Tringa erythropus, Tringa flavipes, Tringa glareola, Tringa incana, Tringa melanoleuca, Tringa nebularia, Tringa ochropus, Tringa semipalmata, Tringa solitaria, Tringa stagnatilis, Tringa totanus, Turnix castanotus, Turnix hottentottus, Turnix maculosus, Turnix melanogaster, Turnix nanus, Turnix nigricollis, Turnix pyrrhothorax, Turnix suscitator, Turnix sylvaticus, Turnix varius, Turnix velox, Vanellus albiceps, Vanellus armatus, Vanellus chilensis, Vanellus cinereus, Vanellus coronatus, Vanellus crassirostris, Vanellus duvaucelii, Vanellus gregarius, Vanellus indicus, Vanellus leucurus, Vanellus lugubris, Vanellus malabaricus, Vanellus melanopterus, Vanellus miles, Vanellus resplendens, Vanellus senegallus, Vanellus spinosus, Vanellus superciliosus, Vanellus tectus, Vanellus tricolor, Vanellus vanellus, Xenus cinereus</w:t>
            </w:r>
          </w:p>
        </w:tc>
      </w:tr>
      <w:tr w:rsidR="00BF1282" w14:paraId="56A78C7A" w14:textId="77777777" w:rsidTr="003B6D54">
        <w:trPr>
          <w:trHeight w:val="4519"/>
        </w:trPr>
        <w:tc>
          <w:tcPr>
            <w:tcW w:w="1819" w:type="dxa"/>
            <w:tcBorders>
              <w:top w:val="nil"/>
              <w:left w:val="nil"/>
              <w:bottom w:val="single" w:sz="4" w:space="0" w:color="auto"/>
              <w:right w:val="nil"/>
            </w:tcBorders>
            <w:shd w:val="clear" w:color="auto" w:fill="auto"/>
            <w:vAlign w:val="center"/>
          </w:tcPr>
          <w:p w14:paraId="00010C3A" w14:textId="77777777" w:rsidR="00BF1282" w:rsidRDefault="00BF1282" w:rsidP="003B6D54">
            <w:pPr>
              <w:widowControl/>
              <w:jc w:val="center"/>
              <w:rPr>
                <w:rFonts w:eastAsia="DengXian" w:cs="Times New Roman"/>
                <w:color w:val="000000"/>
                <w:kern w:val="0"/>
                <w:sz w:val="16"/>
                <w:szCs w:val="16"/>
              </w:rPr>
            </w:pPr>
            <w:r>
              <w:rPr>
                <w:rFonts w:eastAsia="DengXian" w:cs="Times New Roman"/>
                <w:color w:val="000000"/>
                <w:sz w:val="16"/>
                <w:szCs w:val="16"/>
              </w:rPr>
              <w:t>waterfowl</w:t>
            </w:r>
            <w:r>
              <w:rPr>
                <w:rFonts w:eastAsia="DengXian" w:cs="Times New Roman"/>
                <w:color w:val="000000"/>
                <w:sz w:val="16"/>
                <w:szCs w:val="16"/>
              </w:rPr>
              <w:br/>
              <w:t>(150)</w:t>
            </w:r>
          </w:p>
        </w:tc>
        <w:tc>
          <w:tcPr>
            <w:tcW w:w="7308" w:type="dxa"/>
            <w:tcBorders>
              <w:top w:val="nil"/>
              <w:left w:val="nil"/>
              <w:bottom w:val="single" w:sz="4" w:space="0" w:color="auto"/>
              <w:right w:val="nil"/>
            </w:tcBorders>
            <w:shd w:val="clear" w:color="auto" w:fill="auto"/>
            <w:vAlign w:val="center"/>
          </w:tcPr>
          <w:p w14:paraId="433EAE0A" w14:textId="77777777" w:rsidR="00BF1282" w:rsidRDefault="00BF1282" w:rsidP="003B6D54">
            <w:pPr>
              <w:widowControl/>
              <w:jc w:val="center"/>
              <w:rPr>
                <w:rFonts w:eastAsia="DengXian" w:cs="Times New Roman"/>
                <w:i/>
                <w:iCs/>
                <w:color w:val="000000"/>
                <w:kern w:val="0"/>
                <w:sz w:val="16"/>
                <w:szCs w:val="16"/>
              </w:rPr>
            </w:pPr>
            <w:r>
              <w:rPr>
                <w:rFonts w:eastAsia="DengXian" w:cs="Times New Roman"/>
                <w:color w:val="000000"/>
                <w:sz w:val="16"/>
                <w:szCs w:val="16"/>
              </w:rPr>
              <w:t>Aix galericulata, Aix sponsa, Alopochen aegyptiaca, Amazonetta brasiliensis, Anas acuta, Anas andium, Anas bahamensis, Anas bernieri, Anas capensis, Anas carolinensis, Anas castanea, Anas chlorotis, Anas crecca, Anas diazi, Anas erythrorhyncha, Anas flavirostris, Anas fulvigula, Anas georgica, Anas gibberifrons, Anas gracilis, Anas melleri, Anas platyrhynchos, Anas poecilorhyncha, Anas rubripes, Anas sparsa, Anas superciliosa, Anas undulata, Anas zonorhyncha, Anser albifrons, Anser anser, Anser brachyrhynchus, Anser caerulescens, Anser cygnoides, Anser erythropus, Anser fabalis, Anser indicus, Anser rossii, Anser serrirostris, Anseranas semipalmata, Aythya affinis, Aythya americana, Aythya australis, Aythya baeri, Aythya collaris, Aythya ferina, Aythya fuligula, Aythya marila, Aythya novaeseelandiae, Aythya nyroca, Aythya valisineria, Biziura lobata, Branta bernicla, Branta canadensis, Branta hutchinsii, Branta leucopsis, Branta ruficollis, Bucephala albeola, Bucephala clangula, Bucephala islandica, Cairina moschata, Callonetta leucophrys, Cereopsis novaehollandiae, Chauna torquata, Chenonetta jubata, Chloephaga hybrida, Chloephaga melanoptera, Chloephaga picta, Chloephaga poliocephala, Chloephaga rubidiceps, Clangula hyemalis, Coscoroba coscoroba, Cygnus atratus, Cygnus buccinator, Cygnus columbianus, Cygnus cygnus, Cygnus melancoryphus, Cygnus olor, Dendrocygna arcuata, Dendrocygna autumnalis, Dendrocygna bicolor, Dendrocygna eytoni, Dendrocygna guttata, Dendrocygna javanica, Dendrocygna viduata, Heteronetta atricapilla, Histrionicus histrionicus, Hymenolaimus malacorhynchos, Lophodytes cucullatus, Lophonetta specularioides, Malacorhynchus membranaceus, Mareca americana, Mareca falcata, Mareca penelope, Mareca sibilatrix, Mareca strepera, Marmaronetta angustirostris, Melanitta americana, Melanitta deglandi, Melanitta fusca, Melanitta nigra, Melanitta perspicillata, Melanitta stejnegeri, Merganetta armata, Mergellus albellus, Mergus merganser, Mergus serrator, Mergus squamatus, Netta erythrophthalma, Netta peposaca, Netta rufina, Nettapus auritus, Nettapus coromandelianus, Nettapus pulchellus, Nomonyx dominicus, Oxyura australis, Oxyura ferruginea, Oxyura jamaicensis, Oxyura leucocephala, Oxyura maccoa, Oxyura vittata, Plectropterus gambensis, Polysticta stelleri, Pteronetta hartlaubii, Radjah radjah, Sarkidiornis melanotos, Sarkidiornis sylvicola, Sibirionetta formosa, Somateria fischeri, Somateria mollissima, Somateria spectabilis, Spatula clypeata, Spatula cyanoptera, Spatula discors, Spatula hottentota, Spatula platalea, Spatula puna, Spatula querquedula, Spatula rhynchotis, Spatula smithii, Spatula versicolor, Speculanas specularis, Stictonetta naevosa, Tachyeres patachonicus, Tachyeres pteneres, Tadorna cana, Tadorna ferruginea, Tadorna tadorna, Tadorna tadornoides, Tadorna variegata, Thalassornis leuconotus</w:t>
            </w:r>
          </w:p>
        </w:tc>
      </w:tr>
      <w:tr w:rsidR="00BF1282" w14:paraId="093A8EC7" w14:textId="77777777" w:rsidTr="003B6D54">
        <w:trPr>
          <w:trHeight w:val="4067"/>
        </w:trPr>
        <w:tc>
          <w:tcPr>
            <w:tcW w:w="1819" w:type="dxa"/>
            <w:tcBorders>
              <w:top w:val="nil"/>
              <w:left w:val="nil"/>
              <w:bottom w:val="single" w:sz="4" w:space="0" w:color="auto"/>
              <w:right w:val="nil"/>
            </w:tcBorders>
            <w:shd w:val="clear" w:color="auto" w:fill="auto"/>
            <w:vAlign w:val="center"/>
          </w:tcPr>
          <w:p w14:paraId="74C4F9A9" w14:textId="77777777" w:rsidR="00BF1282" w:rsidRDefault="00BF1282" w:rsidP="003B6D54">
            <w:pPr>
              <w:widowControl/>
              <w:jc w:val="center"/>
              <w:rPr>
                <w:rFonts w:eastAsia="DengXian" w:cs="Times New Roman"/>
                <w:color w:val="000000"/>
                <w:kern w:val="0"/>
                <w:sz w:val="16"/>
                <w:szCs w:val="16"/>
              </w:rPr>
            </w:pPr>
            <w:r>
              <w:rPr>
                <w:rFonts w:eastAsia="DengXian" w:cs="Times New Roman"/>
                <w:color w:val="000000"/>
                <w:sz w:val="16"/>
                <w:szCs w:val="16"/>
              </w:rPr>
              <w:lastRenderedPageBreak/>
              <w:t>large wading birds</w:t>
            </w:r>
            <w:r>
              <w:rPr>
                <w:rFonts w:eastAsia="DengXian" w:cs="Times New Roman"/>
                <w:color w:val="000000"/>
                <w:sz w:val="16"/>
                <w:szCs w:val="16"/>
              </w:rPr>
              <w:br/>
              <w:t>(14</w:t>
            </w:r>
            <w:r>
              <w:rPr>
                <w:rFonts w:eastAsia="DengXian" w:cs="Times New Roman" w:hint="eastAsia"/>
                <w:color w:val="000000"/>
                <w:sz w:val="16"/>
                <w:szCs w:val="16"/>
              </w:rPr>
              <w:t>0</w:t>
            </w:r>
            <w:r>
              <w:rPr>
                <w:rFonts w:eastAsia="DengXian" w:cs="Times New Roman"/>
                <w:color w:val="000000"/>
                <w:sz w:val="16"/>
                <w:szCs w:val="16"/>
              </w:rPr>
              <w:t>)</w:t>
            </w:r>
          </w:p>
        </w:tc>
        <w:tc>
          <w:tcPr>
            <w:tcW w:w="7308" w:type="dxa"/>
            <w:tcBorders>
              <w:top w:val="nil"/>
              <w:left w:val="nil"/>
              <w:bottom w:val="single" w:sz="4" w:space="0" w:color="auto"/>
              <w:right w:val="nil"/>
            </w:tcBorders>
            <w:shd w:val="clear" w:color="auto" w:fill="auto"/>
            <w:vAlign w:val="center"/>
          </w:tcPr>
          <w:p w14:paraId="43AAC453" w14:textId="77777777" w:rsidR="00BF1282" w:rsidRDefault="00BF1282" w:rsidP="003B6D54">
            <w:pPr>
              <w:widowControl/>
              <w:jc w:val="center"/>
              <w:rPr>
                <w:rFonts w:eastAsia="DengXian" w:cs="Times New Roman"/>
                <w:i/>
                <w:iCs/>
                <w:color w:val="000000"/>
                <w:kern w:val="0"/>
                <w:sz w:val="16"/>
                <w:szCs w:val="16"/>
              </w:rPr>
            </w:pPr>
            <w:r>
              <w:rPr>
                <w:rFonts w:eastAsia="DengXian" w:cs="Times New Roman"/>
                <w:color w:val="000000"/>
                <w:sz w:val="16"/>
                <w:szCs w:val="16"/>
              </w:rPr>
              <w:t>Agamia agami, Anthropoides paradiseus, Anthropoides virgo, Aramides albiventris, Aramides saracura, Aramides ypecaha, Aramus guarauna, Ardea alba, Ardea cinerea, Ardea cocoi, Ardea goliath, Ardea herodias, Ardea humbloti, Ardea melanocephala, Ardea pacifica, Ardea purpurea, Ardea sumatrana, Ardeola bacchus, Ardeola grayii, Ardeola idae, Ardeola ralloides, Ardeola rufiventris, Ardeola speciosa, Balaeniceps rex, Balearica pavonina, Balearica regulorum, Bostrychia carunculata, Bostrychia hagedash, Bostrychia olivacea, Bostrychia rara, Botaurus lentiginosus, Botaurus pinnatus, Botaurus poiciloptilus, Botaurus stellaris, Bubulcus coromandus, Bubulcus ibis, Butorides striata, Butorides virescens, Cercibis oxycerca, Ciconia abdimii, Ciconia boyciana, Ciconia ciconia, Ciconia episcopus, Ciconia maguari, Ciconia microscelis, Ciconia nigra, Cochlearius cochlearius, Crex crex, Crex egregia, Dryolimnas cuvieri, Egretta ardesiaca, Egretta caerulea, Egretta dimorpha, Egretta eulophotes, Egretta garzetta, Egretta gularis, Egretta intermedia, Egretta novaehollandiae, Egretta picata, Egretta rufescens, Egretta sacra, Egretta thula, Egretta tricolor, Egretta vinaceigula, Eudocimus albus, Eudocimus ruber, Fulica americana, Fulica ardesiaca, Fulica armillata, Fulica atra, Fulica cristata, Fulica gigantea, Fulica leucoptera, Fulica rufifrons, Gallicrex cinerea, Gallinula angulata, Gallinula chloropus, Gallinula tenebrosa, Gallirallus australis, Geronticus calvus, Geronticus eremita, Gorsachius leuconotus, Gorsachius melanolophus, Grus americana, Grus grus, Grus japonensis, Grus nigricollis, Ixobrychus cinnamomeus, Ixobrychus dubius, Ixobrychus eurhythmus, Ixobrychus exilis, Ixobrychus involucris, Ixobrychus minutus, Ixobrychus sinensis, Ixobrychus sturmii, Laterallus albigularis, Laterallus melanophaius, Lewinia pectoralis, Lophotibis cristata, Mesembrinibis cayennensis, Nyctanassa violacea, Nycticorax caledonicus, Nycticorax nycticorax, Pardirallus maculatus, Pardirallus nigricans, Pardirallus sanguinolentus, Phimosus infuscatus, Pilherodius pileatus, Plegadis chihi, Plegadis falcinellus, Plegadis ridgwayi, Podica senegalensis, Porphyrio alleni, Porphyrio melanotus, Porphyrio porphyrio, Porzana carolina, Porzana fluminea, Porzana porzana, Pseudibis papillosa, Psophia crepitans, Rallina eurizonoides, Rallus aquaticus, Rallus caerulescens, Rallus crepitans, Rallus elegans, Rallus indicus, Rallus limicola, Rallus obsoletus, Sarothrura pulchra, Scopus umbretta, Syrigma sibilatrix, Theristicus caerulescens, Theristicus caudatus, Theristicus melanopis, Threskiornis bernieri, Tigriornis leucolopha, Tigrisoma fasciatum, Tigrisoma lineatum, Tigrisoma mexicanum, Zebrilus undulatus</w:t>
            </w:r>
          </w:p>
        </w:tc>
      </w:tr>
      <w:tr w:rsidR="00BF1282" w14:paraId="59E04EFB" w14:textId="77777777" w:rsidTr="003B6D54">
        <w:trPr>
          <w:trHeight w:val="2937"/>
        </w:trPr>
        <w:tc>
          <w:tcPr>
            <w:tcW w:w="1819" w:type="dxa"/>
            <w:tcBorders>
              <w:top w:val="nil"/>
              <w:left w:val="nil"/>
              <w:bottom w:val="single" w:sz="4" w:space="0" w:color="auto"/>
              <w:right w:val="nil"/>
            </w:tcBorders>
            <w:shd w:val="clear" w:color="auto" w:fill="auto"/>
            <w:vAlign w:val="center"/>
          </w:tcPr>
          <w:p w14:paraId="26842DFA" w14:textId="77777777" w:rsidR="00BF1282" w:rsidRDefault="00BF1282" w:rsidP="003B6D54">
            <w:pPr>
              <w:widowControl/>
              <w:jc w:val="center"/>
              <w:rPr>
                <w:rFonts w:eastAsia="DengXian" w:cs="Times New Roman"/>
                <w:color w:val="000000"/>
                <w:kern w:val="0"/>
                <w:sz w:val="16"/>
                <w:szCs w:val="16"/>
              </w:rPr>
            </w:pPr>
            <w:r>
              <w:rPr>
                <w:rFonts w:eastAsia="DengXian" w:cs="Times New Roman"/>
                <w:color w:val="000000"/>
                <w:sz w:val="16"/>
                <w:szCs w:val="16"/>
              </w:rPr>
              <w:t>others</w:t>
            </w:r>
            <w:r>
              <w:rPr>
                <w:rFonts w:eastAsia="DengXian" w:cs="Times New Roman"/>
                <w:color w:val="000000"/>
                <w:sz w:val="16"/>
                <w:szCs w:val="16"/>
              </w:rPr>
              <w:br/>
              <w:t>(7</w:t>
            </w:r>
            <w:r>
              <w:rPr>
                <w:rFonts w:eastAsia="DengXian" w:cs="Times New Roman" w:hint="eastAsia"/>
                <w:color w:val="000000"/>
                <w:sz w:val="16"/>
                <w:szCs w:val="16"/>
              </w:rPr>
              <w:t>3</w:t>
            </w:r>
            <w:r>
              <w:rPr>
                <w:rFonts w:eastAsia="DengXian" w:cs="Times New Roman"/>
                <w:color w:val="000000"/>
                <w:sz w:val="16"/>
                <w:szCs w:val="16"/>
              </w:rPr>
              <w:t>)</w:t>
            </w:r>
          </w:p>
        </w:tc>
        <w:tc>
          <w:tcPr>
            <w:tcW w:w="7308" w:type="dxa"/>
            <w:tcBorders>
              <w:top w:val="nil"/>
              <w:left w:val="nil"/>
              <w:bottom w:val="single" w:sz="4" w:space="0" w:color="auto"/>
              <w:right w:val="nil"/>
            </w:tcBorders>
            <w:shd w:val="clear" w:color="auto" w:fill="auto"/>
            <w:vAlign w:val="center"/>
          </w:tcPr>
          <w:p w14:paraId="37E4A6D0" w14:textId="77777777" w:rsidR="00BF1282" w:rsidRDefault="00BF1282" w:rsidP="003B6D54">
            <w:pPr>
              <w:widowControl/>
              <w:jc w:val="center"/>
              <w:rPr>
                <w:rFonts w:eastAsia="DengXian" w:cs="Times New Roman"/>
                <w:i/>
                <w:iCs/>
                <w:color w:val="000000"/>
                <w:kern w:val="0"/>
                <w:sz w:val="16"/>
                <w:szCs w:val="16"/>
              </w:rPr>
            </w:pPr>
            <w:r>
              <w:rPr>
                <w:rFonts w:eastAsia="DengXian" w:cs="Times New Roman"/>
                <w:color w:val="000000"/>
                <w:sz w:val="16"/>
                <w:szCs w:val="16"/>
              </w:rPr>
              <w:t>Aechmophorus clarkii, Aechmophorus occidentalis, Amaurornis phoenicurus, Anastomus lamelligerus, Anastomus oscitans, Anhinga anhinga, Anhinga melanogaster, Anhinga novaehollandiae, Anhinga rufa, Ephippiorhynchus asiaticus, Ephippiorhynchus senegalensis, Eulabeornis castaneoventris, Gavia adamsii, Gavia arctica, Gavia immer, Gavia pacifica, Gavia stellata, Haliaeetus albicilla, Haliaeetus leucocephalus, Haliaeetus leucogaster, Haliaeetus leucoryphus, Haliaeetus pelagicus, Haliaeetus vocifer, Haliaeetus vociferoides, Himantornis haematopus, Jabiru mycteria, Ketupa ketupu, Ketupa zeylonensis, Leptoptilos crumenifer, Leptoptilos javanicus, Mentocrex kioloides, Mycteria americana, Mycteria ibis, Mycteria leucocephala, Pandion haliaetus, Pelecanus conspicillatus, Pelecanus crispus, Pelecanus erythrorhynchos, Pelecanus occidentalis, Pelecanus onocrotalus, Pelecanus philippensis, Pelecanus rufescens, Pelecanus thagus, Phoeniconaias minor, Phoenicoparrus andinus, Phoenicoparrus jamesi, Phoenicopterus chilensis, Phoenicopterus roseus, Phoenicopterus ruber, Podiceps auritus, Podiceps cristatus, Podiceps grisegena, Podiceps major, Podiceps nigricollis, Podiceps occipitalis, Podilymbus podiceps, Poliocephalus poliocephalus, Poliocephalus rufopectus, Rallus madagascariensis, Rollandia rolland, Sarothrura affinis, Sarothrura boehmi, Sarothrura elegans, Sarothrura insularis, Sarothrura rufa, Scotopelia bouvieri, Scotopelia peli, Tachybaptus dominicus, Tachybaptus novaehollandiae, Tachybaptus ruficollis, Threskiornis aethiopicus, Threskiornis melanocephalus, Threskiornis spinicollis</w:t>
            </w:r>
          </w:p>
        </w:tc>
      </w:tr>
    </w:tbl>
    <w:p w14:paraId="0D42CFB9" w14:textId="77777777" w:rsidR="00BF1282" w:rsidRDefault="00BF1282" w:rsidP="00BF1282">
      <w:pPr>
        <w:spacing w:line="480" w:lineRule="auto"/>
        <w:rPr>
          <w:sz w:val="21"/>
        </w:rPr>
      </w:pPr>
    </w:p>
    <w:p w14:paraId="5727AC32" w14:textId="77777777" w:rsidR="00BF1282" w:rsidRDefault="00BF1282" w:rsidP="00BF1282">
      <w:pPr>
        <w:pageBreakBefore/>
        <w:spacing w:line="480" w:lineRule="auto"/>
        <w:rPr>
          <w:sz w:val="21"/>
        </w:rPr>
      </w:pPr>
      <w:r>
        <w:rPr>
          <w:rFonts w:hint="eastAsia"/>
          <w:b/>
          <w:bCs/>
          <w:sz w:val="21"/>
        </w:rPr>
        <w:lastRenderedPageBreak/>
        <w:t>Extended Data Table 2</w:t>
      </w:r>
      <w:r>
        <w:rPr>
          <w:b/>
          <w:bCs/>
          <w:sz w:val="21"/>
        </w:rPr>
        <w:t xml:space="preserve"> Data sources</w:t>
      </w:r>
      <w:r>
        <w:rPr>
          <w:rFonts w:hint="eastAsia"/>
          <w:b/>
          <w:bCs/>
          <w:sz w:val="21"/>
        </w:rPr>
        <w:t xml:space="preserve">. </w:t>
      </w:r>
      <w:r>
        <w:rPr>
          <w:sz w:val="21"/>
        </w:rPr>
        <w:t>This table outlines the diverse range of data sources utilized in our analysis, providing a detailed description of each covariate, and the origin of the data.</w:t>
      </w:r>
    </w:p>
    <w:bookmarkEnd w:id="0"/>
    <w:p w14:paraId="2805D8A7" w14:textId="77777777" w:rsidR="00BF1282" w:rsidRDefault="00BF1282" w:rsidP="00BF1282">
      <w:pPr>
        <w:rPr>
          <w:sz w:val="21"/>
        </w:rPr>
      </w:pPr>
    </w:p>
    <w:tbl>
      <w:tblPr>
        <w:tblW w:w="7900" w:type="dxa"/>
        <w:tblLook w:val="04A0" w:firstRow="1" w:lastRow="0" w:firstColumn="1" w:lastColumn="0" w:noHBand="0" w:noVBand="1"/>
      </w:tblPr>
      <w:tblGrid>
        <w:gridCol w:w="2460"/>
        <w:gridCol w:w="3840"/>
        <w:gridCol w:w="1600"/>
      </w:tblGrid>
      <w:tr w:rsidR="00BF1282" w14:paraId="58F70A78" w14:textId="77777777" w:rsidTr="003B6D54">
        <w:trPr>
          <w:trHeight w:val="530"/>
        </w:trPr>
        <w:tc>
          <w:tcPr>
            <w:tcW w:w="2460" w:type="dxa"/>
            <w:tcBorders>
              <w:top w:val="single" w:sz="4" w:space="0" w:color="auto"/>
              <w:left w:val="nil"/>
              <w:bottom w:val="single" w:sz="4" w:space="0" w:color="auto"/>
              <w:right w:val="nil"/>
            </w:tcBorders>
            <w:shd w:val="clear" w:color="auto" w:fill="auto"/>
            <w:vAlign w:val="center"/>
          </w:tcPr>
          <w:p w14:paraId="03553405" w14:textId="77777777" w:rsidR="00BF1282" w:rsidRDefault="00BF1282" w:rsidP="003B6D54">
            <w:pPr>
              <w:widowControl/>
              <w:jc w:val="left"/>
              <w:rPr>
                <w:rFonts w:eastAsia="DengXian" w:cs="Arial"/>
                <w:b/>
                <w:bCs/>
                <w:color w:val="000000"/>
                <w:kern w:val="0"/>
                <w:sz w:val="18"/>
                <w:szCs w:val="18"/>
              </w:rPr>
            </w:pPr>
            <w:r>
              <w:rPr>
                <w:rFonts w:eastAsia="DengXian" w:cs="Arial"/>
                <w:b/>
                <w:bCs/>
                <w:color w:val="000000"/>
                <w:kern w:val="0"/>
                <w:sz w:val="18"/>
                <w:szCs w:val="18"/>
              </w:rPr>
              <w:t>Covariate</w:t>
            </w:r>
          </w:p>
        </w:tc>
        <w:tc>
          <w:tcPr>
            <w:tcW w:w="3840" w:type="dxa"/>
            <w:tcBorders>
              <w:top w:val="single" w:sz="4" w:space="0" w:color="auto"/>
              <w:left w:val="nil"/>
              <w:bottom w:val="single" w:sz="4" w:space="0" w:color="auto"/>
              <w:right w:val="nil"/>
            </w:tcBorders>
            <w:shd w:val="clear" w:color="auto" w:fill="auto"/>
            <w:vAlign w:val="center"/>
          </w:tcPr>
          <w:p w14:paraId="76B963E1" w14:textId="77777777" w:rsidR="00BF1282" w:rsidRDefault="00BF1282" w:rsidP="003B6D54">
            <w:pPr>
              <w:widowControl/>
              <w:jc w:val="left"/>
              <w:rPr>
                <w:rFonts w:eastAsia="DengXian" w:cs="Arial"/>
                <w:b/>
                <w:bCs/>
                <w:color w:val="000000"/>
                <w:kern w:val="0"/>
                <w:sz w:val="18"/>
                <w:szCs w:val="18"/>
              </w:rPr>
            </w:pPr>
            <w:r>
              <w:rPr>
                <w:rFonts w:eastAsia="DengXian" w:cs="Arial"/>
                <w:b/>
                <w:bCs/>
                <w:color w:val="000000"/>
                <w:kern w:val="0"/>
                <w:sz w:val="18"/>
                <w:szCs w:val="18"/>
              </w:rPr>
              <w:t>Description</w:t>
            </w:r>
          </w:p>
        </w:tc>
        <w:tc>
          <w:tcPr>
            <w:tcW w:w="1600" w:type="dxa"/>
            <w:tcBorders>
              <w:top w:val="single" w:sz="4" w:space="0" w:color="auto"/>
              <w:left w:val="nil"/>
              <w:bottom w:val="single" w:sz="4" w:space="0" w:color="auto"/>
              <w:right w:val="nil"/>
            </w:tcBorders>
            <w:shd w:val="clear" w:color="auto" w:fill="auto"/>
            <w:vAlign w:val="center"/>
          </w:tcPr>
          <w:p w14:paraId="41399432" w14:textId="77777777" w:rsidR="00BF1282" w:rsidRDefault="00BF1282" w:rsidP="003B6D54">
            <w:pPr>
              <w:widowControl/>
              <w:jc w:val="left"/>
              <w:rPr>
                <w:rFonts w:eastAsia="DengXian" w:cs="Arial"/>
                <w:b/>
                <w:bCs/>
                <w:color w:val="000000"/>
                <w:kern w:val="0"/>
                <w:sz w:val="18"/>
                <w:szCs w:val="18"/>
              </w:rPr>
            </w:pPr>
            <w:r>
              <w:rPr>
                <w:rFonts w:eastAsia="DengXian" w:cs="Arial"/>
                <w:b/>
                <w:bCs/>
                <w:color w:val="000000"/>
                <w:kern w:val="0"/>
                <w:sz w:val="18"/>
                <w:szCs w:val="18"/>
              </w:rPr>
              <w:t>Data source</w:t>
            </w:r>
          </w:p>
        </w:tc>
      </w:tr>
      <w:tr w:rsidR="00BF1282" w14:paraId="37F1B62C" w14:textId="77777777" w:rsidTr="003B6D54">
        <w:trPr>
          <w:trHeight w:val="280"/>
        </w:trPr>
        <w:tc>
          <w:tcPr>
            <w:tcW w:w="2460" w:type="dxa"/>
            <w:tcBorders>
              <w:top w:val="nil"/>
              <w:left w:val="nil"/>
              <w:bottom w:val="nil"/>
              <w:right w:val="nil"/>
            </w:tcBorders>
            <w:shd w:val="clear" w:color="auto" w:fill="auto"/>
            <w:vAlign w:val="center"/>
          </w:tcPr>
          <w:p w14:paraId="1859824D"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Waterbird records</w:t>
            </w:r>
          </w:p>
        </w:tc>
        <w:tc>
          <w:tcPr>
            <w:tcW w:w="3840" w:type="dxa"/>
            <w:tcBorders>
              <w:top w:val="nil"/>
              <w:left w:val="nil"/>
              <w:bottom w:val="nil"/>
              <w:right w:val="nil"/>
            </w:tcBorders>
            <w:shd w:val="clear" w:color="auto" w:fill="auto"/>
            <w:vAlign w:val="center"/>
          </w:tcPr>
          <w:p w14:paraId="3CE87C3F"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Observation records of waterbirds</w:t>
            </w:r>
          </w:p>
        </w:tc>
        <w:tc>
          <w:tcPr>
            <w:tcW w:w="1600" w:type="dxa"/>
            <w:tcBorders>
              <w:top w:val="nil"/>
              <w:left w:val="nil"/>
              <w:bottom w:val="nil"/>
              <w:right w:val="nil"/>
            </w:tcBorders>
            <w:shd w:val="clear" w:color="auto" w:fill="auto"/>
            <w:vAlign w:val="center"/>
          </w:tcPr>
          <w:p w14:paraId="3DF3402C"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GBIF</w:t>
            </w:r>
          </w:p>
        </w:tc>
      </w:tr>
      <w:tr w:rsidR="00BF1282" w14:paraId="77832C82" w14:textId="77777777" w:rsidTr="003B6D54">
        <w:trPr>
          <w:trHeight w:val="400"/>
        </w:trPr>
        <w:tc>
          <w:tcPr>
            <w:tcW w:w="2460" w:type="dxa"/>
            <w:tcBorders>
              <w:top w:val="nil"/>
              <w:left w:val="nil"/>
              <w:bottom w:val="nil"/>
              <w:right w:val="nil"/>
            </w:tcBorders>
            <w:shd w:val="clear" w:color="auto" w:fill="auto"/>
            <w:vAlign w:val="center"/>
          </w:tcPr>
          <w:p w14:paraId="4EE675D3"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 xml:space="preserve">Water proportion </w:t>
            </w:r>
          </w:p>
        </w:tc>
        <w:tc>
          <w:tcPr>
            <w:tcW w:w="3840" w:type="dxa"/>
            <w:tcBorders>
              <w:top w:val="nil"/>
              <w:left w:val="nil"/>
              <w:bottom w:val="nil"/>
              <w:right w:val="nil"/>
            </w:tcBorders>
            <w:shd w:val="clear" w:color="auto" w:fill="auto"/>
            <w:vAlign w:val="center"/>
          </w:tcPr>
          <w:p w14:paraId="7A42F032"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The ratio of water volume compared to the total volume in a given area</w:t>
            </w:r>
          </w:p>
        </w:tc>
        <w:tc>
          <w:tcPr>
            <w:tcW w:w="1600" w:type="dxa"/>
            <w:tcBorders>
              <w:top w:val="nil"/>
              <w:left w:val="nil"/>
              <w:bottom w:val="nil"/>
              <w:right w:val="nil"/>
            </w:tcBorders>
            <w:shd w:val="clear" w:color="auto" w:fill="auto"/>
            <w:vAlign w:val="center"/>
          </w:tcPr>
          <w:p w14:paraId="7505B87B"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Copernicus Global Land Service</w:t>
            </w:r>
          </w:p>
        </w:tc>
      </w:tr>
      <w:tr w:rsidR="00BF1282" w14:paraId="6E53FB19" w14:textId="77777777" w:rsidTr="003B6D54">
        <w:trPr>
          <w:trHeight w:val="400"/>
        </w:trPr>
        <w:tc>
          <w:tcPr>
            <w:tcW w:w="2460" w:type="dxa"/>
            <w:tcBorders>
              <w:top w:val="nil"/>
              <w:left w:val="nil"/>
              <w:bottom w:val="nil"/>
              <w:right w:val="nil"/>
            </w:tcBorders>
            <w:shd w:val="clear" w:color="auto" w:fill="auto"/>
            <w:vAlign w:val="center"/>
          </w:tcPr>
          <w:p w14:paraId="7E4F71BB"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Bird</w:t>
            </w:r>
            <w:r>
              <w:rPr>
                <w:rFonts w:eastAsia="DengXian" w:cs="Arial" w:hint="eastAsia"/>
                <w:color w:val="000000"/>
                <w:kern w:val="0"/>
                <w:sz w:val="16"/>
                <w:szCs w:val="16"/>
              </w:rPr>
              <w:t>L</w:t>
            </w:r>
            <w:r>
              <w:rPr>
                <w:rFonts w:eastAsia="DengXian" w:cs="Arial"/>
                <w:color w:val="000000"/>
                <w:kern w:val="0"/>
                <w:sz w:val="16"/>
                <w:szCs w:val="16"/>
              </w:rPr>
              <w:t xml:space="preserve">ife data </w:t>
            </w:r>
            <w:r>
              <w:rPr>
                <w:rFonts w:cs="Arial" w:hint="eastAsia"/>
                <w:color w:val="000000"/>
                <w:kern w:val="0"/>
                <w:sz w:val="16"/>
                <w:szCs w:val="16"/>
              </w:rPr>
              <w:t>zone</w:t>
            </w:r>
          </w:p>
        </w:tc>
        <w:tc>
          <w:tcPr>
            <w:tcW w:w="3840" w:type="dxa"/>
            <w:tcBorders>
              <w:top w:val="nil"/>
              <w:left w:val="nil"/>
              <w:bottom w:val="nil"/>
              <w:right w:val="nil"/>
            </w:tcBorders>
            <w:shd w:val="clear" w:color="auto" w:fill="auto"/>
            <w:vAlign w:val="center"/>
          </w:tcPr>
          <w:p w14:paraId="48CB1289"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The geographic area occupied by a bird species throughout its life cycle</w:t>
            </w:r>
          </w:p>
        </w:tc>
        <w:tc>
          <w:tcPr>
            <w:tcW w:w="1600" w:type="dxa"/>
            <w:tcBorders>
              <w:top w:val="nil"/>
              <w:left w:val="nil"/>
              <w:bottom w:val="nil"/>
              <w:right w:val="nil"/>
            </w:tcBorders>
            <w:shd w:val="clear" w:color="auto" w:fill="auto"/>
            <w:vAlign w:val="center"/>
          </w:tcPr>
          <w:p w14:paraId="3192F87F"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BirdLife International</w:t>
            </w:r>
          </w:p>
        </w:tc>
      </w:tr>
      <w:tr w:rsidR="00BF1282" w14:paraId="7A6A0239" w14:textId="77777777" w:rsidTr="003B6D54">
        <w:trPr>
          <w:trHeight w:val="400"/>
        </w:trPr>
        <w:tc>
          <w:tcPr>
            <w:tcW w:w="2460" w:type="dxa"/>
            <w:tcBorders>
              <w:top w:val="nil"/>
              <w:left w:val="nil"/>
              <w:bottom w:val="nil"/>
              <w:right w:val="nil"/>
            </w:tcBorders>
            <w:shd w:val="clear" w:color="auto" w:fill="auto"/>
            <w:vAlign w:val="center"/>
          </w:tcPr>
          <w:p w14:paraId="26D4DB8E"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Wallace's realms</w:t>
            </w:r>
            <w:r>
              <w:rPr>
                <w:rFonts w:eastAsia="DengXian" w:cs="Arial" w:hint="eastAsia"/>
                <w:color w:val="000000"/>
                <w:kern w:val="0"/>
                <w:sz w:val="16"/>
                <w:szCs w:val="16"/>
              </w:rPr>
              <w:t xml:space="preserve"> </w:t>
            </w:r>
          </w:p>
        </w:tc>
        <w:tc>
          <w:tcPr>
            <w:tcW w:w="3840" w:type="dxa"/>
            <w:tcBorders>
              <w:top w:val="nil"/>
              <w:left w:val="nil"/>
              <w:bottom w:val="nil"/>
              <w:right w:val="nil"/>
            </w:tcBorders>
            <w:shd w:val="clear" w:color="auto" w:fill="auto"/>
            <w:vAlign w:val="center"/>
          </w:tcPr>
          <w:p w14:paraId="4EF79899"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The biogeographic region defined by 19th-century British naturalist Alfred Russel Wallace</w:t>
            </w:r>
          </w:p>
        </w:tc>
        <w:tc>
          <w:tcPr>
            <w:tcW w:w="1600" w:type="dxa"/>
            <w:tcBorders>
              <w:top w:val="nil"/>
              <w:left w:val="nil"/>
              <w:bottom w:val="nil"/>
              <w:right w:val="nil"/>
            </w:tcBorders>
            <w:shd w:val="clear" w:color="auto" w:fill="auto"/>
            <w:vAlign w:val="center"/>
          </w:tcPr>
          <w:p w14:paraId="0BA60066"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Wallace, 1876</w:t>
            </w:r>
          </w:p>
        </w:tc>
      </w:tr>
      <w:tr w:rsidR="00BF1282" w14:paraId="1EC2F58F" w14:textId="77777777" w:rsidTr="003B6D54">
        <w:trPr>
          <w:trHeight w:val="280"/>
        </w:trPr>
        <w:tc>
          <w:tcPr>
            <w:tcW w:w="2460" w:type="dxa"/>
            <w:tcBorders>
              <w:top w:val="nil"/>
              <w:left w:val="nil"/>
              <w:bottom w:val="nil"/>
              <w:right w:val="nil"/>
            </w:tcBorders>
            <w:shd w:val="clear" w:color="auto" w:fill="auto"/>
            <w:vAlign w:val="center"/>
          </w:tcPr>
          <w:p w14:paraId="4FE43540"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Positive presence of AIV cases</w:t>
            </w:r>
          </w:p>
        </w:tc>
        <w:tc>
          <w:tcPr>
            <w:tcW w:w="3840" w:type="dxa"/>
            <w:tcBorders>
              <w:top w:val="nil"/>
              <w:left w:val="nil"/>
              <w:bottom w:val="nil"/>
              <w:right w:val="nil"/>
            </w:tcBorders>
            <w:shd w:val="clear" w:color="auto" w:fill="auto"/>
            <w:vAlign w:val="center"/>
          </w:tcPr>
          <w:p w14:paraId="00DBAB80"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Reported Avian Influenza Virus (AIV) cases</w:t>
            </w:r>
          </w:p>
        </w:tc>
        <w:tc>
          <w:tcPr>
            <w:tcW w:w="1600" w:type="dxa"/>
            <w:tcBorders>
              <w:top w:val="nil"/>
              <w:left w:val="nil"/>
              <w:bottom w:val="nil"/>
              <w:right w:val="nil"/>
            </w:tcBorders>
            <w:shd w:val="clear" w:color="auto" w:fill="auto"/>
            <w:vAlign w:val="center"/>
          </w:tcPr>
          <w:p w14:paraId="064EF969"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FAO</w:t>
            </w:r>
          </w:p>
        </w:tc>
      </w:tr>
      <w:tr w:rsidR="00BF1282" w14:paraId="0A2C9D19" w14:textId="77777777" w:rsidTr="003B6D54">
        <w:trPr>
          <w:trHeight w:val="400"/>
        </w:trPr>
        <w:tc>
          <w:tcPr>
            <w:tcW w:w="2460" w:type="dxa"/>
            <w:tcBorders>
              <w:top w:val="nil"/>
              <w:left w:val="nil"/>
              <w:bottom w:val="nil"/>
              <w:right w:val="nil"/>
            </w:tcBorders>
            <w:shd w:val="clear" w:color="auto" w:fill="auto"/>
            <w:vAlign w:val="center"/>
          </w:tcPr>
          <w:p w14:paraId="385327B4"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National GDP</w:t>
            </w:r>
          </w:p>
        </w:tc>
        <w:tc>
          <w:tcPr>
            <w:tcW w:w="3840" w:type="dxa"/>
            <w:tcBorders>
              <w:top w:val="nil"/>
              <w:left w:val="nil"/>
              <w:bottom w:val="nil"/>
              <w:right w:val="nil"/>
            </w:tcBorders>
            <w:shd w:val="clear" w:color="auto" w:fill="auto"/>
            <w:vAlign w:val="center"/>
          </w:tcPr>
          <w:p w14:paraId="6926FA25"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Gross Domestic Product of a nation</w:t>
            </w:r>
          </w:p>
        </w:tc>
        <w:tc>
          <w:tcPr>
            <w:tcW w:w="1600" w:type="dxa"/>
            <w:tcBorders>
              <w:top w:val="nil"/>
              <w:left w:val="nil"/>
              <w:bottom w:val="nil"/>
              <w:right w:val="nil"/>
            </w:tcBorders>
            <w:shd w:val="clear" w:color="auto" w:fill="auto"/>
            <w:vAlign w:val="center"/>
          </w:tcPr>
          <w:p w14:paraId="17574632"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Natural earth data</w:t>
            </w:r>
          </w:p>
        </w:tc>
      </w:tr>
      <w:tr w:rsidR="00BF1282" w14:paraId="2823E4FD" w14:textId="77777777" w:rsidTr="003B6D54">
        <w:trPr>
          <w:trHeight w:val="400"/>
        </w:trPr>
        <w:tc>
          <w:tcPr>
            <w:tcW w:w="2460" w:type="dxa"/>
            <w:tcBorders>
              <w:top w:val="nil"/>
              <w:left w:val="nil"/>
              <w:bottom w:val="nil"/>
              <w:right w:val="nil"/>
            </w:tcBorders>
            <w:shd w:val="clear" w:color="auto" w:fill="auto"/>
            <w:vAlign w:val="center"/>
          </w:tcPr>
          <w:p w14:paraId="6C936CA5"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National human population</w:t>
            </w:r>
          </w:p>
        </w:tc>
        <w:tc>
          <w:tcPr>
            <w:tcW w:w="3840" w:type="dxa"/>
            <w:tcBorders>
              <w:top w:val="nil"/>
              <w:left w:val="nil"/>
              <w:bottom w:val="nil"/>
              <w:right w:val="nil"/>
            </w:tcBorders>
            <w:shd w:val="clear" w:color="auto" w:fill="auto"/>
            <w:vAlign w:val="center"/>
          </w:tcPr>
          <w:p w14:paraId="6EBBE85B"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The total count of individuals in a nation</w:t>
            </w:r>
          </w:p>
        </w:tc>
        <w:tc>
          <w:tcPr>
            <w:tcW w:w="1600" w:type="dxa"/>
            <w:tcBorders>
              <w:top w:val="nil"/>
              <w:left w:val="nil"/>
              <w:bottom w:val="nil"/>
              <w:right w:val="nil"/>
            </w:tcBorders>
            <w:shd w:val="clear" w:color="auto" w:fill="auto"/>
            <w:vAlign w:val="center"/>
          </w:tcPr>
          <w:p w14:paraId="39CDD2FC"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Natural earth data</w:t>
            </w:r>
          </w:p>
        </w:tc>
      </w:tr>
      <w:tr w:rsidR="00BF1282" w14:paraId="69821FB6" w14:textId="77777777" w:rsidTr="003B6D54">
        <w:trPr>
          <w:trHeight w:val="400"/>
        </w:trPr>
        <w:tc>
          <w:tcPr>
            <w:tcW w:w="2460" w:type="dxa"/>
            <w:tcBorders>
              <w:top w:val="nil"/>
              <w:left w:val="nil"/>
              <w:bottom w:val="nil"/>
              <w:right w:val="nil"/>
            </w:tcBorders>
            <w:shd w:val="clear" w:color="auto" w:fill="auto"/>
            <w:vAlign w:val="center"/>
          </w:tcPr>
          <w:p w14:paraId="041496C7"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Urban</w:t>
            </w:r>
            <w:r>
              <w:rPr>
                <w:rFonts w:eastAsia="DengXian" w:cs="Arial" w:hint="eastAsia"/>
                <w:color w:val="000000"/>
                <w:kern w:val="0"/>
                <w:sz w:val="16"/>
                <w:szCs w:val="16"/>
              </w:rPr>
              <w:t xml:space="preserve"> boundaries</w:t>
            </w:r>
          </w:p>
        </w:tc>
        <w:tc>
          <w:tcPr>
            <w:tcW w:w="3840" w:type="dxa"/>
            <w:tcBorders>
              <w:top w:val="nil"/>
              <w:left w:val="nil"/>
              <w:bottom w:val="nil"/>
              <w:right w:val="nil"/>
            </w:tcBorders>
            <w:shd w:val="clear" w:color="auto" w:fill="auto"/>
            <w:vAlign w:val="center"/>
          </w:tcPr>
          <w:p w14:paraId="24E9141B" w14:textId="77777777" w:rsidR="00BF1282" w:rsidRDefault="00BF1282" w:rsidP="003B6D54">
            <w:pPr>
              <w:widowControl/>
              <w:jc w:val="left"/>
              <w:rPr>
                <w:rFonts w:eastAsia="DengXian" w:cs="Arial"/>
                <w:color w:val="000000"/>
                <w:kern w:val="0"/>
                <w:sz w:val="16"/>
                <w:szCs w:val="16"/>
              </w:rPr>
            </w:pPr>
            <w:r>
              <w:rPr>
                <w:rFonts w:eastAsia="DengXian" w:cs="Arial" w:hint="eastAsia"/>
                <w:color w:val="000000"/>
                <w:kern w:val="0"/>
                <w:sz w:val="16"/>
                <w:szCs w:val="16"/>
              </w:rPr>
              <w:t>V</w:t>
            </w:r>
            <w:r>
              <w:rPr>
                <w:rFonts w:eastAsia="DengXian" w:cs="Arial"/>
                <w:color w:val="000000"/>
                <w:kern w:val="0"/>
                <w:sz w:val="16"/>
                <w:szCs w:val="16"/>
              </w:rPr>
              <w:t xml:space="preserve">ector data </w:t>
            </w:r>
            <w:r>
              <w:rPr>
                <w:rFonts w:eastAsia="DengXian" w:cs="Arial" w:hint="eastAsia"/>
                <w:color w:val="000000"/>
                <w:kern w:val="0"/>
                <w:sz w:val="16"/>
                <w:szCs w:val="16"/>
              </w:rPr>
              <w:t xml:space="preserve">for 258 countries </w:t>
            </w:r>
            <w:r>
              <w:rPr>
                <w:rFonts w:eastAsia="DengXian" w:cs="Arial"/>
                <w:color w:val="000000"/>
                <w:kern w:val="0"/>
                <w:sz w:val="16"/>
                <w:szCs w:val="16"/>
              </w:rPr>
              <w:t>in the world</w:t>
            </w:r>
          </w:p>
        </w:tc>
        <w:tc>
          <w:tcPr>
            <w:tcW w:w="1600" w:type="dxa"/>
            <w:tcBorders>
              <w:top w:val="nil"/>
              <w:left w:val="nil"/>
              <w:bottom w:val="nil"/>
              <w:right w:val="nil"/>
            </w:tcBorders>
            <w:shd w:val="clear" w:color="auto" w:fill="auto"/>
            <w:vAlign w:val="center"/>
          </w:tcPr>
          <w:p w14:paraId="1CB5120C"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Natural earth data</w:t>
            </w:r>
          </w:p>
        </w:tc>
      </w:tr>
      <w:tr w:rsidR="00BF1282" w14:paraId="5AA91827" w14:textId="77777777" w:rsidTr="003B6D54">
        <w:trPr>
          <w:trHeight w:val="280"/>
        </w:trPr>
        <w:tc>
          <w:tcPr>
            <w:tcW w:w="2460" w:type="dxa"/>
            <w:tcBorders>
              <w:top w:val="nil"/>
              <w:left w:val="nil"/>
              <w:bottom w:val="nil"/>
              <w:right w:val="nil"/>
            </w:tcBorders>
            <w:shd w:val="clear" w:color="auto" w:fill="auto"/>
            <w:vAlign w:val="center"/>
          </w:tcPr>
          <w:p w14:paraId="400782A7"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Human density</w:t>
            </w:r>
          </w:p>
        </w:tc>
        <w:tc>
          <w:tcPr>
            <w:tcW w:w="3840" w:type="dxa"/>
            <w:tcBorders>
              <w:top w:val="nil"/>
              <w:left w:val="nil"/>
              <w:bottom w:val="nil"/>
              <w:right w:val="nil"/>
            </w:tcBorders>
            <w:shd w:val="clear" w:color="auto" w:fill="auto"/>
            <w:vAlign w:val="center"/>
          </w:tcPr>
          <w:p w14:paraId="7B2C0BF8"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Human population density (people/km</w:t>
            </w:r>
            <w:r>
              <w:rPr>
                <w:rFonts w:eastAsia="DengXian" w:cs="Arial"/>
                <w:color w:val="000000"/>
                <w:kern w:val="0"/>
                <w:sz w:val="16"/>
                <w:szCs w:val="16"/>
                <w:vertAlign w:val="superscript"/>
              </w:rPr>
              <w:t>2</w:t>
            </w:r>
            <w:r>
              <w:rPr>
                <w:rFonts w:eastAsia="DengXian" w:cs="Arial"/>
                <w:color w:val="000000"/>
                <w:kern w:val="0"/>
                <w:sz w:val="16"/>
                <w:szCs w:val="16"/>
              </w:rPr>
              <w:t>)</w:t>
            </w:r>
          </w:p>
        </w:tc>
        <w:tc>
          <w:tcPr>
            <w:tcW w:w="1600" w:type="dxa"/>
            <w:tcBorders>
              <w:top w:val="nil"/>
              <w:left w:val="nil"/>
              <w:bottom w:val="nil"/>
              <w:right w:val="nil"/>
            </w:tcBorders>
            <w:shd w:val="clear" w:color="auto" w:fill="auto"/>
            <w:vAlign w:val="center"/>
          </w:tcPr>
          <w:p w14:paraId="63D417FC"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GPWv4</w:t>
            </w:r>
          </w:p>
        </w:tc>
      </w:tr>
      <w:tr w:rsidR="00BF1282" w14:paraId="207BA0FA" w14:textId="77777777" w:rsidTr="003B6D54">
        <w:trPr>
          <w:trHeight w:val="280"/>
        </w:trPr>
        <w:tc>
          <w:tcPr>
            <w:tcW w:w="2460" w:type="dxa"/>
            <w:tcBorders>
              <w:top w:val="nil"/>
              <w:left w:val="nil"/>
              <w:bottom w:val="nil"/>
              <w:right w:val="nil"/>
            </w:tcBorders>
            <w:shd w:val="clear" w:color="auto" w:fill="auto"/>
            <w:vAlign w:val="center"/>
          </w:tcPr>
          <w:p w14:paraId="241088CE"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Poultry density</w:t>
            </w:r>
          </w:p>
        </w:tc>
        <w:tc>
          <w:tcPr>
            <w:tcW w:w="3840" w:type="dxa"/>
            <w:tcBorders>
              <w:top w:val="nil"/>
              <w:left w:val="nil"/>
              <w:bottom w:val="nil"/>
              <w:right w:val="nil"/>
            </w:tcBorders>
            <w:shd w:val="clear" w:color="auto" w:fill="auto"/>
            <w:vAlign w:val="center"/>
          </w:tcPr>
          <w:p w14:paraId="295D0B3F" w14:textId="77777777" w:rsidR="00BF1282" w:rsidRDefault="00BF1282" w:rsidP="003B6D54">
            <w:pPr>
              <w:widowControl/>
              <w:jc w:val="left"/>
              <w:rPr>
                <w:rFonts w:eastAsia="DengXian" w:cs="Arial"/>
                <w:color w:val="000000"/>
                <w:kern w:val="0"/>
                <w:sz w:val="16"/>
                <w:szCs w:val="16"/>
              </w:rPr>
            </w:pPr>
            <w:r>
              <w:rPr>
                <w:rFonts w:eastAsia="DengXian" w:cs="Arial" w:hint="eastAsia"/>
                <w:color w:val="000000"/>
                <w:kern w:val="0"/>
                <w:sz w:val="16"/>
                <w:szCs w:val="16"/>
              </w:rPr>
              <w:t>Chicken and duck</w:t>
            </w:r>
            <w:r>
              <w:rPr>
                <w:rFonts w:eastAsia="DengXian" w:cs="Arial"/>
                <w:color w:val="000000"/>
                <w:kern w:val="0"/>
                <w:sz w:val="16"/>
                <w:szCs w:val="16"/>
              </w:rPr>
              <w:t xml:space="preserve"> population density (poultry/km</w:t>
            </w:r>
            <w:r>
              <w:rPr>
                <w:rFonts w:eastAsia="DengXian" w:cs="Arial"/>
                <w:color w:val="000000"/>
                <w:kern w:val="0"/>
                <w:sz w:val="16"/>
                <w:szCs w:val="16"/>
                <w:vertAlign w:val="superscript"/>
              </w:rPr>
              <w:t>2</w:t>
            </w:r>
            <w:r>
              <w:rPr>
                <w:rFonts w:eastAsia="DengXian" w:cs="Arial"/>
                <w:color w:val="000000"/>
                <w:kern w:val="0"/>
                <w:sz w:val="16"/>
                <w:szCs w:val="16"/>
              </w:rPr>
              <w:t>)</w:t>
            </w:r>
          </w:p>
        </w:tc>
        <w:tc>
          <w:tcPr>
            <w:tcW w:w="1600" w:type="dxa"/>
            <w:tcBorders>
              <w:top w:val="nil"/>
              <w:left w:val="nil"/>
              <w:bottom w:val="nil"/>
              <w:right w:val="nil"/>
            </w:tcBorders>
            <w:shd w:val="clear" w:color="auto" w:fill="auto"/>
            <w:vAlign w:val="center"/>
          </w:tcPr>
          <w:p w14:paraId="71854381"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GLW 4</w:t>
            </w:r>
          </w:p>
        </w:tc>
      </w:tr>
      <w:tr w:rsidR="00BF1282" w14:paraId="38766D2B" w14:textId="77777777" w:rsidTr="003B6D54">
        <w:trPr>
          <w:trHeight w:val="280"/>
        </w:trPr>
        <w:tc>
          <w:tcPr>
            <w:tcW w:w="2460" w:type="dxa"/>
            <w:tcBorders>
              <w:top w:val="nil"/>
              <w:left w:val="nil"/>
              <w:bottom w:val="nil"/>
              <w:right w:val="nil"/>
            </w:tcBorders>
            <w:shd w:val="clear" w:color="auto" w:fill="auto"/>
            <w:vAlign w:val="center"/>
          </w:tcPr>
          <w:p w14:paraId="41DB6D10" w14:textId="77777777" w:rsidR="00BF1282" w:rsidRDefault="00BF1282" w:rsidP="003B6D54">
            <w:pPr>
              <w:widowControl/>
              <w:jc w:val="left"/>
              <w:rPr>
                <w:rFonts w:eastAsia="DengXian" w:cs="Arial"/>
                <w:color w:val="000000"/>
                <w:kern w:val="0"/>
                <w:sz w:val="16"/>
                <w:szCs w:val="16"/>
              </w:rPr>
            </w:pPr>
            <w:r>
              <w:rPr>
                <w:rFonts w:eastAsia="DengXian" w:cs="Arial" w:hint="eastAsia"/>
                <w:color w:val="000000"/>
                <w:kern w:val="0"/>
                <w:sz w:val="16"/>
                <w:szCs w:val="16"/>
              </w:rPr>
              <w:t>Cattle</w:t>
            </w:r>
            <w:r>
              <w:rPr>
                <w:rFonts w:eastAsia="DengXian" w:cs="Arial"/>
                <w:color w:val="000000"/>
                <w:kern w:val="0"/>
                <w:sz w:val="16"/>
                <w:szCs w:val="16"/>
              </w:rPr>
              <w:t xml:space="preserve"> density</w:t>
            </w:r>
          </w:p>
        </w:tc>
        <w:tc>
          <w:tcPr>
            <w:tcW w:w="3840" w:type="dxa"/>
            <w:tcBorders>
              <w:top w:val="nil"/>
              <w:left w:val="nil"/>
              <w:bottom w:val="nil"/>
              <w:right w:val="nil"/>
            </w:tcBorders>
            <w:shd w:val="clear" w:color="auto" w:fill="auto"/>
            <w:vAlign w:val="center"/>
          </w:tcPr>
          <w:p w14:paraId="19F3DB47" w14:textId="77777777" w:rsidR="00BF1282" w:rsidRDefault="00BF1282" w:rsidP="003B6D54">
            <w:pPr>
              <w:widowControl/>
              <w:jc w:val="left"/>
              <w:rPr>
                <w:rFonts w:eastAsia="DengXian" w:cs="Arial"/>
                <w:color w:val="000000"/>
                <w:kern w:val="0"/>
                <w:sz w:val="16"/>
                <w:szCs w:val="16"/>
              </w:rPr>
            </w:pPr>
            <w:r>
              <w:rPr>
                <w:rFonts w:eastAsia="DengXian" w:cs="Arial" w:hint="eastAsia"/>
                <w:color w:val="000000"/>
                <w:kern w:val="0"/>
                <w:sz w:val="16"/>
                <w:szCs w:val="16"/>
              </w:rPr>
              <w:t>Cattle</w:t>
            </w:r>
            <w:r>
              <w:rPr>
                <w:rFonts w:eastAsia="DengXian" w:cs="Arial"/>
                <w:color w:val="000000"/>
                <w:kern w:val="0"/>
                <w:sz w:val="16"/>
                <w:szCs w:val="16"/>
              </w:rPr>
              <w:t xml:space="preserve"> population density (</w:t>
            </w:r>
            <w:r>
              <w:rPr>
                <w:rFonts w:eastAsia="DengXian" w:cs="Arial" w:hint="eastAsia"/>
                <w:color w:val="000000"/>
                <w:kern w:val="0"/>
                <w:sz w:val="16"/>
                <w:szCs w:val="16"/>
              </w:rPr>
              <w:t>head</w:t>
            </w:r>
            <w:r>
              <w:rPr>
                <w:rFonts w:eastAsia="DengXian" w:cs="Arial"/>
                <w:color w:val="000000"/>
                <w:kern w:val="0"/>
                <w:sz w:val="16"/>
                <w:szCs w:val="16"/>
              </w:rPr>
              <w:t>/km</w:t>
            </w:r>
            <w:r>
              <w:rPr>
                <w:rFonts w:eastAsia="DengXian" w:cs="Arial"/>
                <w:color w:val="000000"/>
                <w:kern w:val="0"/>
                <w:sz w:val="16"/>
                <w:szCs w:val="16"/>
                <w:vertAlign w:val="superscript"/>
              </w:rPr>
              <w:t>2</w:t>
            </w:r>
            <w:r>
              <w:rPr>
                <w:rFonts w:eastAsia="DengXian" w:cs="Arial"/>
                <w:color w:val="000000"/>
                <w:kern w:val="0"/>
                <w:sz w:val="16"/>
                <w:szCs w:val="16"/>
              </w:rPr>
              <w:t>)</w:t>
            </w:r>
          </w:p>
        </w:tc>
        <w:tc>
          <w:tcPr>
            <w:tcW w:w="1600" w:type="dxa"/>
            <w:tcBorders>
              <w:top w:val="nil"/>
              <w:left w:val="nil"/>
              <w:bottom w:val="nil"/>
              <w:right w:val="nil"/>
            </w:tcBorders>
            <w:shd w:val="clear" w:color="auto" w:fill="auto"/>
            <w:vAlign w:val="center"/>
          </w:tcPr>
          <w:p w14:paraId="3B2FEBD0"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GLW 4</w:t>
            </w:r>
          </w:p>
        </w:tc>
      </w:tr>
      <w:tr w:rsidR="00BF1282" w14:paraId="4B4425F6" w14:textId="77777777" w:rsidTr="003B6D54">
        <w:trPr>
          <w:trHeight w:val="400"/>
        </w:trPr>
        <w:tc>
          <w:tcPr>
            <w:tcW w:w="2460" w:type="dxa"/>
            <w:tcBorders>
              <w:top w:val="nil"/>
              <w:left w:val="nil"/>
              <w:bottom w:val="nil"/>
              <w:right w:val="nil"/>
            </w:tcBorders>
            <w:shd w:val="clear" w:color="auto" w:fill="auto"/>
            <w:vAlign w:val="center"/>
          </w:tcPr>
          <w:p w14:paraId="3246E5F6"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 xml:space="preserve">Confirmed host </w:t>
            </w:r>
          </w:p>
        </w:tc>
        <w:tc>
          <w:tcPr>
            <w:tcW w:w="3840" w:type="dxa"/>
            <w:tcBorders>
              <w:top w:val="nil"/>
              <w:left w:val="nil"/>
              <w:bottom w:val="nil"/>
              <w:right w:val="nil"/>
            </w:tcBorders>
            <w:shd w:val="clear" w:color="auto" w:fill="auto"/>
            <w:vAlign w:val="center"/>
          </w:tcPr>
          <w:p w14:paraId="64F0D1F3"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Waterbird species confirmed to be carriers of Avian Influenza Virus (AIV)</w:t>
            </w:r>
          </w:p>
        </w:tc>
        <w:tc>
          <w:tcPr>
            <w:tcW w:w="1600" w:type="dxa"/>
            <w:tcBorders>
              <w:top w:val="nil"/>
              <w:left w:val="nil"/>
              <w:bottom w:val="nil"/>
              <w:right w:val="nil"/>
            </w:tcBorders>
            <w:shd w:val="clear" w:color="auto" w:fill="auto"/>
            <w:vAlign w:val="center"/>
          </w:tcPr>
          <w:p w14:paraId="05B35157" w14:textId="77777777" w:rsidR="00BF1282" w:rsidRDefault="00BF1282" w:rsidP="003B6D54">
            <w:pPr>
              <w:widowControl/>
              <w:rPr>
                <w:rFonts w:eastAsia="DengXian" w:cs="Arial"/>
                <w:color w:val="000000"/>
                <w:kern w:val="0"/>
                <w:sz w:val="16"/>
                <w:szCs w:val="16"/>
              </w:rPr>
            </w:pPr>
            <w:r>
              <w:rPr>
                <w:rFonts w:eastAsia="DengXian" w:cs="Arial"/>
                <w:color w:val="000000"/>
                <w:kern w:val="0"/>
                <w:sz w:val="16"/>
                <w:szCs w:val="16"/>
              </w:rPr>
              <w:t>Shu and McCauley</w:t>
            </w:r>
            <w:r>
              <w:rPr>
                <w:rFonts w:eastAsia="DengXian" w:cs="Arial" w:hint="eastAsia"/>
                <w:color w:val="000000"/>
                <w:kern w:val="0"/>
                <w:sz w:val="16"/>
                <w:szCs w:val="16"/>
              </w:rPr>
              <w:t>,</w:t>
            </w:r>
            <w:r>
              <w:rPr>
                <w:rFonts w:eastAsia="DengXian" w:cs="Arial"/>
                <w:color w:val="000000"/>
                <w:kern w:val="0"/>
                <w:sz w:val="16"/>
                <w:szCs w:val="16"/>
              </w:rPr>
              <w:t xml:space="preserve"> 2017</w:t>
            </w:r>
          </w:p>
        </w:tc>
      </w:tr>
      <w:tr w:rsidR="00BF1282" w14:paraId="587AD78C" w14:textId="77777777" w:rsidTr="003B6D54">
        <w:trPr>
          <w:trHeight w:val="400"/>
        </w:trPr>
        <w:tc>
          <w:tcPr>
            <w:tcW w:w="2460" w:type="dxa"/>
            <w:tcBorders>
              <w:top w:val="nil"/>
              <w:left w:val="nil"/>
              <w:bottom w:val="nil"/>
              <w:right w:val="nil"/>
            </w:tcBorders>
            <w:shd w:val="clear" w:color="auto" w:fill="auto"/>
            <w:vAlign w:val="center"/>
          </w:tcPr>
          <w:p w14:paraId="1071206B"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GPP (monthly)</w:t>
            </w:r>
          </w:p>
        </w:tc>
        <w:tc>
          <w:tcPr>
            <w:tcW w:w="3840" w:type="dxa"/>
            <w:tcBorders>
              <w:top w:val="nil"/>
              <w:left w:val="nil"/>
              <w:bottom w:val="nil"/>
              <w:right w:val="nil"/>
            </w:tcBorders>
            <w:shd w:val="clear" w:color="auto" w:fill="auto"/>
            <w:vAlign w:val="center"/>
          </w:tcPr>
          <w:p w14:paraId="5EF55860"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Gross Primary Productivity measured monthly</w:t>
            </w:r>
          </w:p>
        </w:tc>
        <w:tc>
          <w:tcPr>
            <w:tcW w:w="1600" w:type="dxa"/>
            <w:tcBorders>
              <w:top w:val="nil"/>
              <w:left w:val="nil"/>
              <w:bottom w:val="nil"/>
              <w:right w:val="nil"/>
            </w:tcBorders>
            <w:shd w:val="clear" w:color="auto" w:fill="auto"/>
            <w:vAlign w:val="center"/>
          </w:tcPr>
          <w:p w14:paraId="054C3ADD"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Zhang et al., 2017</w:t>
            </w:r>
          </w:p>
        </w:tc>
      </w:tr>
      <w:tr w:rsidR="00BF1282" w14:paraId="37C8547E" w14:textId="77777777" w:rsidTr="003B6D54">
        <w:trPr>
          <w:trHeight w:val="280"/>
        </w:trPr>
        <w:tc>
          <w:tcPr>
            <w:tcW w:w="2460" w:type="dxa"/>
            <w:tcBorders>
              <w:top w:val="nil"/>
              <w:left w:val="nil"/>
              <w:bottom w:val="nil"/>
              <w:right w:val="nil"/>
            </w:tcBorders>
            <w:shd w:val="clear" w:color="auto" w:fill="auto"/>
            <w:vAlign w:val="center"/>
          </w:tcPr>
          <w:p w14:paraId="7BABF697"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Precipitation</w:t>
            </w:r>
          </w:p>
        </w:tc>
        <w:tc>
          <w:tcPr>
            <w:tcW w:w="3840" w:type="dxa"/>
            <w:tcBorders>
              <w:top w:val="nil"/>
              <w:left w:val="nil"/>
              <w:bottom w:val="nil"/>
              <w:right w:val="nil"/>
            </w:tcBorders>
            <w:shd w:val="clear" w:color="auto" w:fill="auto"/>
            <w:vAlign w:val="center"/>
          </w:tcPr>
          <w:p w14:paraId="0F1FEBCE"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Annual precipitation (mm)</w:t>
            </w:r>
          </w:p>
        </w:tc>
        <w:tc>
          <w:tcPr>
            <w:tcW w:w="1600" w:type="dxa"/>
            <w:tcBorders>
              <w:top w:val="nil"/>
              <w:left w:val="nil"/>
              <w:bottom w:val="nil"/>
              <w:right w:val="nil"/>
            </w:tcBorders>
            <w:shd w:val="clear" w:color="auto" w:fill="auto"/>
            <w:vAlign w:val="center"/>
          </w:tcPr>
          <w:p w14:paraId="56A5F582"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WorldClim V2.1</w:t>
            </w:r>
          </w:p>
        </w:tc>
      </w:tr>
      <w:tr w:rsidR="00BF1282" w14:paraId="1CF1BED5" w14:textId="77777777" w:rsidTr="003B6D54">
        <w:trPr>
          <w:trHeight w:val="280"/>
        </w:trPr>
        <w:tc>
          <w:tcPr>
            <w:tcW w:w="2460" w:type="dxa"/>
            <w:tcBorders>
              <w:top w:val="nil"/>
              <w:left w:val="nil"/>
              <w:bottom w:val="nil"/>
              <w:right w:val="nil"/>
            </w:tcBorders>
            <w:shd w:val="clear" w:color="auto" w:fill="auto"/>
            <w:vAlign w:val="center"/>
          </w:tcPr>
          <w:p w14:paraId="1B5E3E91"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Temperature</w:t>
            </w:r>
          </w:p>
        </w:tc>
        <w:tc>
          <w:tcPr>
            <w:tcW w:w="3840" w:type="dxa"/>
            <w:tcBorders>
              <w:top w:val="nil"/>
              <w:left w:val="nil"/>
              <w:bottom w:val="nil"/>
              <w:right w:val="nil"/>
            </w:tcBorders>
            <w:shd w:val="clear" w:color="auto" w:fill="auto"/>
            <w:vAlign w:val="center"/>
          </w:tcPr>
          <w:p w14:paraId="0992FD85"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Annual temperatures (</w:t>
            </w:r>
            <w:r>
              <w:rPr>
                <w:rFonts w:cs="Arial" w:hint="eastAsia"/>
                <w:color w:val="000000"/>
                <w:kern w:val="0"/>
                <w:sz w:val="16"/>
                <w:szCs w:val="16"/>
              </w:rPr>
              <w:t>℃</w:t>
            </w:r>
            <w:r>
              <w:rPr>
                <w:rFonts w:eastAsia="DengXian" w:cs="Arial"/>
                <w:color w:val="000000"/>
                <w:kern w:val="0"/>
                <w:sz w:val="16"/>
                <w:szCs w:val="16"/>
              </w:rPr>
              <w:t>)</w:t>
            </w:r>
          </w:p>
        </w:tc>
        <w:tc>
          <w:tcPr>
            <w:tcW w:w="1600" w:type="dxa"/>
            <w:tcBorders>
              <w:top w:val="nil"/>
              <w:left w:val="nil"/>
              <w:bottom w:val="nil"/>
              <w:right w:val="nil"/>
            </w:tcBorders>
            <w:shd w:val="clear" w:color="auto" w:fill="auto"/>
            <w:vAlign w:val="center"/>
          </w:tcPr>
          <w:p w14:paraId="67149DAC"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WorldClim V2.1</w:t>
            </w:r>
          </w:p>
        </w:tc>
      </w:tr>
      <w:tr w:rsidR="00BF1282" w14:paraId="06F16EDE" w14:textId="77777777" w:rsidTr="003B6D54">
        <w:trPr>
          <w:trHeight w:val="400"/>
        </w:trPr>
        <w:tc>
          <w:tcPr>
            <w:tcW w:w="2460" w:type="dxa"/>
            <w:tcBorders>
              <w:top w:val="nil"/>
              <w:left w:val="nil"/>
              <w:bottom w:val="nil"/>
              <w:right w:val="nil"/>
            </w:tcBorders>
            <w:shd w:val="clear" w:color="auto" w:fill="auto"/>
            <w:vAlign w:val="center"/>
          </w:tcPr>
          <w:p w14:paraId="0132A1B6"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Frost Days</w:t>
            </w:r>
          </w:p>
        </w:tc>
        <w:tc>
          <w:tcPr>
            <w:tcW w:w="3840" w:type="dxa"/>
            <w:tcBorders>
              <w:top w:val="nil"/>
              <w:left w:val="nil"/>
              <w:bottom w:val="nil"/>
              <w:right w:val="nil"/>
            </w:tcBorders>
            <w:shd w:val="clear" w:color="auto" w:fill="auto"/>
            <w:vAlign w:val="center"/>
          </w:tcPr>
          <w:p w14:paraId="0E727CAA"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 xml:space="preserve">Days per year when the temperature falls below 0 </w:t>
            </w:r>
            <w:r>
              <w:rPr>
                <w:rFonts w:cs="Arial" w:hint="eastAsia"/>
                <w:color w:val="000000"/>
                <w:kern w:val="0"/>
                <w:sz w:val="16"/>
                <w:szCs w:val="16"/>
              </w:rPr>
              <w:t>℃</w:t>
            </w:r>
            <w:r>
              <w:rPr>
                <w:rFonts w:eastAsia="DengXian" w:cs="Arial"/>
                <w:color w:val="000000"/>
                <w:kern w:val="0"/>
                <w:sz w:val="16"/>
                <w:szCs w:val="16"/>
              </w:rPr>
              <w:t>, calculated from annual temperatures</w:t>
            </w:r>
          </w:p>
        </w:tc>
        <w:tc>
          <w:tcPr>
            <w:tcW w:w="1600" w:type="dxa"/>
            <w:tcBorders>
              <w:top w:val="nil"/>
              <w:left w:val="nil"/>
              <w:bottom w:val="nil"/>
              <w:right w:val="nil"/>
            </w:tcBorders>
            <w:shd w:val="clear" w:color="auto" w:fill="auto"/>
            <w:vAlign w:val="center"/>
          </w:tcPr>
          <w:p w14:paraId="59254C6A"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WorldClim V2.1</w:t>
            </w:r>
          </w:p>
        </w:tc>
      </w:tr>
      <w:tr w:rsidR="00BF1282" w14:paraId="7BB2C482" w14:textId="77777777" w:rsidTr="003B6D54">
        <w:trPr>
          <w:trHeight w:val="280"/>
        </w:trPr>
        <w:tc>
          <w:tcPr>
            <w:tcW w:w="2460" w:type="dxa"/>
            <w:tcBorders>
              <w:top w:val="nil"/>
              <w:left w:val="nil"/>
              <w:bottom w:val="nil"/>
              <w:right w:val="nil"/>
            </w:tcBorders>
            <w:shd w:val="clear" w:color="auto" w:fill="auto"/>
            <w:vAlign w:val="center"/>
          </w:tcPr>
          <w:p w14:paraId="7736E91A"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NPP</w:t>
            </w:r>
          </w:p>
        </w:tc>
        <w:tc>
          <w:tcPr>
            <w:tcW w:w="3840" w:type="dxa"/>
            <w:tcBorders>
              <w:top w:val="nil"/>
              <w:left w:val="nil"/>
              <w:bottom w:val="nil"/>
              <w:right w:val="nil"/>
            </w:tcBorders>
            <w:shd w:val="clear" w:color="auto" w:fill="auto"/>
            <w:vAlign w:val="center"/>
          </w:tcPr>
          <w:p w14:paraId="10997BF7"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Net Primary Productivity</w:t>
            </w:r>
          </w:p>
        </w:tc>
        <w:tc>
          <w:tcPr>
            <w:tcW w:w="1600" w:type="dxa"/>
            <w:tcBorders>
              <w:top w:val="nil"/>
              <w:left w:val="nil"/>
              <w:bottom w:val="nil"/>
              <w:right w:val="nil"/>
            </w:tcBorders>
            <w:shd w:val="clear" w:color="auto" w:fill="auto"/>
            <w:vAlign w:val="center"/>
          </w:tcPr>
          <w:p w14:paraId="6B356D66"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MOD17A3</w:t>
            </w:r>
          </w:p>
        </w:tc>
      </w:tr>
      <w:tr w:rsidR="00BF1282" w14:paraId="5D18A162" w14:textId="77777777" w:rsidTr="003B6D54">
        <w:trPr>
          <w:trHeight w:val="400"/>
        </w:trPr>
        <w:tc>
          <w:tcPr>
            <w:tcW w:w="2460" w:type="dxa"/>
            <w:tcBorders>
              <w:top w:val="nil"/>
              <w:left w:val="nil"/>
              <w:bottom w:val="nil"/>
              <w:right w:val="nil"/>
            </w:tcBorders>
            <w:shd w:val="clear" w:color="auto" w:fill="auto"/>
            <w:vAlign w:val="center"/>
          </w:tcPr>
          <w:p w14:paraId="1429A325"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NDVI</w:t>
            </w:r>
          </w:p>
        </w:tc>
        <w:tc>
          <w:tcPr>
            <w:tcW w:w="3840" w:type="dxa"/>
            <w:tcBorders>
              <w:top w:val="nil"/>
              <w:left w:val="nil"/>
              <w:bottom w:val="nil"/>
              <w:right w:val="nil"/>
            </w:tcBorders>
            <w:shd w:val="clear" w:color="auto" w:fill="auto"/>
            <w:vAlign w:val="center"/>
          </w:tcPr>
          <w:p w14:paraId="1C6475EB"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Normalized Difference Vegetation Index</w:t>
            </w:r>
          </w:p>
        </w:tc>
        <w:tc>
          <w:tcPr>
            <w:tcW w:w="1600" w:type="dxa"/>
            <w:tcBorders>
              <w:top w:val="nil"/>
              <w:left w:val="nil"/>
              <w:bottom w:val="nil"/>
              <w:right w:val="nil"/>
            </w:tcBorders>
            <w:shd w:val="clear" w:color="auto" w:fill="auto"/>
            <w:vAlign w:val="center"/>
          </w:tcPr>
          <w:p w14:paraId="550C8A0B"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MOD13A2 V6.1</w:t>
            </w:r>
          </w:p>
        </w:tc>
      </w:tr>
      <w:tr w:rsidR="00BF1282" w14:paraId="18887C59" w14:textId="77777777" w:rsidTr="003B6D54">
        <w:trPr>
          <w:trHeight w:val="400"/>
        </w:trPr>
        <w:tc>
          <w:tcPr>
            <w:tcW w:w="2460" w:type="dxa"/>
            <w:tcBorders>
              <w:top w:val="nil"/>
              <w:left w:val="nil"/>
              <w:bottom w:val="nil"/>
              <w:right w:val="nil"/>
            </w:tcBorders>
            <w:shd w:val="clear" w:color="auto" w:fill="auto"/>
            <w:vAlign w:val="center"/>
          </w:tcPr>
          <w:p w14:paraId="14F42131"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NDWI</w:t>
            </w:r>
          </w:p>
        </w:tc>
        <w:tc>
          <w:tcPr>
            <w:tcW w:w="3840" w:type="dxa"/>
            <w:tcBorders>
              <w:top w:val="nil"/>
              <w:left w:val="nil"/>
              <w:bottom w:val="nil"/>
              <w:right w:val="nil"/>
            </w:tcBorders>
            <w:shd w:val="clear" w:color="auto" w:fill="auto"/>
            <w:vAlign w:val="center"/>
          </w:tcPr>
          <w:p w14:paraId="74AA208D"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Normalized Difference Water Index</w:t>
            </w:r>
          </w:p>
        </w:tc>
        <w:tc>
          <w:tcPr>
            <w:tcW w:w="1600" w:type="dxa"/>
            <w:tcBorders>
              <w:top w:val="nil"/>
              <w:left w:val="nil"/>
              <w:bottom w:val="nil"/>
              <w:right w:val="nil"/>
            </w:tcBorders>
            <w:shd w:val="clear" w:color="auto" w:fill="auto"/>
            <w:vAlign w:val="center"/>
          </w:tcPr>
          <w:p w14:paraId="3DAFB390"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MOD09A1 V6.1</w:t>
            </w:r>
          </w:p>
        </w:tc>
      </w:tr>
      <w:tr w:rsidR="00BF1282" w14:paraId="6B8F67F5" w14:textId="77777777" w:rsidTr="003B6D54">
        <w:trPr>
          <w:trHeight w:val="600"/>
        </w:trPr>
        <w:tc>
          <w:tcPr>
            <w:tcW w:w="2460" w:type="dxa"/>
            <w:tcBorders>
              <w:top w:val="nil"/>
              <w:left w:val="nil"/>
              <w:bottom w:val="nil"/>
              <w:right w:val="nil"/>
            </w:tcBorders>
            <w:shd w:val="clear" w:color="auto" w:fill="auto"/>
            <w:vAlign w:val="center"/>
          </w:tcPr>
          <w:p w14:paraId="47171E6D"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LAI</w:t>
            </w:r>
          </w:p>
        </w:tc>
        <w:tc>
          <w:tcPr>
            <w:tcW w:w="3840" w:type="dxa"/>
            <w:tcBorders>
              <w:top w:val="nil"/>
              <w:left w:val="nil"/>
              <w:bottom w:val="nil"/>
              <w:right w:val="nil"/>
            </w:tcBorders>
            <w:shd w:val="clear" w:color="auto" w:fill="auto"/>
            <w:vAlign w:val="center"/>
          </w:tcPr>
          <w:p w14:paraId="5CF708FF"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Leaf Area Index</w:t>
            </w:r>
          </w:p>
        </w:tc>
        <w:tc>
          <w:tcPr>
            <w:tcW w:w="1600" w:type="dxa"/>
            <w:tcBorders>
              <w:top w:val="nil"/>
              <w:left w:val="nil"/>
              <w:bottom w:val="nil"/>
              <w:right w:val="nil"/>
            </w:tcBorders>
            <w:shd w:val="clear" w:color="auto" w:fill="auto"/>
            <w:vAlign w:val="center"/>
          </w:tcPr>
          <w:p w14:paraId="0C2110D5"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NOAA-CDR</w:t>
            </w:r>
          </w:p>
        </w:tc>
      </w:tr>
      <w:tr w:rsidR="00BF1282" w14:paraId="71AA3A31" w14:textId="77777777" w:rsidTr="003B6D54">
        <w:trPr>
          <w:trHeight w:val="400"/>
        </w:trPr>
        <w:tc>
          <w:tcPr>
            <w:tcW w:w="2460" w:type="dxa"/>
            <w:tcBorders>
              <w:top w:val="nil"/>
              <w:left w:val="nil"/>
              <w:bottom w:val="nil"/>
              <w:right w:val="nil"/>
            </w:tcBorders>
            <w:shd w:val="clear" w:color="auto" w:fill="auto"/>
            <w:vAlign w:val="center"/>
          </w:tcPr>
          <w:p w14:paraId="77942520" w14:textId="77777777" w:rsidR="00BF1282" w:rsidRDefault="00BF1282" w:rsidP="003B6D54">
            <w:pPr>
              <w:widowControl/>
              <w:jc w:val="left"/>
              <w:rPr>
                <w:rFonts w:eastAsia="DengXian" w:cs="Arial"/>
                <w:color w:val="000000"/>
                <w:kern w:val="0"/>
                <w:sz w:val="16"/>
                <w:szCs w:val="16"/>
              </w:rPr>
            </w:pPr>
            <w:r>
              <w:rPr>
                <w:rFonts w:eastAsia="DengXian" w:cs="Arial" w:hint="eastAsia"/>
                <w:color w:val="000000"/>
                <w:kern w:val="0"/>
                <w:sz w:val="16"/>
                <w:szCs w:val="16"/>
              </w:rPr>
              <w:t>N</w:t>
            </w:r>
            <w:r>
              <w:rPr>
                <w:rFonts w:eastAsia="DengXian" w:cs="Arial"/>
                <w:color w:val="000000"/>
                <w:kern w:val="0"/>
                <w:sz w:val="16"/>
                <w:szCs w:val="16"/>
              </w:rPr>
              <w:t>ighttime lights density</w:t>
            </w:r>
          </w:p>
        </w:tc>
        <w:tc>
          <w:tcPr>
            <w:tcW w:w="3840" w:type="dxa"/>
            <w:tcBorders>
              <w:top w:val="nil"/>
              <w:left w:val="nil"/>
              <w:bottom w:val="nil"/>
              <w:right w:val="nil"/>
            </w:tcBorders>
            <w:shd w:val="clear" w:color="auto" w:fill="auto"/>
            <w:vAlign w:val="center"/>
          </w:tcPr>
          <w:p w14:paraId="09613809"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The intensity of artificial</w:t>
            </w:r>
            <w:r>
              <w:t xml:space="preserve"> </w:t>
            </w:r>
            <w:r>
              <w:rPr>
                <w:rFonts w:eastAsia="DengXian" w:cs="Arial" w:hint="eastAsia"/>
                <w:color w:val="000000"/>
                <w:kern w:val="0"/>
                <w:sz w:val="16"/>
                <w:szCs w:val="16"/>
              </w:rPr>
              <w:t>n</w:t>
            </w:r>
            <w:r>
              <w:rPr>
                <w:rFonts w:eastAsia="DengXian" w:cs="Arial"/>
                <w:color w:val="000000"/>
                <w:kern w:val="0"/>
                <w:sz w:val="16"/>
                <w:szCs w:val="16"/>
              </w:rPr>
              <w:t>ighttime lights in an area</w:t>
            </w:r>
          </w:p>
        </w:tc>
        <w:tc>
          <w:tcPr>
            <w:tcW w:w="1600" w:type="dxa"/>
            <w:tcBorders>
              <w:top w:val="nil"/>
              <w:left w:val="nil"/>
              <w:bottom w:val="nil"/>
              <w:right w:val="nil"/>
            </w:tcBorders>
            <w:shd w:val="clear" w:color="auto" w:fill="auto"/>
            <w:vAlign w:val="center"/>
          </w:tcPr>
          <w:p w14:paraId="71AF6B09"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Earth Observation Group</w:t>
            </w:r>
          </w:p>
        </w:tc>
      </w:tr>
      <w:tr w:rsidR="00BF1282" w14:paraId="19F77C45" w14:textId="77777777" w:rsidTr="003B6D54">
        <w:trPr>
          <w:trHeight w:val="280"/>
        </w:trPr>
        <w:tc>
          <w:tcPr>
            <w:tcW w:w="2460" w:type="dxa"/>
            <w:tcBorders>
              <w:top w:val="nil"/>
              <w:left w:val="nil"/>
              <w:bottom w:val="single" w:sz="4" w:space="0" w:color="auto"/>
              <w:right w:val="nil"/>
            </w:tcBorders>
            <w:shd w:val="clear" w:color="auto" w:fill="auto"/>
            <w:vAlign w:val="center"/>
          </w:tcPr>
          <w:p w14:paraId="2A8768CE"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 xml:space="preserve">Road </w:t>
            </w:r>
            <w:r>
              <w:rPr>
                <w:rFonts w:eastAsia="DengXian" w:cs="Arial" w:hint="eastAsia"/>
                <w:color w:val="000000"/>
                <w:kern w:val="0"/>
                <w:sz w:val="16"/>
                <w:szCs w:val="16"/>
              </w:rPr>
              <w:t>d</w:t>
            </w:r>
            <w:r>
              <w:rPr>
                <w:rFonts w:eastAsia="DengXian" w:cs="Arial"/>
                <w:color w:val="000000"/>
                <w:kern w:val="0"/>
                <w:sz w:val="16"/>
                <w:szCs w:val="16"/>
              </w:rPr>
              <w:t>ensity</w:t>
            </w:r>
          </w:p>
        </w:tc>
        <w:tc>
          <w:tcPr>
            <w:tcW w:w="3840" w:type="dxa"/>
            <w:tcBorders>
              <w:top w:val="nil"/>
              <w:left w:val="nil"/>
              <w:bottom w:val="single" w:sz="4" w:space="0" w:color="auto"/>
              <w:right w:val="nil"/>
            </w:tcBorders>
            <w:shd w:val="clear" w:color="auto" w:fill="auto"/>
            <w:vAlign w:val="center"/>
          </w:tcPr>
          <w:p w14:paraId="27CC7C2E" w14:textId="77777777" w:rsidR="00BF1282" w:rsidRDefault="00BF1282" w:rsidP="003B6D54">
            <w:pPr>
              <w:widowControl/>
              <w:jc w:val="left"/>
              <w:rPr>
                <w:rFonts w:eastAsia="DengXian" w:cs="Arial"/>
                <w:color w:val="000000"/>
                <w:kern w:val="0"/>
                <w:sz w:val="16"/>
                <w:szCs w:val="16"/>
              </w:rPr>
            </w:pPr>
            <w:r>
              <w:rPr>
                <w:rFonts w:eastAsia="DengXian" w:cs="Arial"/>
                <w:color w:val="000000"/>
                <w:kern w:val="0"/>
                <w:sz w:val="16"/>
                <w:szCs w:val="16"/>
              </w:rPr>
              <w:t>The length of roads per unit area</w:t>
            </w:r>
          </w:p>
        </w:tc>
        <w:tc>
          <w:tcPr>
            <w:tcW w:w="1600" w:type="dxa"/>
            <w:tcBorders>
              <w:top w:val="nil"/>
              <w:left w:val="nil"/>
              <w:bottom w:val="single" w:sz="4" w:space="0" w:color="auto"/>
              <w:right w:val="nil"/>
            </w:tcBorders>
            <w:shd w:val="clear" w:color="auto" w:fill="auto"/>
            <w:noWrap/>
            <w:vAlign w:val="center"/>
          </w:tcPr>
          <w:p w14:paraId="6AC4C647" w14:textId="77777777" w:rsidR="00BF1282" w:rsidRDefault="00BF1282" w:rsidP="003B6D54">
            <w:pPr>
              <w:widowControl/>
              <w:jc w:val="left"/>
              <w:rPr>
                <w:rFonts w:eastAsia="DengXian" w:cs="Arial"/>
                <w:color w:val="333333"/>
                <w:kern w:val="0"/>
                <w:sz w:val="14"/>
                <w:szCs w:val="14"/>
              </w:rPr>
            </w:pPr>
            <w:r>
              <w:rPr>
                <w:rFonts w:eastAsia="DengXian" w:cs="Arial"/>
                <w:color w:val="000000"/>
                <w:kern w:val="0"/>
                <w:sz w:val="16"/>
                <w:szCs w:val="16"/>
              </w:rPr>
              <w:t>FAO</w:t>
            </w:r>
          </w:p>
        </w:tc>
      </w:tr>
    </w:tbl>
    <w:p w14:paraId="46671AE3" w14:textId="77777777" w:rsidR="00BF1282" w:rsidRDefault="00BF1282" w:rsidP="00BF1282">
      <w:pPr>
        <w:pStyle w:val="a3"/>
        <w:spacing w:line="480" w:lineRule="auto"/>
        <w:ind w:right="240" w:firstLine="480"/>
      </w:pPr>
      <w:r>
        <w:br w:type="page"/>
      </w:r>
    </w:p>
    <w:p w14:paraId="7C7F5CAA" w14:textId="77777777" w:rsidR="00BF1282" w:rsidRDefault="00BF1282" w:rsidP="00BF1282">
      <w:pPr>
        <w:spacing w:line="480" w:lineRule="auto"/>
        <w:rPr>
          <w:sz w:val="21"/>
        </w:rPr>
      </w:pPr>
      <w:r>
        <w:rPr>
          <w:rFonts w:hint="eastAsia"/>
          <w:b/>
          <w:bCs/>
          <w:sz w:val="21"/>
        </w:rPr>
        <w:lastRenderedPageBreak/>
        <w:t>Extended Data Table 3</w:t>
      </w:r>
      <w:r>
        <w:rPr>
          <w:b/>
          <w:bCs/>
          <w:sz w:val="21"/>
        </w:rPr>
        <w:t xml:space="preserve"> </w:t>
      </w:r>
      <w:r>
        <w:rPr>
          <w:rFonts w:hint="eastAsia"/>
          <w:b/>
          <w:bCs/>
          <w:sz w:val="21"/>
        </w:rPr>
        <w:t xml:space="preserve">The relationships between waterbird activity entropy (WAE) and human, cattle or poultry density among different functional groups of confirmed host and all suspected host in </w:t>
      </w:r>
      <w:r>
        <w:rPr>
          <w:b/>
          <w:bCs/>
          <w:sz w:val="21"/>
        </w:rPr>
        <w:t>EU</w:t>
      </w:r>
      <w:r>
        <w:rPr>
          <w:rFonts w:hint="eastAsia"/>
          <w:b/>
          <w:bCs/>
          <w:sz w:val="21"/>
        </w:rPr>
        <w:t xml:space="preserve">, China and India. </w:t>
      </w:r>
      <w:r>
        <w:rPr>
          <w:sz w:val="21"/>
        </w:rPr>
        <w:t>‘n</w:t>
      </w:r>
      <w:r>
        <w:rPr>
          <w:sz w:val="21"/>
          <w:vertAlign w:val="subscript"/>
        </w:rPr>
        <w:t>CH</w:t>
      </w:r>
      <w:r>
        <w:rPr>
          <w:sz w:val="21"/>
        </w:rPr>
        <w:t xml:space="preserve">’ the represents the number of </w:t>
      </w:r>
      <w:r>
        <w:rPr>
          <w:rFonts w:hint="eastAsia"/>
          <w:sz w:val="21"/>
        </w:rPr>
        <w:t>c</w:t>
      </w:r>
      <w:r>
        <w:rPr>
          <w:sz w:val="21"/>
        </w:rPr>
        <w:t xml:space="preserve">onfirmed </w:t>
      </w:r>
      <w:r>
        <w:rPr>
          <w:rFonts w:hint="eastAsia"/>
          <w:sz w:val="21"/>
        </w:rPr>
        <w:t>h</w:t>
      </w:r>
      <w:r>
        <w:rPr>
          <w:sz w:val="21"/>
        </w:rPr>
        <w:t>ost</w:t>
      </w:r>
      <w:r>
        <w:rPr>
          <w:rFonts w:hint="eastAsia"/>
          <w:sz w:val="21"/>
        </w:rPr>
        <w:t>s</w:t>
      </w:r>
      <w:r>
        <w:rPr>
          <w:sz w:val="21"/>
        </w:rPr>
        <w:t xml:space="preserve"> and ‘N’ represents the number of all suspected host</w:t>
      </w:r>
      <w:r>
        <w:rPr>
          <w:rFonts w:hint="eastAsia"/>
          <w:sz w:val="21"/>
        </w:rPr>
        <w:t>s</w:t>
      </w:r>
      <w:r>
        <w:rPr>
          <w:sz w:val="21"/>
        </w:rPr>
        <w:t xml:space="preserve"> </w:t>
      </w:r>
      <w:r>
        <w:rPr>
          <w:rFonts w:hint="eastAsia"/>
          <w:sz w:val="21"/>
        </w:rPr>
        <w:t>(</w:t>
      </w:r>
      <w:r>
        <w:rPr>
          <w:sz w:val="21"/>
        </w:rPr>
        <w:t>all waterbirds</w:t>
      </w:r>
      <w:r>
        <w:rPr>
          <w:rFonts w:hint="eastAsia"/>
          <w:sz w:val="21"/>
        </w:rPr>
        <w:t>)</w:t>
      </w:r>
      <w:r>
        <w:rPr>
          <w:sz w:val="21"/>
        </w:rPr>
        <w:t>. ‘</w:t>
      </w:r>
      <w:r>
        <w:rPr>
          <w:i/>
          <w:iCs/>
          <w:sz w:val="21"/>
        </w:rPr>
        <w:t>b</w:t>
      </w:r>
      <w:r>
        <w:rPr>
          <w:sz w:val="21"/>
        </w:rPr>
        <w:t>’ represents slope of linear regression, ‘</w:t>
      </w:r>
      <w:r>
        <w:rPr>
          <w:i/>
          <w:iCs/>
          <w:sz w:val="21"/>
        </w:rPr>
        <w:t>SE</w:t>
      </w:r>
      <w:r>
        <w:rPr>
          <w:sz w:val="21"/>
        </w:rPr>
        <w:t>’ represents standard error, and ‘</w:t>
      </w:r>
      <w:r>
        <w:rPr>
          <w:i/>
          <w:iCs/>
          <w:sz w:val="21"/>
        </w:rPr>
        <w:t>R</w:t>
      </w:r>
      <w:r>
        <w:rPr>
          <w:sz w:val="21"/>
          <w:vertAlign w:val="superscript"/>
        </w:rPr>
        <w:t>2</w:t>
      </w:r>
      <w:r>
        <w:rPr>
          <w:sz w:val="21"/>
        </w:rPr>
        <w:t xml:space="preserve">’ represents coefficient of determination, respectively. </w:t>
      </w:r>
    </w:p>
    <w:tbl>
      <w:tblPr>
        <w:tblW w:w="10773" w:type="dxa"/>
        <w:tblInd w:w="-1409" w:type="dxa"/>
        <w:tblCellMar>
          <w:left w:w="0" w:type="dxa"/>
          <w:right w:w="0" w:type="dxa"/>
        </w:tblCellMar>
        <w:tblLook w:val="04A0" w:firstRow="1" w:lastRow="0" w:firstColumn="1" w:lastColumn="0" w:noHBand="0" w:noVBand="1"/>
      </w:tblPr>
      <w:tblGrid>
        <w:gridCol w:w="429"/>
        <w:gridCol w:w="1144"/>
        <w:gridCol w:w="662"/>
        <w:gridCol w:w="184"/>
        <w:gridCol w:w="671"/>
        <w:gridCol w:w="806"/>
        <w:gridCol w:w="541"/>
        <w:gridCol w:w="804"/>
        <w:gridCol w:w="544"/>
        <w:gridCol w:w="671"/>
        <w:gridCol w:w="540"/>
        <w:gridCol w:w="806"/>
        <w:gridCol w:w="411"/>
        <w:gridCol w:w="804"/>
        <w:gridCol w:w="408"/>
        <w:gridCol w:w="765"/>
        <w:gridCol w:w="577"/>
        <w:gridCol w:w="6"/>
      </w:tblGrid>
      <w:tr w:rsidR="00BF1282" w14:paraId="038B5DA2" w14:textId="77777777" w:rsidTr="003B6D54">
        <w:trPr>
          <w:trHeight w:val="181"/>
        </w:trPr>
        <w:tc>
          <w:tcPr>
            <w:tcW w:w="430" w:type="dxa"/>
            <w:vMerge w:val="restart"/>
            <w:tcBorders>
              <w:top w:val="single" w:sz="8" w:space="0" w:color="000000"/>
              <w:left w:val="nil"/>
              <w:bottom w:val="single" w:sz="4" w:space="0" w:color="000000"/>
              <w:right w:val="nil"/>
            </w:tcBorders>
            <w:shd w:val="clear" w:color="auto" w:fill="auto"/>
            <w:tcMar>
              <w:top w:w="9" w:type="dxa"/>
              <w:left w:w="9" w:type="dxa"/>
              <w:bottom w:w="0" w:type="dxa"/>
              <w:right w:w="9" w:type="dxa"/>
            </w:tcMar>
            <w:vAlign w:val="center"/>
          </w:tcPr>
          <w:p w14:paraId="3D12DCAB"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Region</w:t>
            </w:r>
          </w:p>
        </w:tc>
        <w:tc>
          <w:tcPr>
            <w:tcW w:w="1145" w:type="dxa"/>
            <w:vMerge w:val="restart"/>
            <w:tcBorders>
              <w:top w:val="single" w:sz="8" w:space="0" w:color="000000"/>
              <w:left w:val="nil"/>
              <w:bottom w:val="single" w:sz="4" w:space="0" w:color="000000"/>
              <w:right w:val="nil"/>
            </w:tcBorders>
            <w:shd w:val="clear" w:color="auto" w:fill="auto"/>
            <w:tcMar>
              <w:top w:w="9" w:type="dxa"/>
              <w:left w:w="9" w:type="dxa"/>
              <w:bottom w:w="0" w:type="dxa"/>
              <w:right w:w="9" w:type="dxa"/>
            </w:tcMar>
            <w:vAlign w:val="center"/>
          </w:tcPr>
          <w:p w14:paraId="17A87027"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Functional</w:t>
            </w:r>
            <w:r>
              <w:rPr>
                <w:rFonts w:eastAsia="DengXian" w:cs="Times New Roman"/>
                <w:b/>
                <w:bCs/>
                <w:color w:val="000000"/>
                <w:kern w:val="24"/>
                <w:sz w:val="13"/>
                <w:szCs w:val="13"/>
              </w:rPr>
              <w:br/>
              <w:t>Group</w:t>
            </w:r>
          </w:p>
        </w:tc>
        <w:tc>
          <w:tcPr>
            <w:tcW w:w="663" w:type="dxa"/>
            <w:vMerge w:val="restart"/>
            <w:tcBorders>
              <w:top w:val="single" w:sz="8" w:space="0" w:color="000000"/>
              <w:left w:val="nil"/>
              <w:bottom w:val="single" w:sz="4" w:space="0" w:color="000000"/>
              <w:right w:val="nil"/>
            </w:tcBorders>
            <w:shd w:val="clear" w:color="auto" w:fill="auto"/>
            <w:tcMar>
              <w:top w:w="9" w:type="dxa"/>
              <w:left w:w="9" w:type="dxa"/>
              <w:bottom w:w="0" w:type="dxa"/>
              <w:right w:w="9" w:type="dxa"/>
            </w:tcMar>
            <w:vAlign w:val="center"/>
          </w:tcPr>
          <w:p w14:paraId="33E34E74"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n</w:t>
            </w:r>
            <w:r>
              <w:rPr>
                <w:rFonts w:eastAsia="DengXian" w:cs="Times New Roman"/>
                <w:b/>
                <w:bCs/>
                <w:color w:val="000000"/>
                <w:kern w:val="24"/>
                <w:position w:val="-6"/>
                <w:sz w:val="13"/>
                <w:szCs w:val="13"/>
                <w:vertAlign w:val="subscript"/>
              </w:rPr>
              <w:t>CH</w:t>
            </w:r>
          </w:p>
        </w:tc>
        <w:tc>
          <w:tcPr>
            <w:tcW w:w="185" w:type="dxa"/>
            <w:vMerge w:val="restart"/>
            <w:tcBorders>
              <w:top w:val="single" w:sz="8" w:space="0" w:color="000000"/>
              <w:left w:val="nil"/>
              <w:bottom w:val="single" w:sz="4" w:space="0" w:color="000000"/>
              <w:right w:val="nil"/>
            </w:tcBorders>
            <w:shd w:val="clear" w:color="auto" w:fill="auto"/>
            <w:tcMar>
              <w:top w:w="9" w:type="dxa"/>
              <w:left w:w="9" w:type="dxa"/>
              <w:bottom w:w="0" w:type="dxa"/>
              <w:right w:w="9" w:type="dxa"/>
            </w:tcMar>
            <w:vAlign w:val="center"/>
          </w:tcPr>
          <w:p w14:paraId="32457A27"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N</w:t>
            </w:r>
          </w:p>
        </w:tc>
        <w:tc>
          <w:tcPr>
            <w:tcW w:w="672" w:type="dxa"/>
            <w:vMerge w:val="restart"/>
            <w:tcBorders>
              <w:top w:val="single" w:sz="8" w:space="0" w:color="000000"/>
              <w:left w:val="nil"/>
              <w:bottom w:val="single" w:sz="4" w:space="0" w:color="000000"/>
              <w:right w:val="nil"/>
            </w:tcBorders>
            <w:shd w:val="clear" w:color="auto" w:fill="auto"/>
            <w:tcMar>
              <w:top w:w="9" w:type="dxa"/>
              <w:left w:w="9" w:type="dxa"/>
              <w:bottom w:w="0" w:type="dxa"/>
              <w:right w:w="9" w:type="dxa"/>
            </w:tcMar>
            <w:vAlign w:val="center"/>
          </w:tcPr>
          <w:p w14:paraId="2E6C04FC"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n</w:t>
            </w:r>
            <w:r>
              <w:rPr>
                <w:rFonts w:eastAsia="DengXian" w:cs="Times New Roman"/>
                <w:b/>
                <w:bCs/>
                <w:color w:val="000000"/>
                <w:kern w:val="24"/>
                <w:position w:val="-6"/>
                <w:sz w:val="13"/>
                <w:szCs w:val="13"/>
                <w:vertAlign w:val="subscript"/>
              </w:rPr>
              <w:t>CH</w:t>
            </w:r>
            <w:r>
              <w:rPr>
                <w:rFonts w:eastAsia="DengXian" w:cs="Times New Roman"/>
                <w:b/>
                <w:bCs/>
                <w:color w:val="000000"/>
                <w:kern w:val="24"/>
                <w:sz w:val="13"/>
                <w:szCs w:val="13"/>
              </w:rPr>
              <w:t>/N</w:t>
            </w:r>
          </w:p>
        </w:tc>
        <w:tc>
          <w:tcPr>
            <w:tcW w:w="2695" w:type="dxa"/>
            <w:gridSpan w:val="4"/>
            <w:tcBorders>
              <w:top w:val="single" w:sz="8" w:space="0" w:color="000000"/>
              <w:left w:val="nil"/>
              <w:bottom w:val="single" w:sz="4" w:space="0" w:color="000000"/>
              <w:right w:val="nil"/>
            </w:tcBorders>
            <w:shd w:val="clear" w:color="auto" w:fill="auto"/>
            <w:tcMar>
              <w:top w:w="9" w:type="dxa"/>
              <w:left w:w="9" w:type="dxa"/>
              <w:bottom w:w="0" w:type="dxa"/>
              <w:right w:w="9" w:type="dxa"/>
            </w:tcMar>
            <w:vAlign w:val="center"/>
          </w:tcPr>
          <w:p w14:paraId="0107F0B9"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 Human density  (Log)</w:t>
            </w:r>
          </w:p>
        </w:tc>
        <w:tc>
          <w:tcPr>
            <w:tcW w:w="2428" w:type="dxa"/>
            <w:gridSpan w:val="4"/>
            <w:tcBorders>
              <w:top w:val="single" w:sz="8" w:space="0" w:color="000000"/>
              <w:left w:val="nil"/>
              <w:bottom w:val="single" w:sz="4" w:space="0" w:color="000000"/>
              <w:right w:val="nil"/>
            </w:tcBorders>
            <w:shd w:val="clear" w:color="auto" w:fill="auto"/>
            <w:tcMar>
              <w:top w:w="9" w:type="dxa"/>
              <w:left w:w="9" w:type="dxa"/>
              <w:bottom w:w="0" w:type="dxa"/>
              <w:right w:w="9" w:type="dxa"/>
            </w:tcMar>
            <w:vAlign w:val="center"/>
          </w:tcPr>
          <w:p w14:paraId="28AA8D06"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 Cattle density (Log)</w:t>
            </w:r>
          </w:p>
        </w:tc>
        <w:tc>
          <w:tcPr>
            <w:tcW w:w="2555" w:type="dxa"/>
            <w:gridSpan w:val="5"/>
            <w:tcBorders>
              <w:top w:val="single" w:sz="8" w:space="0" w:color="000000"/>
              <w:left w:val="nil"/>
              <w:bottom w:val="single" w:sz="4" w:space="0" w:color="000000"/>
              <w:right w:val="nil"/>
            </w:tcBorders>
            <w:shd w:val="clear" w:color="auto" w:fill="auto"/>
            <w:tcMar>
              <w:top w:w="9" w:type="dxa"/>
              <w:left w:w="9" w:type="dxa"/>
              <w:bottom w:w="0" w:type="dxa"/>
              <w:right w:w="9" w:type="dxa"/>
            </w:tcMar>
            <w:vAlign w:val="center"/>
          </w:tcPr>
          <w:p w14:paraId="31F0F247"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 Poultry density (Log)</w:t>
            </w:r>
          </w:p>
        </w:tc>
      </w:tr>
      <w:tr w:rsidR="00BF1282" w14:paraId="4670795E" w14:textId="77777777" w:rsidTr="003B6D54">
        <w:trPr>
          <w:trHeight w:val="181"/>
        </w:trPr>
        <w:tc>
          <w:tcPr>
            <w:tcW w:w="430" w:type="dxa"/>
            <w:vMerge/>
            <w:tcBorders>
              <w:top w:val="single" w:sz="8" w:space="0" w:color="000000"/>
              <w:left w:val="nil"/>
              <w:bottom w:val="single" w:sz="4" w:space="0" w:color="000000"/>
              <w:right w:val="nil"/>
            </w:tcBorders>
            <w:shd w:val="clear" w:color="auto" w:fill="auto"/>
            <w:vAlign w:val="center"/>
          </w:tcPr>
          <w:p w14:paraId="1493C4CB" w14:textId="77777777" w:rsidR="00BF1282" w:rsidRDefault="00BF1282" w:rsidP="003B6D54">
            <w:pPr>
              <w:widowControl/>
              <w:jc w:val="left"/>
              <w:rPr>
                <w:rFonts w:cs="Times New Roman"/>
                <w:kern w:val="0"/>
                <w:sz w:val="13"/>
                <w:szCs w:val="13"/>
              </w:rPr>
            </w:pPr>
          </w:p>
        </w:tc>
        <w:tc>
          <w:tcPr>
            <w:tcW w:w="1145" w:type="dxa"/>
            <w:vMerge/>
            <w:tcBorders>
              <w:top w:val="single" w:sz="8" w:space="0" w:color="000000"/>
              <w:left w:val="nil"/>
              <w:bottom w:val="single" w:sz="4" w:space="0" w:color="000000"/>
              <w:right w:val="nil"/>
            </w:tcBorders>
            <w:shd w:val="clear" w:color="auto" w:fill="auto"/>
            <w:vAlign w:val="center"/>
          </w:tcPr>
          <w:p w14:paraId="03F14CAB" w14:textId="77777777" w:rsidR="00BF1282" w:rsidRDefault="00BF1282" w:rsidP="003B6D54">
            <w:pPr>
              <w:widowControl/>
              <w:jc w:val="left"/>
              <w:rPr>
                <w:rFonts w:cs="Times New Roman"/>
                <w:kern w:val="0"/>
                <w:sz w:val="13"/>
                <w:szCs w:val="13"/>
              </w:rPr>
            </w:pPr>
          </w:p>
        </w:tc>
        <w:tc>
          <w:tcPr>
            <w:tcW w:w="663" w:type="dxa"/>
            <w:vMerge/>
            <w:tcBorders>
              <w:top w:val="single" w:sz="8" w:space="0" w:color="000000"/>
              <w:left w:val="nil"/>
              <w:bottom w:val="single" w:sz="4" w:space="0" w:color="000000"/>
              <w:right w:val="nil"/>
            </w:tcBorders>
            <w:shd w:val="clear" w:color="auto" w:fill="auto"/>
            <w:vAlign w:val="center"/>
          </w:tcPr>
          <w:p w14:paraId="5B16FEB2" w14:textId="77777777" w:rsidR="00BF1282" w:rsidRDefault="00BF1282" w:rsidP="003B6D54">
            <w:pPr>
              <w:widowControl/>
              <w:jc w:val="left"/>
              <w:rPr>
                <w:rFonts w:cs="Times New Roman"/>
                <w:kern w:val="0"/>
                <w:sz w:val="13"/>
                <w:szCs w:val="13"/>
              </w:rPr>
            </w:pPr>
          </w:p>
        </w:tc>
        <w:tc>
          <w:tcPr>
            <w:tcW w:w="185" w:type="dxa"/>
            <w:vMerge/>
            <w:tcBorders>
              <w:top w:val="single" w:sz="8" w:space="0" w:color="000000"/>
              <w:left w:val="nil"/>
              <w:bottom w:val="single" w:sz="4" w:space="0" w:color="000000"/>
              <w:right w:val="nil"/>
            </w:tcBorders>
            <w:shd w:val="clear" w:color="auto" w:fill="auto"/>
            <w:vAlign w:val="center"/>
          </w:tcPr>
          <w:p w14:paraId="1C35C832" w14:textId="77777777" w:rsidR="00BF1282" w:rsidRDefault="00BF1282" w:rsidP="003B6D54">
            <w:pPr>
              <w:widowControl/>
              <w:jc w:val="left"/>
              <w:rPr>
                <w:rFonts w:cs="Times New Roman"/>
                <w:kern w:val="0"/>
                <w:sz w:val="13"/>
                <w:szCs w:val="13"/>
              </w:rPr>
            </w:pPr>
          </w:p>
        </w:tc>
        <w:tc>
          <w:tcPr>
            <w:tcW w:w="672" w:type="dxa"/>
            <w:vMerge/>
            <w:tcBorders>
              <w:top w:val="single" w:sz="8" w:space="0" w:color="000000"/>
              <w:left w:val="nil"/>
              <w:bottom w:val="single" w:sz="4" w:space="0" w:color="000000"/>
              <w:right w:val="nil"/>
            </w:tcBorders>
            <w:shd w:val="clear" w:color="auto" w:fill="auto"/>
            <w:vAlign w:val="center"/>
          </w:tcPr>
          <w:p w14:paraId="564DF9EF" w14:textId="77777777" w:rsidR="00BF1282" w:rsidRDefault="00BF1282" w:rsidP="003B6D54">
            <w:pPr>
              <w:widowControl/>
              <w:jc w:val="left"/>
              <w:rPr>
                <w:rFonts w:cs="Times New Roman"/>
                <w:kern w:val="0"/>
                <w:sz w:val="13"/>
                <w:szCs w:val="13"/>
              </w:rPr>
            </w:pPr>
          </w:p>
        </w:tc>
        <w:tc>
          <w:tcPr>
            <w:tcW w:w="1347" w:type="dxa"/>
            <w:gridSpan w:val="2"/>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087A2284"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Confirmed Host</w:t>
            </w:r>
          </w:p>
        </w:tc>
        <w:tc>
          <w:tcPr>
            <w:tcW w:w="1348" w:type="dxa"/>
            <w:gridSpan w:val="2"/>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508AC984"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All Suspected Host</w:t>
            </w:r>
          </w:p>
        </w:tc>
        <w:tc>
          <w:tcPr>
            <w:tcW w:w="1211" w:type="dxa"/>
            <w:gridSpan w:val="2"/>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7761A331"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Confirmed Host</w:t>
            </w:r>
          </w:p>
        </w:tc>
        <w:tc>
          <w:tcPr>
            <w:tcW w:w="1216" w:type="dxa"/>
            <w:gridSpan w:val="2"/>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77BE919F"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All Suspected Host</w:t>
            </w:r>
          </w:p>
        </w:tc>
        <w:tc>
          <w:tcPr>
            <w:tcW w:w="1212" w:type="dxa"/>
            <w:gridSpan w:val="2"/>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64E586A8"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Confirmed Host</w:t>
            </w:r>
          </w:p>
        </w:tc>
        <w:tc>
          <w:tcPr>
            <w:tcW w:w="1342" w:type="dxa"/>
            <w:gridSpan w:val="3"/>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546BCBA6"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All Suspected Host</w:t>
            </w:r>
          </w:p>
        </w:tc>
      </w:tr>
      <w:tr w:rsidR="00BF1282" w14:paraId="7CABA831" w14:textId="77777777" w:rsidTr="003B6D54">
        <w:trPr>
          <w:gridAfter w:val="1"/>
          <w:wAfter w:w="6" w:type="dxa"/>
          <w:trHeight w:val="181"/>
        </w:trPr>
        <w:tc>
          <w:tcPr>
            <w:tcW w:w="430" w:type="dxa"/>
            <w:vMerge/>
            <w:tcBorders>
              <w:top w:val="single" w:sz="8" w:space="0" w:color="000000"/>
              <w:left w:val="nil"/>
              <w:bottom w:val="single" w:sz="4" w:space="0" w:color="000000"/>
              <w:right w:val="nil"/>
            </w:tcBorders>
            <w:shd w:val="clear" w:color="auto" w:fill="auto"/>
            <w:vAlign w:val="center"/>
          </w:tcPr>
          <w:p w14:paraId="63ECF1B9" w14:textId="77777777" w:rsidR="00BF1282" w:rsidRDefault="00BF1282" w:rsidP="003B6D54">
            <w:pPr>
              <w:widowControl/>
              <w:jc w:val="left"/>
              <w:rPr>
                <w:rFonts w:cs="Times New Roman"/>
                <w:kern w:val="0"/>
                <w:sz w:val="13"/>
                <w:szCs w:val="13"/>
              </w:rPr>
            </w:pPr>
          </w:p>
        </w:tc>
        <w:tc>
          <w:tcPr>
            <w:tcW w:w="1145" w:type="dxa"/>
            <w:vMerge/>
            <w:tcBorders>
              <w:top w:val="single" w:sz="8" w:space="0" w:color="000000"/>
              <w:left w:val="nil"/>
              <w:bottom w:val="single" w:sz="4" w:space="0" w:color="000000"/>
              <w:right w:val="nil"/>
            </w:tcBorders>
            <w:shd w:val="clear" w:color="auto" w:fill="auto"/>
            <w:vAlign w:val="center"/>
          </w:tcPr>
          <w:p w14:paraId="14023999" w14:textId="77777777" w:rsidR="00BF1282" w:rsidRDefault="00BF1282" w:rsidP="003B6D54">
            <w:pPr>
              <w:widowControl/>
              <w:jc w:val="left"/>
              <w:rPr>
                <w:rFonts w:cs="Times New Roman"/>
                <w:kern w:val="0"/>
                <w:sz w:val="13"/>
                <w:szCs w:val="13"/>
              </w:rPr>
            </w:pPr>
          </w:p>
        </w:tc>
        <w:tc>
          <w:tcPr>
            <w:tcW w:w="663" w:type="dxa"/>
            <w:vMerge/>
            <w:tcBorders>
              <w:top w:val="single" w:sz="8" w:space="0" w:color="000000"/>
              <w:left w:val="nil"/>
              <w:bottom w:val="single" w:sz="4" w:space="0" w:color="000000"/>
              <w:right w:val="nil"/>
            </w:tcBorders>
            <w:shd w:val="clear" w:color="auto" w:fill="auto"/>
            <w:vAlign w:val="center"/>
          </w:tcPr>
          <w:p w14:paraId="346871EF" w14:textId="77777777" w:rsidR="00BF1282" w:rsidRDefault="00BF1282" w:rsidP="003B6D54">
            <w:pPr>
              <w:widowControl/>
              <w:jc w:val="left"/>
              <w:rPr>
                <w:rFonts w:cs="Times New Roman"/>
                <w:kern w:val="0"/>
                <w:sz w:val="13"/>
                <w:szCs w:val="13"/>
              </w:rPr>
            </w:pPr>
          </w:p>
        </w:tc>
        <w:tc>
          <w:tcPr>
            <w:tcW w:w="185" w:type="dxa"/>
            <w:vMerge/>
            <w:tcBorders>
              <w:top w:val="single" w:sz="8" w:space="0" w:color="000000"/>
              <w:left w:val="nil"/>
              <w:bottom w:val="single" w:sz="4" w:space="0" w:color="000000"/>
              <w:right w:val="nil"/>
            </w:tcBorders>
            <w:shd w:val="clear" w:color="auto" w:fill="auto"/>
            <w:vAlign w:val="center"/>
          </w:tcPr>
          <w:p w14:paraId="25E79F04" w14:textId="77777777" w:rsidR="00BF1282" w:rsidRDefault="00BF1282" w:rsidP="003B6D54">
            <w:pPr>
              <w:widowControl/>
              <w:jc w:val="left"/>
              <w:rPr>
                <w:rFonts w:cs="Times New Roman"/>
                <w:kern w:val="0"/>
                <w:sz w:val="13"/>
                <w:szCs w:val="13"/>
              </w:rPr>
            </w:pPr>
          </w:p>
        </w:tc>
        <w:tc>
          <w:tcPr>
            <w:tcW w:w="672" w:type="dxa"/>
            <w:vMerge/>
            <w:tcBorders>
              <w:top w:val="single" w:sz="8" w:space="0" w:color="000000"/>
              <w:left w:val="nil"/>
              <w:bottom w:val="single" w:sz="4" w:space="0" w:color="000000"/>
              <w:right w:val="nil"/>
            </w:tcBorders>
            <w:shd w:val="clear" w:color="auto" w:fill="auto"/>
            <w:vAlign w:val="center"/>
          </w:tcPr>
          <w:p w14:paraId="41CC10FA" w14:textId="77777777" w:rsidR="00BF1282" w:rsidRDefault="00BF1282" w:rsidP="003B6D54">
            <w:pPr>
              <w:widowControl/>
              <w:jc w:val="left"/>
              <w:rPr>
                <w:rFonts w:cs="Times New Roman"/>
                <w:kern w:val="0"/>
                <w:sz w:val="13"/>
                <w:szCs w:val="13"/>
              </w:rPr>
            </w:pPr>
          </w:p>
        </w:tc>
        <w:tc>
          <w:tcPr>
            <w:tcW w:w="806"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4CB42D52"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b±SE</w:t>
            </w:r>
          </w:p>
        </w:tc>
        <w:tc>
          <w:tcPr>
            <w:tcW w:w="540"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373B8F36"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R</w:t>
            </w:r>
            <w:r>
              <w:rPr>
                <w:rFonts w:eastAsia="DengXian" w:cs="Times New Roman"/>
                <w:b/>
                <w:bCs/>
                <w:color w:val="000000"/>
                <w:kern w:val="24"/>
                <w:position w:val="7"/>
                <w:sz w:val="13"/>
                <w:szCs w:val="13"/>
                <w:vertAlign w:val="superscript"/>
              </w:rPr>
              <w:t>2</w:t>
            </w:r>
          </w:p>
        </w:tc>
        <w:tc>
          <w:tcPr>
            <w:tcW w:w="804"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02F1DE17"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b±SE</w:t>
            </w:r>
          </w:p>
        </w:tc>
        <w:tc>
          <w:tcPr>
            <w:tcW w:w="543"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13E1D92C"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R</w:t>
            </w:r>
            <w:r>
              <w:rPr>
                <w:rFonts w:eastAsia="DengXian" w:cs="Times New Roman"/>
                <w:b/>
                <w:bCs/>
                <w:color w:val="000000"/>
                <w:kern w:val="24"/>
                <w:sz w:val="13"/>
                <w:szCs w:val="13"/>
              </w:rPr>
              <w:t xml:space="preserve"> </w:t>
            </w:r>
            <w:r>
              <w:rPr>
                <w:rFonts w:eastAsia="DengXian" w:cs="Times New Roman"/>
                <w:b/>
                <w:bCs/>
                <w:color w:val="000000"/>
                <w:kern w:val="24"/>
                <w:position w:val="7"/>
                <w:sz w:val="13"/>
                <w:szCs w:val="13"/>
                <w:vertAlign w:val="superscript"/>
              </w:rPr>
              <w:t>2</w:t>
            </w:r>
          </w:p>
        </w:tc>
        <w:tc>
          <w:tcPr>
            <w:tcW w:w="671"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5A552508"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b±SE</w:t>
            </w:r>
          </w:p>
        </w:tc>
        <w:tc>
          <w:tcPr>
            <w:tcW w:w="540"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0F7A8FA8"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R</w:t>
            </w:r>
            <w:r>
              <w:rPr>
                <w:rFonts w:eastAsia="DengXian" w:cs="Times New Roman"/>
                <w:b/>
                <w:bCs/>
                <w:color w:val="000000"/>
                <w:kern w:val="24"/>
                <w:sz w:val="13"/>
                <w:szCs w:val="13"/>
              </w:rPr>
              <w:t xml:space="preserve"> </w:t>
            </w:r>
            <w:r>
              <w:rPr>
                <w:rFonts w:eastAsia="DengXian" w:cs="Times New Roman"/>
                <w:b/>
                <w:bCs/>
                <w:color w:val="000000"/>
                <w:kern w:val="24"/>
                <w:position w:val="7"/>
                <w:sz w:val="13"/>
                <w:szCs w:val="13"/>
                <w:vertAlign w:val="superscript"/>
              </w:rPr>
              <w:t>2</w:t>
            </w:r>
          </w:p>
        </w:tc>
        <w:tc>
          <w:tcPr>
            <w:tcW w:w="806"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6BE5DB26"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b±SE</w:t>
            </w:r>
          </w:p>
        </w:tc>
        <w:tc>
          <w:tcPr>
            <w:tcW w:w="409"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6C1526B4"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R</w:t>
            </w:r>
            <w:r>
              <w:rPr>
                <w:rFonts w:eastAsia="DengXian" w:cs="Times New Roman"/>
                <w:b/>
                <w:bCs/>
                <w:color w:val="000000"/>
                <w:kern w:val="24"/>
                <w:sz w:val="13"/>
                <w:szCs w:val="13"/>
              </w:rPr>
              <w:t xml:space="preserve"> </w:t>
            </w:r>
            <w:r>
              <w:rPr>
                <w:rFonts w:eastAsia="DengXian" w:cs="Times New Roman"/>
                <w:b/>
                <w:bCs/>
                <w:color w:val="000000"/>
                <w:kern w:val="24"/>
                <w:position w:val="7"/>
                <w:sz w:val="13"/>
                <w:szCs w:val="13"/>
                <w:vertAlign w:val="superscript"/>
              </w:rPr>
              <w:t>2</w:t>
            </w:r>
          </w:p>
        </w:tc>
        <w:tc>
          <w:tcPr>
            <w:tcW w:w="804"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027AC8CC"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b±SE</w:t>
            </w:r>
          </w:p>
        </w:tc>
        <w:tc>
          <w:tcPr>
            <w:tcW w:w="407"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3B75E1E6"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R</w:t>
            </w:r>
            <w:r>
              <w:rPr>
                <w:rFonts w:eastAsia="DengXian" w:cs="Times New Roman"/>
                <w:b/>
                <w:bCs/>
                <w:color w:val="000000"/>
                <w:kern w:val="24"/>
                <w:sz w:val="13"/>
                <w:szCs w:val="13"/>
              </w:rPr>
              <w:t xml:space="preserve"> </w:t>
            </w:r>
            <w:r>
              <w:rPr>
                <w:rFonts w:eastAsia="DengXian" w:cs="Times New Roman"/>
                <w:b/>
                <w:bCs/>
                <w:color w:val="000000"/>
                <w:kern w:val="24"/>
                <w:position w:val="7"/>
                <w:sz w:val="13"/>
                <w:szCs w:val="13"/>
                <w:vertAlign w:val="superscript"/>
              </w:rPr>
              <w:t>2</w:t>
            </w:r>
          </w:p>
        </w:tc>
        <w:tc>
          <w:tcPr>
            <w:tcW w:w="765"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3467F958"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b±SE</w:t>
            </w:r>
          </w:p>
        </w:tc>
        <w:tc>
          <w:tcPr>
            <w:tcW w:w="577" w:type="dxa"/>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13D565B6" w14:textId="77777777" w:rsidR="00BF1282" w:rsidRDefault="00BF1282" w:rsidP="003B6D54">
            <w:pPr>
              <w:widowControl/>
              <w:jc w:val="center"/>
              <w:textAlignment w:val="center"/>
              <w:rPr>
                <w:rFonts w:cs="Times New Roman"/>
                <w:kern w:val="0"/>
                <w:sz w:val="13"/>
                <w:szCs w:val="13"/>
              </w:rPr>
            </w:pPr>
            <w:r>
              <w:rPr>
                <w:rFonts w:eastAsia="DengXian" w:cs="Times New Roman"/>
                <w:b/>
                <w:bCs/>
                <w:i/>
                <w:iCs/>
                <w:color w:val="000000"/>
                <w:kern w:val="24"/>
                <w:sz w:val="13"/>
                <w:szCs w:val="13"/>
              </w:rPr>
              <w:t>R</w:t>
            </w:r>
            <w:r>
              <w:rPr>
                <w:rFonts w:eastAsia="DengXian" w:cs="Times New Roman"/>
                <w:b/>
                <w:bCs/>
                <w:color w:val="000000"/>
                <w:kern w:val="24"/>
                <w:sz w:val="13"/>
                <w:szCs w:val="13"/>
              </w:rPr>
              <w:t xml:space="preserve"> </w:t>
            </w:r>
            <w:r>
              <w:rPr>
                <w:rFonts w:eastAsia="DengXian" w:cs="Times New Roman"/>
                <w:b/>
                <w:bCs/>
                <w:color w:val="000000"/>
                <w:kern w:val="24"/>
                <w:position w:val="7"/>
                <w:sz w:val="13"/>
                <w:szCs w:val="13"/>
                <w:vertAlign w:val="superscript"/>
              </w:rPr>
              <w:t>2</w:t>
            </w:r>
          </w:p>
        </w:tc>
      </w:tr>
      <w:tr w:rsidR="00BF1282" w14:paraId="6B2A3902" w14:textId="77777777" w:rsidTr="003B6D54">
        <w:trPr>
          <w:gridAfter w:val="1"/>
          <w:wAfter w:w="6" w:type="dxa"/>
          <w:trHeight w:val="181"/>
        </w:trPr>
        <w:tc>
          <w:tcPr>
            <w:tcW w:w="430" w:type="dxa"/>
            <w:vMerge w:val="restart"/>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60605F07"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EU</w:t>
            </w:r>
          </w:p>
        </w:tc>
        <w:tc>
          <w:tcPr>
            <w:tcW w:w="114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6C2A79D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 xml:space="preserve">Seabirds </w:t>
            </w:r>
          </w:p>
        </w:tc>
        <w:tc>
          <w:tcPr>
            <w:tcW w:w="663"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349209D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28</w:t>
            </w:r>
          </w:p>
        </w:tc>
        <w:tc>
          <w:tcPr>
            <w:tcW w:w="18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618FA4E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61</w:t>
            </w:r>
          </w:p>
        </w:tc>
        <w:tc>
          <w:tcPr>
            <w:tcW w:w="672"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5EB686D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45.90%</w:t>
            </w:r>
          </w:p>
        </w:tc>
        <w:tc>
          <w:tcPr>
            <w:tcW w:w="806"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1B60AEA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1.46 ± 0.13</w:t>
            </w:r>
          </w:p>
        </w:tc>
        <w:tc>
          <w:tcPr>
            <w:tcW w:w="540"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67199C8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0.11</w:t>
            </w:r>
          </w:p>
        </w:tc>
        <w:tc>
          <w:tcPr>
            <w:tcW w:w="804"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5C97C38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0.86 ± 0.10</w:t>
            </w:r>
          </w:p>
        </w:tc>
        <w:tc>
          <w:tcPr>
            <w:tcW w:w="543"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4535315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0.06</w:t>
            </w:r>
          </w:p>
        </w:tc>
        <w:tc>
          <w:tcPr>
            <w:tcW w:w="671"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4B2B6E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1.40 ± 0.15</w:t>
            </w:r>
          </w:p>
        </w:tc>
        <w:tc>
          <w:tcPr>
            <w:tcW w:w="540"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771F0BF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0.08</w:t>
            </w:r>
          </w:p>
        </w:tc>
        <w:tc>
          <w:tcPr>
            <w:tcW w:w="806"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7D1AD2F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0.84 ± 0.12</w:t>
            </w:r>
          </w:p>
        </w:tc>
        <w:tc>
          <w:tcPr>
            <w:tcW w:w="409"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091CAF5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0.05</w:t>
            </w:r>
          </w:p>
        </w:tc>
        <w:tc>
          <w:tcPr>
            <w:tcW w:w="804"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C7F737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1.42 ± 0.20</w:t>
            </w:r>
          </w:p>
        </w:tc>
        <w:tc>
          <w:tcPr>
            <w:tcW w:w="407"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307CCA4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0.05</w:t>
            </w:r>
          </w:p>
        </w:tc>
        <w:tc>
          <w:tcPr>
            <w:tcW w:w="76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3E682AC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0.71 ± 0.15</w:t>
            </w:r>
          </w:p>
        </w:tc>
        <w:tc>
          <w:tcPr>
            <w:tcW w:w="577"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3D3D13B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r>
      <w:tr w:rsidR="00BF1282" w14:paraId="645B5395"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4DD9E049"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3A7E335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 xml:space="preserve">Shorebirds </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1684CD9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12</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7FCF5DF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44</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515587B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27.27%</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5944DC1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0.68 ± 0.19</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41BC18F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6815FDC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-0.63 ± 0.13</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2EB519B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74A8C00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1.68 ± 0.21</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08DB7CA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0.06</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6749B77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-0.13 ± 0.15</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120FE47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06BC5E5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-0.44 ± 0.28</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037C9A9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5E43119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-0.73 ± 0.20</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4E06579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r>
      <w:tr w:rsidR="00BF1282" w14:paraId="0F9CFF11"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1EA27484"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595CA95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Waterfowl</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52D87F90"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40</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56A289C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45</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348DA38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88.89%</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38C6C63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0.73 ± 0.09</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3CAED57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0.06</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1A410E6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0.63 ± 0.09</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4CD15D4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0.04</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16F455E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0.52 ± 0.10</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3690EC2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70BFFDC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0.38 ± 0.10</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1077162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4398C63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1.17 ± 0.13</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56F9A1E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0.07</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41C4AD9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0.98 ± 0.13</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3143C30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0.05</w:t>
            </w:r>
          </w:p>
        </w:tc>
      </w:tr>
      <w:tr w:rsidR="00BF1282" w14:paraId="5FC5D37D"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14F1F2C4"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20FAF68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Large wading birds</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56D0BB7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20B57C7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21</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6D746A5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19.05%</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26219E7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0.47 ± 0.15</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72CA3BD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5366687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0.93 ± 0.09</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1AC19FE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0.09</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111F32A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-0.42 ± 0.15</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74E65E0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44B1D89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0.49 ± 0.10</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75CF96A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37D2CD5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0.31 ± 0.25</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2D1D8D8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61CC447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1.77 ± 0.15</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746B9F2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0.12</w:t>
            </w:r>
          </w:p>
        </w:tc>
      </w:tr>
      <w:tr w:rsidR="00BF1282" w14:paraId="000C7FE3"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434F5C52" w14:textId="77777777" w:rsidR="00BF1282" w:rsidRDefault="00BF1282" w:rsidP="003B6D54">
            <w:pPr>
              <w:widowControl/>
              <w:jc w:val="center"/>
              <w:rPr>
                <w:rFonts w:cs="Times New Roman"/>
                <w:kern w:val="0"/>
                <w:sz w:val="13"/>
                <w:szCs w:val="13"/>
              </w:rPr>
            </w:pPr>
          </w:p>
        </w:tc>
        <w:tc>
          <w:tcPr>
            <w:tcW w:w="114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6957D9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Others</w:t>
            </w:r>
          </w:p>
        </w:tc>
        <w:tc>
          <w:tcPr>
            <w:tcW w:w="663"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FFF245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10</w:t>
            </w:r>
          </w:p>
        </w:tc>
        <w:tc>
          <w:tcPr>
            <w:tcW w:w="18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A217FA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17</w:t>
            </w:r>
          </w:p>
        </w:tc>
        <w:tc>
          <w:tcPr>
            <w:tcW w:w="672"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22A50E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58.82%</w:t>
            </w:r>
          </w:p>
        </w:tc>
        <w:tc>
          <w:tcPr>
            <w:tcW w:w="806"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1C6D983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1.00 ± 0.12</w:t>
            </w:r>
          </w:p>
        </w:tc>
        <w:tc>
          <w:tcPr>
            <w:tcW w:w="540"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3752C9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0.07</w:t>
            </w:r>
          </w:p>
        </w:tc>
        <w:tc>
          <w:tcPr>
            <w:tcW w:w="804"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13CF9B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0.67 ± 0.13</w:t>
            </w:r>
          </w:p>
        </w:tc>
        <w:tc>
          <w:tcPr>
            <w:tcW w:w="543"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B45DA2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c>
          <w:tcPr>
            <w:tcW w:w="671"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11CE9B6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0.50 ± 0.13</w:t>
            </w:r>
          </w:p>
        </w:tc>
        <w:tc>
          <w:tcPr>
            <w:tcW w:w="540"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E2C8FB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6"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4E923C6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 ± 0.15</w:t>
            </w:r>
          </w:p>
        </w:tc>
        <w:tc>
          <w:tcPr>
            <w:tcW w:w="409"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B23AB2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804"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26A0DC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1.82 ± 0.17</w:t>
            </w:r>
          </w:p>
        </w:tc>
        <w:tc>
          <w:tcPr>
            <w:tcW w:w="407"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99F428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0.10</w:t>
            </w:r>
          </w:p>
        </w:tc>
        <w:tc>
          <w:tcPr>
            <w:tcW w:w="76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2DC796C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1.19 ± 0.19</w:t>
            </w:r>
          </w:p>
        </w:tc>
        <w:tc>
          <w:tcPr>
            <w:tcW w:w="577"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CF00C1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0.03</w:t>
            </w:r>
          </w:p>
        </w:tc>
      </w:tr>
      <w:tr w:rsidR="00BF1282" w14:paraId="61D96A77" w14:textId="77777777" w:rsidTr="003B6D54">
        <w:trPr>
          <w:gridAfter w:val="1"/>
          <w:wAfter w:w="6" w:type="dxa"/>
          <w:trHeight w:val="181"/>
        </w:trPr>
        <w:tc>
          <w:tcPr>
            <w:tcW w:w="430" w:type="dxa"/>
            <w:vMerge w:val="restart"/>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7A92DD69"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China</w:t>
            </w:r>
          </w:p>
        </w:tc>
        <w:tc>
          <w:tcPr>
            <w:tcW w:w="114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6F44FCF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 xml:space="preserve">Seabirds </w:t>
            </w:r>
          </w:p>
        </w:tc>
        <w:tc>
          <w:tcPr>
            <w:tcW w:w="663"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44A9153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28</w:t>
            </w:r>
          </w:p>
        </w:tc>
        <w:tc>
          <w:tcPr>
            <w:tcW w:w="18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59F296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78</w:t>
            </w:r>
          </w:p>
        </w:tc>
        <w:tc>
          <w:tcPr>
            <w:tcW w:w="672"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6604597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35.90%</w:t>
            </w:r>
          </w:p>
        </w:tc>
        <w:tc>
          <w:tcPr>
            <w:tcW w:w="806"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4FEA010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1.33 ± 0.05</w:t>
            </w:r>
          </w:p>
        </w:tc>
        <w:tc>
          <w:tcPr>
            <w:tcW w:w="540"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5F36439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0.34</w:t>
            </w:r>
          </w:p>
        </w:tc>
        <w:tc>
          <w:tcPr>
            <w:tcW w:w="804"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3FCC77E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1.45 ± 0.04</w:t>
            </w:r>
          </w:p>
        </w:tc>
        <w:tc>
          <w:tcPr>
            <w:tcW w:w="543"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2200C7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0.43</w:t>
            </w:r>
          </w:p>
        </w:tc>
        <w:tc>
          <w:tcPr>
            <w:tcW w:w="671"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428C0D1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0.18 ± 0.04</w:t>
            </w:r>
          </w:p>
        </w:tc>
        <w:tc>
          <w:tcPr>
            <w:tcW w:w="540"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11E045D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6"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63E3177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0.27 ± 0.03</w:t>
            </w:r>
          </w:p>
        </w:tc>
        <w:tc>
          <w:tcPr>
            <w:tcW w:w="409"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1A077D4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0.04</w:t>
            </w:r>
          </w:p>
        </w:tc>
        <w:tc>
          <w:tcPr>
            <w:tcW w:w="804"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C5DF93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2.13 ± 0.06</w:t>
            </w:r>
          </w:p>
        </w:tc>
        <w:tc>
          <w:tcPr>
            <w:tcW w:w="407"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C2E867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0.44</w:t>
            </w:r>
          </w:p>
        </w:tc>
        <w:tc>
          <w:tcPr>
            <w:tcW w:w="76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0FE8D0F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2.12 ± 0.05</w:t>
            </w:r>
          </w:p>
        </w:tc>
        <w:tc>
          <w:tcPr>
            <w:tcW w:w="577"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71A4FF0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0.51</w:t>
            </w:r>
          </w:p>
        </w:tc>
      </w:tr>
      <w:tr w:rsidR="00BF1282" w14:paraId="58AA66F2"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6CD641DA"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72A9343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 xml:space="preserve">Shorebirds </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604605A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12</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79542E2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69</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2D7CC2B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17.39%</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2646302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0.92 ± 0.09</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6DB2544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0.09</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6D58419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1.59 ± 0.05</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6DDA472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0.39</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69E88DA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-0.30 ± 0.09</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198EAAC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1139E10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0.29 ± 0.04</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747B338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0.03</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35753F7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1.67 ± 0.11</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6E10049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0.17</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778D8260"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2.48 ± 0.05</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0ACF959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0.52</w:t>
            </w:r>
          </w:p>
        </w:tc>
      </w:tr>
      <w:tr w:rsidR="00BF1282" w14:paraId="13A416B9"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1C3C2862"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4AE6029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Waterfowl</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74FEC75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38</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6D31C53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47</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2968D2B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80.85%</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35694FD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1.79 ± 0.05</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2428A0E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0.34</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45B1A7C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1.73 ± 0.05</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4B7EE37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0.34</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5DE972C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0.52 ± 0.04</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5FE5CDC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0.06</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0E144B0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0.51 ± 0.04</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3B8FD99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0.06</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189B1B3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2.48 ± 0.06</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11710BD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0.42</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38E0FE2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2.47 ± 0.06</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2A838C2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0.43</w:t>
            </w:r>
          </w:p>
        </w:tc>
      </w:tr>
      <w:tr w:rsidR="00BF1282" w14:paraId="2971F4AD"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1908824A"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767B048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Large wading birds</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6868CED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17D3B8E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33</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3068D1C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12.12%</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4045908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2.55 ± 0.15</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47C713F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0.21</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3B56B58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1.58 ± 0.05</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087F46C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0.39</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15CBEDE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0.06 ± 0.20</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4B71AE8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63421A9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0.55 ± 0.05</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7A02AB4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0.07</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5371CB3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3.43 ± 0.19</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4F8EB42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0.22</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30A249E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2.37 ± 0.06</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5CFB22C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0.50</w:t>
            </w:r>
          </w:p>
        </w:tc>
      </w:tr>
      <w:tr w:rsidR="00BF1282" w14:paraId="56C8E341"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13C45629" w14:textId="77777777" w:rsidR="00BF1282" w:rsidRDefault="00BF1282" w:rsidP="003B6D54">
            <w:pPr>
              <w:widowControl/>
              <w:jc w:val="center"/>
              <w:rPr>
                <w:rFonts w:cs="Times New Roman"/>
                <w:kern w:val="0"/>
                <w:sz w:val="13"/>
                <w:szCs w:val="13"/>
              </w:rPr>
            </w:pPr>
          </w:p>
        </w:tc>
        <w:tc>
          <w:tcPr>
            <w:tcW w:w="114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6E2A170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Others</w:t>
            </w:r>
          </w:p>
        </w:tc>
        <w:tc>
          <w:tcPr>
            <w:tcW w:w="663"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FC2EB0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9</w:t>
            </w:r>
          </w:p>
        </w:tc>
        <w:tc>
          <w:tcPr>
            <w:tcW w:w="18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3BEF98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21</w:t>
            </w:r>
          </w:p>
        </w:tc>
        <w:tc>
          <w:tcPr>
            <w:tcW w:w="672"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6078952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42.86%</w:t>
            </w:r>
          </w:p>
        </w:tc>
        <w:tc>
          <w:tcPr>
            <w:tcW w:w="806"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CFEC77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0.49 ± 0.11</w:t>
            </w:r>
          </w:p>
        </w:tc>
        <w:tc>
          <w:tcPr>
            <w:tcW w:w="540"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2537195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c>
          <w:tcPr>
            <w:tcW w:w="804"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4DD3004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1.54 ± 0.09</w:t>
            </w:r>
          </w:p>
        </w:tc>
        <w:tc>
          <w:tcPr>
            <w:tcW w:w="543"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2BEAB6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0.17</w:t>
            </w:r>
          </w:p>
        </w:tc>
        <w:tc>
          <w:tcPr>
            <w:tcW w:w="671"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7C2D28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-0.35 ± 0.11</w:t>
            </w:r>
          </w:p>
        </w:tc>
        <w:tc>
          <w:tcPr>
            <w:tcW w:w="540"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6812864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6"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29B5ABA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0.14 ± 0.09</w:t>
            </w:r>
          </w:p>
        </w:tc>
        <w:tc>
          <w:tcPr>
            <w:tcW w:w="409"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987146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804"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E26EBD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1.21 ± 0.15</w:t>
            </w:r>
          </w:p>
        </w:tc>
        <w:tc>
          <w:tcPr>
            <w:tcW w:w="407"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6318B7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0.05</w:t>
            </w:r>
          </w:p>
        </w:tc>
        <w:tc>
          <w:tcPr>
            <w:tcW w:w="76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5BF31B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2.73 ± 0.11</w:t>
            </w:r>
          </w:p>
        </w:tc>
        <w:tc>
          <w:tcPr>
            <w:tcW w:w="577"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2E2EDC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0.29</w:t>
            </w:r>
          </w:p>
        </w:tc>
      </w:tr>
      <w:tr w:rsidR="00BF1282" w14:paraId="196DF36A" w14:textId="77777777" w:rsidTr="003B6D54">
        <w:trPr>
          <w:gridAfter w:val="1"/>
          <w:wAfter w:w="6" w:type="dxa"/>
          <w:trHeight w:val="181"/>
        </w:trPr>
        <w:tc>
          <w:tcPr>
            <w:tcW w:w="430" w:type="dxa"/>
            <w:vMerge w:val="restart"/>
            <w:tcBorders>
              <w:top w:val="single" w:sz="4" w:space="0" w:color="000000"/>
              <w:left w:val="nil"/>
              <w:bottom w:val="single" w:sz="4" w:space="0" w:color="000000"/>
              <w:right w:val="nil"/>
            </w:tcBorders>
            <w:shd w:val="clear" w:color="auto" w:fill="auto"/>
            <w:tcMar>
              <w:top w:w="9" w:type="dxa"/>
              <w:left w:w="9" w:type="dxa"/>
              <w:bottom w:w="0" w:type="dxa"/>
              <w:right w:w="9" w:type="dxa"/>
            </w:tcMar>
            <w:vAlign w:val="center"/>
          </w:tcPr>
          <w:p w14:paraId="73C30709" w14:textId="77777777" w:rsidR="00BF1282" w:rsidRDefault="00BF1282" w:rsidP="003B6D54">
            <w:pPr>
              <w:widowControl/>
              <w:jc w:val="center"/>
              <w:textAlignment w:val="center"/>
              <w:rPr>
                <w:rFonts w:cs="Times New Roman"/>
                <w:kern w:val="0"/>
                <w:sz w:val="13"/>
                <w:szCs w:val="13"/>
              </w:rPr>
            </w:pPr>
            <w:r>
              <w:rPr>
                <w:rFonts w:eastAsia="DengXian" w:cs="Times New Roman"/>
                <w:b/>
                <w:bCs/>
                <w:color w:val="000000"/>
                <w:kern w:val="24"/>
                <w:sz w:val="13"/>
                <w:szCs w:val="13"/>
              </w:rPr>
              <w:t>India</w:t>
            </w:r>
          </w:p>
        </w:tc>
        <w:tc>
          <w:tcPr>
            <w:tcW w:w="114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1BF1CD9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 xml:space="preserve">Seabirds </w:t>
            </w:r>
          </w:p>
        </w:tc>
        <w:tc>
          <w:tcPr>
            <w:tcW w:w="663"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66A0F3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24</w:t>
            </w:r>
          </w:p>
        </w:tc>
        <w:tc>
          <w:tcPr>
            <w:tcW w:w="18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4DD6DBF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59</w:t>
            </w:r>
          </w:p>
        </w:tc>
        <w:tc>
          <w:tcPr>
            <w:tcW w:w="672"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46C17FE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40.68%</w:t>
            </w:r>
          </w:p>
        </w:tc>
        <w:tc>
          <w:tcPr>
            <w:tcW w:w="806"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08548D5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0.33 ± 0.09</w:t>
            </w:r>
          </w:p>
        </w:tc>
        <w:tc>
          <w:tcPr>
            <w:tcW w:w="540"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EBF4D4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c>
          <w:tcPr>
            <w:tcW w:w="804"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7C053EC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0.26 ± 0.07</w:t>
            </w:r>
          </w:p>
        </w:tc>
        <w:tc>
          <w:tcPr>
            <w:tcW w:w="543"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7045BD1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c>
          <w:tcPr>
            <w:tcW w:w="671"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3E741E1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0.19 ± 0.08</w:t>
            </w:r>
          </w:p>
        </w:tc>
        <w:tc>
          <w:tcPr>
            <w:tcW w:w="540"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07B3CA4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6"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1764B34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0.20 ± 0.06</w:t>
            </w:r>
          </w:p>
        </w:tc>
        <w:tc>
          <w:tcPr>
            <w:tcW w:w="409"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0D3F8E2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804"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5A3E423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0.91 ± 0.16</w:t>
            </w:r>
          </w:p>
        </w:tc>
        <w:tc>
          <w:tcPr>
            <w:tcW w:w="407"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217E369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0.04</w:t>
            </w:r>
          </w:p>
        </w:tc>
        <w:tc>
          <w:tcPr>
            <w:tcW w:w="765"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0200B15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0.54 ± 0.13</w:t>
            </w:r>
          </w:p>
        </w:tc>
        <w:tc>
          <w:tcPr>
            <w:tcW w:w="577" w:type="dxa"/>
            <w:tcBorders>
              <w:top w:val="single" w:sz="4" w:space="0" w:color="000000"/>
              <w:left w:val="nil"/>
              <w:bottom w:val="nil"/>
              <w:right w:val="nil"/>
            </w:tcBorders>
            <w:shd w:val="clear" w:color="auto" w:fill="auto"/>
            <w:tcMar>
              <w:top w:w="9" w:type="dxa"/>
              <w:left w:w="9" w:type="dxa"/>
              <w:bottom w:w="0" w:type="dxa"/>
              <w:right w:w="9" w:type="dxa"/>
            </w:tcMar>
            <w:vAlign w:val="center"/>
          </w:tcPr>
          <w:p w14:paraId="6FA148A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r>
      <w:tr w:rsidR="00BF1282" w14:paraId="60AA796F"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2A1FD68B"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22764C5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 xml:space="preserve">Shorebirds </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2F5B882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12</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65827B1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68</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59B8C2B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17.65%</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2012205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0.03 ± 0.11</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726FCF9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467AFAB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1.15 ± 0.07</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76F02C7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0.24</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76E5EA9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-0.28 ± 0.09</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6D650F9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591446B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0.91 ± 0.07</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79E97DC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0.20</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0D8ADD9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0.46 ± 0.19</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23648B0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0.01</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63357D5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0.83 ± 0.16</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1615E2C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0.04</w:t>
            </w:r>
          </w:p>
        </w:tc>
      </w:tr>
      <w:tr w:rsidR="00BF1282" w14:paraId="6E87E142"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0701828D"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5FFA0BE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Waterfowl</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16A85F7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22</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5463F07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28</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190CC59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78.57%</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1A05332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0.39 ± 0.07</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5489592E"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0.04</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342F220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0.68 ± 0.09</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0F38A0F0"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0.08</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0A82D47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0.38 ± 0.06</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581E3C7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0.05</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1B035E0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0.53 ± 0.08</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6B3B0B7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0.06</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53345ED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-0.07 ± 0.14</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1B26A94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353906D3"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0.21 ± 0.17</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67C7940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r>
      <w:tr w:rsidR="00BF1282" w14:paraId="36CC3965"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6DD98AB3" w14:textId="77777777" w:rsidR="00BF1282" w:rsidRDefault="00BF1282" w:rsidP="003B6D54">
            <w:pPr>
              <w:widowControl/>
              <w:jc w:val="center"/>
              <w:rPr>
                <w:rFonts w:cs="Times New Roman"/>
                <w:kern w:val="0"/>
                <w:sz w:val="13"/>
                <w:szCs w:val="13"/>
              </w:rPr>
            </w:pPr>
          </w:p>
        </w:tc>
        <w:tc>
          <w:tcPr>
            <w:tcW w:w="1145" w:type="dxa"/>
            <w:tcBorders>
              <w:top w:val="nil"/>
              <w:left w:val="nil"/>
              <w:bottom w:val="nil"/>
              <w:right w:val="nil"/>
            </w:tcBorders>
            <w:shd w:val="clear" w:color="auto" w:fill="auto"/>
            <w:tcMar>
              <w:top w:w="9" w:type="dxa"/>
              <w:left w:w="9" w:type="dxa"/>
              <w:bottom w:w="0" w:type="dxa"/>
              <w:right w:w="9" w:type="dxa"/>
            </w:tcMar>
            <w:vAlign w:val="center"/>
          </w:tcPr>
          <w:p w14:paraId="4DAADA41"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Large wading birds</w:t>
            </w:r>
          </w:p>
        </w:tc>
        <w:tc>
          <w:tcPr>
            <w:tcW w:w="663" w:type="dxa"/>
            <w:tcBorders>
              <w:top w:val="nil"/>
              <w:left w:val="nil"/>
              <w:bottom w:val="nil"/>
              <w:right w:val="nil"/>
            </w:tcBorders>
            <w:shd w:val="clear" w:color="auto" w:fill="auto"/>
            <w:tcMar>
              <w:top w:w="9" w:type="dxa"/>
              <w:left w:w="9" w:type="dxa"/>
              <w:bottom w:w="0" w:type="dxa"/>
              <w:right w:w="9" w:type="dxa"/>
            </w:tcMar>
            <w:vAlign w:val="center"/>
          </w:tcPr>
          <w:p w14:paraId="2E83D8B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4</w:t>
            </w:r>
          </w:p>
        </w:tc>
        <w:tc>
          <w:tcPr>
            <w:tcW w:w="185" w:type="dxa"/>
            <w:tcBorders>
              <w:top w:val="nil"/>
              <w:left w:val="nil"/>
              <w:bottom w:val="nil"/>
              <w:right w:val="nil"/>
            </w:tcBorders>
            <w:shd w:val="clear" w:color="auto" w:fill="auto"/>
            <w:tcMar>
              <w:top w:w="9" w:type="dxa"/>
              <w:left w:w="9" w:type="dxa"/>
              <w:bottom w:w="0" w:type="dxa"/>
              <w:right w:w="9" w:type="dxa"/>
            </w:tcMar>
            <w:vAlign w:val="center"/>
          </w:tcPr>
          <w:p w14:paraId="131E9E6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33</w:t>
            </w:r>
          </w:p>
        </w:tc>
        <w:tc>
          <w:tcPr>
            <w:tcW w:w="672" w:type="dxa"/>
            <w:tcBorders>
              <w:top w:val="nil"/>
              <w:left w:val="nil"/>
              <w:bottom w:val="nil"/>
              <w:right w:val="nil"/>
            </w:tcBorders>
            <w:shd w:val="clear" w:color="auto" w:fill="auto"/>
            <w:tcMar>
              <w:top w:w="9" w:type="dxa"/>
              <w:left w:w="9" w:type="dxa"/>
              <w:bottom w:w="0" w:type="dxa"/>
              <w:right w:w="9" w:type="dxa"/>
            </w:tcMar>
            <w:vAlign w:val="center"/>
          </w:tcPr>
          <w:p w14:paraId="18B0BEA6"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12.12%</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4F8EB43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0.91 ± 0.15</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30A511A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0.05</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47A3F64F"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0.93 ± 0.09</w:t>
            </w:r>
          </w:p>
        </w:tc>
        <w:tc>
          <w:tcPr>
            <w:tcW w:w="543" w:type="dxa"/>
            <w:tcBorders>
              <w:top w:val="nil"/>
              <w:left w:val="nil"/>
              <w:bottom w:val="nil"/>
              <w:right w:val="nil"/>
            </w:tcBorders>
            <w:shd w:val="clear" w:color="auto" w:fill="auto"/>
            <w:tcMar>
              <w:top w:w="9" w:type="dxa"/>
              <w:left w:w="9" w:type="dxa"/>
              <w:bottom w:w="0" w:type="dxa"/>
              <w:right w:w="9" w:type="dxa"/>
            </w:tcMar>
            <w:vAlign w:val="center"/>
          </w:tcPr>
          <w:p w14:paraId="782D141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0.12</w:t>
            </w:r>
          </w:p>
        </w:tc>
        <w:tc>
          <w:tcPr>
            <w:tcW w:w="671" w:type="dxa"/>
            <w:tcBorders>
              <w:top w:val="nil"/>
              <w:left w:val="nil"/>
              <w:bottom w:val="nil"/>
              <w:right w:val="nil"/>
            </w:tcBorders>
            <w:shd w:val="clear" w:color="auto" w:fill="auto"/>
            <w:tcMar>
              <w:top w:w="9" w:type="dxa"/>
              <w:left w:w="9" w:type="dxa"/>
              <w:bottom w:w="0" w:type="dxa"/>
              <w:right w:w="9" w:type="dxa"/>
            </w:tcMar>
            <w:vAlign w:val="center"/>
          </w:tcPr>
          <w:p w14:paraId="74684C3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0.92 ± 0.13</w:t>
            </w:r>
          </w:p>
        </w:tc>
        <w:tc>
          <w:tcPr>
            <w:tcW w:w="540" w:type="dxa"/>
            <w:tcBorders>
              <w:top w:val="nil"/>
              <w:left w:val="nil"/>
              <w:bottom w:val="nil"/>
              <w:right w:val="nil"/>
            </w:tcBorders>
            <w:shd w:val="clear" w:color="auto" w:fill="auto"/>
            <w:tcMar>
              <w:top w:w="9" w:type="dxa"/>
              <w:left w:w="9" w:type="dxa"/>
              <w:bottom w:w="0" w:type="dxa"/>
              <w:right w:w="9" w:type="dxa"/>
            </w:tcMar>
            <w:vAlign w:val="center"/>
          </w:tcPr>
          <w:p w14:paraId="6041752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0.06</w:t>
            </w:r>
          </w:p>
        </w:tc>
        <w:tc>
          <w:tcPr>
            <w:tcW w:w="806" w:type="dxa"/>
            <w:tcBorders>
              <w:top w:val="nil"/>
              <w:left w:val="nil"/>
              <w:bottom w:val="nil"/>
              <w:right w:val="nil"/>
            </w:tcBorders>
            <w:shd w:val="clear" w:color="auto" w:fill="auto"/>
            <w:tcMar>
              <w:top w:w="9" w:type="dxa"/>
              <w:left w:w="9" w:type="dxa"/>
              <w:bottom w:w="0" w:type="dxa"/>
              <w:right w:w="9" w:type="dxa"/>
            </w:tcMar>
            <w:vAlign w:val="center"/>
          </w:tcPr>
          <w:p w14:paraId="4A378360"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0.75 ± 0.08</w:t>
            </w:r>
          </w:p>
        </w:tc>
        <w:tc>
          <w:tcPr>
            <w:tcW w:w="409" w:type="dxa"/>
            <w:tcBorders>
              <w:top w:val="nil"/>
              <w:left w:val="nil"/>
              <w:bottom w:val="nil"/>
              <w:right w:val="nil"/>
            </w:tcBorders>
            <w:shd w:val="clear" w:color="auto" w:fill="auto"/>
            <w:tcMar>
              <w:top w:w="9" w:type="dxa"/>
              <w:left w:w="9" w:type="dxa"/>
              <w:bottom w:w="0" w:type="dxa"/>
              <w:right w:w="9" w:type="dxa"/>
            </w:tcMar>
            <w:vAlign w:val="center"/>
          </w:tcPr>
          <w:p w14:paraId="4EB7D48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0.10</w:t>
            </w:r>
          </w:p>
        </w:tc>
        <w:tc>
          <w:tcPr>
            <w:tcW w:w="804" w:type="dxa"/>
            <w:tcBorders>
              <w:top w:val="nil"/>
              <w:left w:val="nil"/>
              <w:bottom w:val="nil"/>
              <w:right w:val="nil"/>
            </w:tcBorders>
            <w:shd w:val="clear" w:color="auto" w:fill="auto"/>
            <w:tcMar>
              <w:top w:w="9" w:type="dxa"/>
              <w:left w:w="9" w:type="dxa"/>
              <w:bottom w:w="0" w:type="dxa"/>
              <w:right w:w="9" w:type="dxa"/>
            </w:tcMar>
            <w:vAlign w:val="center"/>
          </w:tcPr>
          <w:p w14:paraId="7D6183B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-0.33 ± 0.30</w:t>
            </w:r>
          </w:p>
        </w:tc>
        <w:tc>
          <w:tcPr>
            <w:tcW w:w="407" w:type="dxa"/>
            <w:tcBorders>
              <w:top w:val="nil"/>
              <w:left w:val="nil"/>
              <w:bottom w:val="nil"/>
              <w:right w:val="nil"/>
            </w:tcBorders>
            <w:shd w:val="clear" w:color="auto" w:fill="auto"/>
            <w:tcMar>
              <w:top w:w="9" w:type="dxa"/>
              <w:left w:w="9" w:type="dxa"/>
              <w:bottom w:w="0" w:type="dxa"/>
              <w:right w:w="9" w:type="dxa"/>
            </w:tcMar>
            <w:vAlign w:val="center"/>
          </w:tcPr>
          <w:p w14:paraId="21076F5B"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765" w:type="dxa"/>
            <w:tcBorders>
              <w:top w:val="nil"/>
              <w:left w:val="nil"/>
              <w:bottom w:val="nil"/>
              <w:right w:val="nil"/>
            </w:tcBorders>
            <w:shd w:val="clear" w:color="auto" w:fill="auto"/>
            <w:tcMar>
              <w:top w:w="9" w:type="dxa"/>
              <w:left w:w="9" w:type="dxa"/>
              <w:bottom w:w="0" w:type="dxa"/>
              <w:right w:w="9" w:type="dxa"/>
            </w:tcMar>
            <w:vAlign w:val="center"/>
          </w:tcPr>
          <w:p w14:paraId="3547C86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1.54 ± 0.18</w:t>
            </w:r>
          </w:p>
        </w:tc>
        <w:tc>
          <w:tcPr>
            <w:tcW w:w="577" w:type="dxa"/>
            <w:tcBorders>
              <w:top w:val="nil"/>
              <w:left w:val="nil"/>
              <w:bottom w:val="nil"/>
              <w:right w:val="nil"/>
            </w:tcBorders>
            <w:shd w:val="clear" w:color="auto" w:fill="auto"/>
            <w:tcMar>
              <w:top w:w="9" w:type="dxa"/>
              <w:left w:w="9" w:type="dxa"/>
              <w:bottom w:w="0" w:type="dxa"/>
              <w:right w:w="9" w:type="dxa"/>
            </w:tcMar>
            <w:vAlign w:val="center"/>
          </w:tcPr>
          <w:p w14:paraId="1DE00929"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0.09</w:t>
            </w:r>
          </w:p>
        </w:tc>
      </w:tr>
      <w:tr w:rsidR="00BF1282" w14:paraId="69CA48B1" w14:textId="77777777" w:rsidTr="003B6D54">
        <w:trPr>
          <w:gridAfter w:val="1"/>
          <w:wAfter w:w="6" w:type="dxa"/>
          <w:trHeight w:val="181"/>
        </w:trPr>
        <w:tc>
          <w:tcPr>
            <w:tcW w:w="430" w:type="dxa"/>
            <w:vMerge/>
            <w:tcBorders>
              <w:top w:val="single" w:sz="4" w:space="0" w:color="000000"/>
              <w:left w:val="nil"/>
              <w:bottom w:val="single" w:sz="4" w:space="0" w:color="000000"/>
              <w:right w:val="nil"/>
            </w:tcBorders>
            <w:shd w:val="clear" w:color="auto" w:fill="auto"/>
            <w:vAlign w:val="center"/>
          </w:tcPr>
          <w:p w14:paraId="53C2A6D1" w14:textId="77777777" w:rsidR="00BF1282" w:rsidRDefault="00BF1282" w:rsidP="003B6D54">
            <w:pPr>
              <w:widowControl/>
              <w:jc w:val="center"/>
              <w:rPr>
                <w:rFonts w:cs="Times New Roman"/>
                <w:kern w:val="0"/>
                <w:sz w:val="13"/>
                <w:szCs w:val="13"/>
              </w:rPr>
            </w:pPr>
          </w:p>
        </w:tc>
        <w:tc>
          <w:tcPr>
            <w:tcW w:w="114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6D867292"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Others</w:t>
            </w:r>
          </w:p>
        </w:tc>
        <w:tc>
          <w:tcPr>
            <w:tcW w:w="663"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9E6324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7</w:t>
            </w:r>
          </w:p>
        </w:tc>
        <w:tc>
          <w:tcPr>
            <w:tcW w:w="18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6F24266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22</w:t>
            </w:r>
          </w:p>
        </w:tc>
        <w:tc>
          <w:tcPr>
            <w:tcW w:w="672"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8E268B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31.82%</w:t>
            </w:r>
          </w:p>
        </w:tc>
        <w:tc>
          <w:tcPr>
            <w:tcW w:w="806"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0D7A43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-0.15 ± 0.15</w:t>
            </w:r>
          </w:p>
        </w:tc>
        <w:tc>
          <w:tcPr>
            <w:tcW w:w="540"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6BC3E89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804"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5BEA01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1.18 ± 0.09</w:t>
            </w:r>
          </w:p>
        </w:tc>
        <w:tc>
          <w:tcPr>
            <w:tcW w:w="543"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D0FFFB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0.18</w:t>
            </w:r>
          </w:p>
        </w:tc>
        <w:tc>
          <w:tcPr>
            <w:tcW w:w="671"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9D1471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-0.21 ± 0.13</w:t>
            </w:r>
          </w:p>
        </w:tc>
        <w:tc>
          <w:tcPr>
            <w:tcW w:w="540"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2CA17874"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0.00</w:t>
            </w:r>
          </w:p>
        </w:tc>
        <w:tc>
          <w:tcPr>
            <w:tcW w:w="806"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4996C2F8"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0.98 ± 0.08</w:t>
            </w:r>
          </w:p>
        </w:tc>
        <w:tc>
          <w:tcPr>
            <w:tcW w:w="409"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7C29337"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0.16</w:t>
            </w:r>
          </w:p>
        </w:tc>
        <w:tc>
          <w:tcPr>
            <w:tcW w:w="804"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3E9666C5"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-1.75 ± 0.31</w:t>
            </w:r>
          </w:p>
        </w:tc>
        <w:tc>
          <w:tcPr>
            <w:tcW w:w="407"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2AF1597A"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0.05</w:t>
            </w:r>
          </w:p>
        </w:tc>
        <w:tc>
          <w:tcPr>
            <w:tcW w:w="765"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080262DC"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0.82 ± 0.20</w:t>
            </w:r>
          </w:p>
        </w:tc>
        <w:tc>
          <w:tcPr>
            <w:tcW w:w="577" w:type="dxa"/>
            <w:tcBorders>
              <w:top w:val="nil"/>
              <w:left w:val="nil"/>
              <w:bottom w:val="single" w:sz="4" w:space="0" w:color="000000"/>
              <w:right w:val="nil"/>
            </w:tcBorders>
            <w:shd w:val="clear" w:color="auto" w:fill="auto"/>
            <w:tcMar>
              <w:top w:w="9" w:type="dxa"/>
              <w:left w:w="9" w:type="dxa"/>
              <w:bottom w:w="0" w:type="dxa"/>
              <w:right w:w="9" w:type="dxa"/>
            </w:tcMar>
            <w:vAlign w:val="center"/>
          </w:tcPr>
          <w:p w14:paraId="5E97349D" w14:textId="77777777" w:rsidR="00BF1282" w:rsidRDefault="00BF1282" w:rsidP="003B6D54">
            <w:pPr>
              <w:widowControl/>
              <w:jc w:val="center"/>
              <w:textAlignment w:val="center"/>
              <w:rPr>
                <w:rFonts w:cs="Times New Roman"/>
                <w:kern w:val="0"/>
                <w:sz w:val="13"/>
                <w:szCs w:val="13"/>
              </w:rPr>
            </w:pPr>
            <w:r>
              <w:rPr>
                <w:rFonts w:eastAsia="DengXian" w:cs="Times New Roman"/>
                <w:color w:val="000000"/>
                <w:kern w:val="24"/>
                <w:sz w:val="13"/>
                <w:szCs w:val="13"/>
              </w:rPr>
              <w:t>0.02</w:t>
            </w:r>
          </w:p>
        </w:tc>
      </w:tr>
    </w:tbl>
    <w:p w14:paraId="1053B074" w14:textId="77777777" w:rsidR="00BF1282" w:rsidRDefault="00BF1282" w:rsidP="00BF1282">
      <w:pPr>
        <w:pStyle w:val="a3"/>
        <w:spacing w:line="480" w:lineRule="auto"/>
        <w:ind w:right="240" w:firstLine="480"/>
      </w:pPr>
    </w:p>
    <w:p w14:paraId="359BA79A" w14:textId="77777777" w:rsidR="00F553FF" w:rsidRDefault="00F553FF"/>
    <w:sectPr w:rsidR="00F553FF" w:rsidSect="00BF1282">
      <w:pgSz w:w="11906" w:h="16838"/>
      <w:pgMar w:top="1440" w:right="1800" w:bottom="1440" w:left="1800" w:header="851" w:footer="992" w:gutter="0"/>
      <w:lnNumType w:countBy="1" w:restart="continuous"/>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F201B4"/>
    <w:multiLevelType w:val="multilevel"/>
    <w:tmpl w:val="37F201B4"/>
    <w:lvl w:ilvl="0">
      <w:start w:val="1"/>
      <w:numFmt w:val="decimal"/>
      <w:pStyle w:val="1"/>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412572C0"/>
    <w:multiLevelType w:val="multilevel"/>
    <w:tmpl w:val="412572C0"/>
    <w:lvl w:ilvl="0">
      <w:start w:val="1"/>
      <w:numFmt w:val="decimal"/>
      <w:pStyle w:val="10"/>
      <w:lvlText w:val="(%1)"/>
      <w:lvlJc w:val="left"/>
      <w:pPr>
        <w:ind w:left="792" w:hanging="420"/>
      </w:pPr>
      <w:rPr>
        <w:rFonts w:hint="eastAsia"/>
      </w:rPr>
    </w:lvl>
    <w:lvl w:ilvl="1">
      <w:start w:val="1"/>
      <w:numFmt w:val="lowerLetter"/>
      <w:lvlText w:val="%2)"/>
      <w:lvlJc w:val="left"/>
      <w:pPr>
        <w:ind w:left="1212" w:hanging="420"/>
      </w:pPr>
    </w:lvl>
    <w:lvl w:ilvl="2">
      <w:start w:val="1"/>
      <w:numFmt w:val="lowerRoman"/>
      <w:lvlText w:val="%3."/>
      <w:lvlJc w:val="right"/>
      <w:pPr>
        <w:ind w:left="1632" w:hanging="420"/>
      </w:pPr>
    </w:lvl>
    <w:lvl w:ilvl="3">
      <w:start w:val="1"/>
      <w:numFmt w:val="decimal"/>
      <w:lvlText w:val="%4."/>
      <w:lvlJc w:val="left"/>
      <w:pPr>
        <w:ind w:left="2052" w:hanging="420"/>
      </w:pPr>
    </w:lvl>
    <w:lvl w:ilvl="4">
      <w:start w:val="1"/>
      <w:numFmt w:val="lowerLetter"/>
      <w:lvlText w:val="%5)"/>
      <w:lvlJc w:val="left"/>
      <w:pPr>
        <w:ind w:left="2472" w:hanging="420"/>
      </w:pPr>
    </w:lvl>
    <w:lvl w:ilvl="5">
      <w:start w:val="1"/>
      <w:numFmt w:val="lowerRoman"/>
      <w:lvlText w:val="%6."/>
      <w:lvlJc w:val="right"/>
      <w:pPr>
        <w:ind w:left="2892" w:hanging="420"/>
      </w:pPr>
    </w:lvl>
    <w:lvl w:ilvl="6">
      <w:start w:val="1"/>
      <w:numFmt w:val="decimal"/>
      <w:lvlText w:val="%7."/>
      <w:lvlJc w:val="left"/>
      <w:pPr>
        <w:ind w:left="3312" w:hanging="420"/>
      </w:pPr>
    </w:lvl>
    <w:lvl w:ilvl="7">
      <w:start w:val="1"/>
      <w:numFmt w:val="lowerLetter"/>
      <w:lvlText w:val="%8)"/>
      <w:lvlJc w:val="left"/>
      <w:pPr>
        <w:ind w:left="3732" w:hanging="420"/>
      </w:pPr>
    </w:lvl>
    <w:lvl w:ilvl="8">
      <w:start w:val="1"/>
      <w:numFmt w:val="lowerRoman"/>
      <w:lvlText w:val="%9."/>
      <w:lvlJc w:val="right"/>
      <w:pPr>
        <w:ind w:left="4152" w:hanging="420"/>
      </w:pPr>
    </w:lvl>
  </w:abstractNum>
  <w:num w:numId="1" w16cid:durableId="1081873780">
    <w:abstractNumId w:val="0"/>
  </w:num>
  <w:num w:numId="2" w16cid:durableId="3128315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282"/>
    <w:rsid w:val="002E7E2F"/>
    <w:rsid w:val="003C2EF4"/>
    <w:rsid w:val="00B74216"/>
    <w:rsid w:val="00BF1282"/>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EA7BB"/>
  <w15:chartTrackingRefBased/>
  <w15:docId w15:val="{9203ED74-B5ED-4E23-9A0F-2425A6788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282"/>
    <w:pPr>
      <w:widowControl w:val="0"/>
      <w:spacing w:after="0" w:line="240" w:lineRule="auto"/>
      <w:jc w:val="both"/>
    </w:pPr>
    <w:rPr>
      <w:rFonts w:ascii="Times New Roman" w:eastAsia="SimSun" w:hAnsi="Times New Roman"/>
      <w:sz w:val="24"/>
      <w:szCs w:val="21"/>
      <w:lang w:eastAsia="zh-CN"/>
      <w14:ligatures w14:val="none"/>
    </w:rPr>
  </w:style>
  <w:style w:type="paragraph" w:styleId="Heading1">
    <w:name w:val="heading 1"/>
    <w:basedOn w:val="Normal"/>
    <w:next w:val="Normal"/>
    <w:link w:val="Heading1Char"/>
    <w:uiPriority w:val="9"/>
    <w:qFormat/>
    <w:rsid w:val="00BF12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F12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F12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12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12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128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28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28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28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BF12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BF12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qFormat/>
    <w:rsid w:val="00BF12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12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12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12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2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2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282"/>
    <w:rPr>
      <w:rFonts w:eastAsiaTheme="majorEastAsia" w:cstheme="majorBidi"/>
      <w:color w:val="272727" w:themeColor="text1" w:themeTint="D8"/>
    </w:rPr>
  </w:style>
  <w:style w:type="paragraph" w:styleId="Title">
    <w:name w:val="Title"/>
    <w:basedOn w:val="Normal"/>
    <w:next w:val="Normal"/>
    <w:link w:val="TitleChar"/>
    <w:uiPriority w:val="10"/>
    <w:qFormat/>
    <w:rsid w:val="00BF128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2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2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2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282"/>
    <w:pPr>
      <w:spacing w:before="160"/>
      <w:jc w:val="center"/>
    </w:pPr>
    <w:rPr>
      <w:i/>
      <w:iCs/>
      <w:color w:val="404040" w:themeColor="text1" w:themeTint="BF"/>
    </w:rPr>
  </w:style>
  <w:style w:type="character" w:customStyle="1" w:styleId="QuoteChar">
    <w:name w:val="Quote Char"/>
    <w:basedOn w:val="DefaultParagraphFont"/>
    <w:link w:val="Quote"/>
    <w:uiPriority w:val="29"/>
    <w:rsid w:val="00BF1282"/>
    <w:rPr>
      <w:i/>
      <w:iCs/>
      <w:color w:val="404040" w:themeColor="text1" w:themeTint="BF"/>
    </w:rPr>
  </w:style>
  <w:style w:type="paragraph" w:styleId="ListParagraph">
    <w:name w:val="List Paragraph"/>
    <w:basedOn w:val="Normal"/>
    <w:uiPriority w:val="34"/>
    <w:qFormat/>
    <w:rsid w:val="00BF1282"/>
    <w:pPr>
      <w:ind w:left="720"/>
      <w:contextualSpacing/>
    </w:pPr>
  </w:style>
  <w:style w:type="character" w:styleId="IntenseEmphasis">
    <w:name w:val="Intense Emphasis"/>
    <w:basedOn w:val="DefaultParagraphFont"/>
    <w:uiPriority w:val="21"/>
    <w:qFormat/>
    <w:rsid w:val="00BF1282"/>
    <w:rPr>
      <w:i/>
      <w:iCs/>
      <w:color w:val="0F4761" w:themeColor="accent1" w:themeShade="BF"/>
    </w:rPr>
  </w:style>
  <w:style w:type="paragraph" w:styleId="IntenseQuote">
    <w:name w:val="Intense Quote"/>
    <w:basedOn w:val="Normal"/>
    <w:next w:val="Normal"/>
    <w:link w:val="IntenseQuoteChar"/>
    <w:uiPriority w:val="30"/>
    <w:qFormat/>
    <w:rsid w:val="00BF12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1282"/>
    <w:rPr>
      <w:i/>
      <w:iCs/>
      <w:color w:val="0F4761" w:themeColor="accent1" w:themeShade="BF"/>
    </w:rPr>
  </w:style>
  <w:style w:type="character" w:styleId="IntenseReference">
    <w:name w:val="Intense Reference"/>
    <w:basedOn w:val="DefaultParagraphFont"/>
    <w:uiPriority w:val="32"/>
    <w:qFormat/>
    <w:rsid w:val="00BF1282"/>
    <w:rPr>
      <w:b/>
      <w:bCs/>
      <w:smallCaps/>
      <w:color w:val="0F4761" w:themeColor="accent1" w:themeShade="BF"/>
      <w:spacing w:val="5"/>
    </w:rPr>
  </w:style>
  <w:style w:type="paragraph" w:styleId="DocumentMap">
    <w:name w:val="Document Map"/>
    <w:basedOn w:val="Normal"/>
    <w:link w:val="DocumentMapChar"/>
    <w:uiPriority w:val="99"/>
    <w:semiHidden/>
    <w:unhideWhenUsed/>
    <w:qFormat/>
    <w:rsid w:val="00BF1282"/>
    <w:rPr>
      <w:rFonts w:ascii="SimSun"/>
      <w:sz w:val="18"/>
      <w:szCs w:val="18"/>
    </w:rPr>
  </w:style>
  <w:style w:type="character" w:customStyle="1" w:styleId="DocumentMapChar">
    <w:name w:val="Document Map Char"/>
    <w:basedOn w:val="DefaultParagraphFont"/>
    <w:link w:val="DocumentMap"/>
    <w:uiPriority w:val="99"/>
    <w:semiHidden/>
    <w:qFormat/>
    <w:rsid w:val="00BF1282"/>
    <w:rPr>
      <w:rFonts w:ascii="SimSun" w:eastAsia="SimSun" w:hAnsi="Times New Roman"/>
      <w:sz w:val="18"/>
      <w:szCs w:val="18"/>
      <w:lang w:eastAsia="zh-CN"/>
      <w14:ligatures w14:val="none"/>
    </w:rPr>
  </w:style>
  <w:style w:type="paragraph" w:styleId="CommentText">
    <w:name w:val="annotation text"/>
    <w:basedOn w:val="Normal"/>
    <w:link w:val="CommentTextChar"/>
    <w:uiPriority w:val="99"/>
    <w:unhideWhenUsed/>
    <w:rsid w:val="00BF1282"/>
    <w:pPr>
      <w:jc w:val="left"/>
    </w:pPr>
  </w:style>
  <w:style w:type="character" w:customStyle="1" w:styleId="CommentTextChar">
    <w:name w:val="Comment Text Char"/>
    <w:basedOn w:val="DefaultParagraphFont"/>
    <w:link w:val="CommentText"/>
    <w:uiPriority w:val="99"/>
    <w:qFormat/>
    <w:rsid w:val="00BF1282"/>
    <w:rPr>
      <w:rFonts w:ascii="Times New Roman" w:eastAsia="SimSun" w:hAnsi="Times New Roman"/>
      <w:sz w:val="24"/>
      <w:szCs w:val="21"/>
      <w:lang w:eastAsia="zh-CN"/>
      <w14:ligatures w14:val="none"/>
    </w:rPr>
  </w:style>
  <w:style w:type="paragraph" w:styleId="BalloonText">
    <w:name w:val="Balloon Text"/>
    <w:basedOn w:val="Normal"/>
    <w:link w:val="BalloonTextChar"/>
    <w:uiPriority w:val="99"/>
    <w:semiHidden/>
    <w:unhideWhenUsed/>
    <w:rsid w:val="00BF1282"/>
    <w:rPr>
      <w:sz w:val="18"/>
      <w:szCs w:val="18"/>
    </w:rPr>
  </w:style>
  <w:style w:type="character" w:customStyle="1" w:styleId="BalloonTextChar">
    <w:name w:val="Balloon Text Char"/>
    <w:basedOn w:val="DefaultParagraphFont"/>
    <w:link w:val="BalloonText"/>
    <w:uiPriority w:val="99"/>
    <w:semiHidden/>
    <w:qFormat/>
    <w:rsid w:val="00BF1282"/>
    <w:rPr>
      <w:rFonts w:ascii="Times New Roman" w:eastAsia="SimSun" w:hAnsi="Times New Roman"/>
      <w:sz w:val="18"/>
      <w:szCs w:val="18"/>
      <w:lang w:eastAsia="zh-CN"/>
      <w14:ligatures w14:val="none"/>
    </w:rPr>
  </w:style>
  <w:style w:type="paragraph" w:styleId="Footer">
    <w:name w:val="footer"/>
    <w:basedOn w:val="Normal"/>
    <w:link w:val="FooterChar"/>
    <w:uiPriority w:val="99"/>
    <w:unhideWhenUsed/>
    <w:qFormat/>
    <w:rsid w:val="00BF1282"/>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qFormat/>
    <w:rsid w:val="00BF1282"/>
    <w:rPr>
      <w:rFonts w:ascii="Times New Roman" w:eastAsia="SimSun" w:hAnsi="Times New Roman"/>
      <w:sz w:val="18"/>
      <w:szCs w:val="18"/>
      <w:lang w:eastAsia="zh-CN"/>
      <w14:ligatures w14:val="none"/>
    </w:rPr>
  </w:style>
  <w:style w:type="paragraph" w:styleId="Header">
    <w:name w:val="header"/>
    <w:basedOn w:val="Normal"/>
    <w:link w:val="HeaderChar"/>
    <w:uiPriority w:val="99"/>
    <w:unhideWhenUsed/>
    <w:rsid w:val="00BF128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qFormat/>
    <w:rsid w:val="00BF1282"/>
    <w:rPr>
      <w:rFonts w:ascii="Times New Roman" w:eastAsia="SimSun" w:hAnsi="Times New Roman"/>
      <w:sz w:val="18"/>
      <w:szCs w:val="18"/>
      <w:lang w:eastAsia="zh-CN"/>
      <w14:ligatures w14:val="none"/>
    </w:rPr>
  </w:style>
  <w:style w:type="paragraph" w:styleId="CommentSubject">
    <w:name w:val="annotation subject"/>
    <w:basedOn w:val="CommentText"/>
    <w:next w:val="CommentText"/>
    <w:link w:val="CommentSubjectChar"/>
    <w:uiPriority w:val="99"/>
    <w:semiHidden/>
    <w:unhideWhenUsed/>
    <w:qFormat/>
    <w:rsid w:val="00BF1282"/>
    <w:rPr>
      <w:b/>
      <w:bCs/>
    </w:rPr>
  </w:style>
  <w:style w:type="character" w:customStyle="1" w:styleId="CommentSubjectChar">
    <w:name w:val="Comment Subject Char"/>
    <w:basedOn w:val="CommentTextChar"/>
    <w:link w:val="CommentSubject"/>
    <w:uiPriority w:val="99"/>
    <w:semiHidden/>
    <w:rsid w:val="00BF1282"/>
    <w:rPr>
      <w:rFonts w:ascii="Times New Roman" w:eastAsia="SimSun" w:hAnsi="Times New Roman"/>
      <w:b/>
      <w:bCs/>
      <w:sz w:val="24"/>
      <w:szCs w:val="21"/>
      <w:lang w:eastAsia="zh-CN"/>
      <w14:ligatures w14:val="none"/>
    </w:rPr>
  </w:style>
  <w:style w:type="character" w:styleId="PageNumber">
    <w:name w:val="page number"/>
    <w:basedOn w:val="DefaultParagraphFont"/>
    <w:uiPriority w:val="99"/>
    <w:semiHidden/>
    <w:unhideWhenUsed/>
    <w:rsid w:val="00BF1282"/>
  </w:style>
  <w:style w:type="character" w:styleId="FollowedHyperlink">
    <w:name w:val="FollowedHyperlink"/>
    <w:basedOn w:val="DefaultParagraphFont"/>
    <w:uiPriority w:val="99"/>
    <w:semiHidden/>
    <w:unhideWhenUsed/>
    <w:qFormat/>
    <w:rsid w:val="00BF1282"/>
    <w:rPr>
      <w:color w:val="96607D" w:themeColor="followedHyperlink"/>
      <w:u w:val="single"/>
    </w:rPr>
  </w:style>
  <w:style w:type="character" w:styleId="LineNumber">
    <w:name w:val="line number"/>
    <w:basedOn w:val="DefaultParagraphFont"/>
    <w:uiPriority w:val="99"/>
    <w:semiHidden/>
    <w:unhideWhenUsed/>
    <w:qFormat/>
    <w:rsid w:val="00BF1282"/>
  </w:style>
  <w:style w:type="character" w:styleId="Hyperlink">
    <w:name w:val="Hyperlink"/>
    <w:basedOn w:val="DefaultParagraphFont"/>
    <w:uiPriority w:val="99"/>
    <w:unhideWhenUsed/>
    <w:qFormat/>
    <w:rsid w:val="00BF1282"/>
    <w:rPr>
      <w:color w:val="467886" w:themeColor="hyperlink"/>
      <w:u w:val="single"/>
    </w:rPr>
  </w:style>
  <w:style w:type="character" w:styleId="CommentReference">
    <w:name w:val="annotation reference"/>
    <w:basedOn w:val="DefaultParagraphFont"/>
    <w:uiPriority w:val="99"/>
    <w:semiHidden/>
    <w:unhideWhenUsed/>
    <w:qFormat/>
    <w:rsid w:val="00BF1282"/>
    <w:rPr>
      <w:sz w:val="21"/>
      <w:szCs w:val="21"/>
    </w:rPr>
  </w:style>
  <w:style w:type="paragraph" w:customStyle="1" w:styleId="1">
    <w:name w:val="步骤(1)"/>
    <w:basedOn w:val="Subtitle"/>
    <w:qFormat/>
    <w:rsid w:val="00BF1282"/>
    <w:pPr>
      <w:numPr>
        <w:ilvl w:val="0"/>
        <w:numId w:val="1"/>
      </w:numPr>
      <w:spacing w:before="120" w:after="120" w:line="312" w:lineRule="auto"/>
      <w:ind w:rightChars="100" w:right="210"/>
      <w:outlineLvl w:val="2"/>
    </w:pPr>
    <w:rPr>
      <w:rFonts w:eastAsia="SimSun" w:cstheme="minorBidi"/>
      <w:color w:val="auto"/>
      <w:spacing w:val="0"/>
      <w:kern w:val="28"/>
      <w:sz w:val="24"/>
      <w:szCs w:val="24"/>
    </w:rPr>
  </w:style>
  <w:style w:type="paragraph" w:customStyle="1" w:styleId="10">
    <w:name w:val="步骤（1）"/>
    <w:basedOn w:val="Normal"/>
    <w:autoRedefine/>
    <w:qFormat/>
    <w:rsid w:val="00BF1282"/>
    <w:pPr>
      <w:numPr>
        <w:numId w:val="2"/>
      </w:numPr>
      <w:spacing w:before="240" w:after="60"/>
      <w:jc w:val="left"/>
      <w:outlineLvl w:val="2"/>
    </w:pPr>
    <w:rPr>
      <w:kern w:val="28"/>
      <w:szCs w:val="24"/>
    </w:rPr>
  </w:style>
  <w:style w:type="paragraph" w:customStyle="1" w:styleId="a">
    <w:name w:val="a一级"/>
    <w:basedOn w:val="Heading1"/>
    <w:qFormat/>
    <w:rsid w:val="00BF1282"/>
    <w:pPr>
      <w:spacing w:before="0" w:after="0" w:line="480" w:lineRule="auto"/>
    </w:pPr>
    <w:rPr>
      <w:rFonts w:ascii="Times New Roman" w:eastAsia="Times New Roman" w:hAnsi="Times New Roman" w:cs="Times New Roman"/>
      <w:b/>
      <w:bCs/>
      <w:color w:val="auto"/>
      <w:kern w:val="44"/>
      <w:sz w:val="28"/>
      <w:szCs w:val="32"/>
    </w:rPr>
  </w:style>
  <w:style w:type="paragraph" w:customStyle="1" w:styleId="a0">
    <w:name w:val="a二级"/>
    <w:basedOn w:val="Heading2"/>
    <w:qFormat/>
    <w:rsid w:val="00BF1282"/>
    <w:pPr>
      <w:spacing w:before="0" w:after="0" w:line="480" w:lineRule="auto"/>
    </w:pPr>
    <w:rPr>
      <w:rFonts w:ascii="Times New Roman" w:eastAsia="SimSun" w:hAnsi="Times New Roman" w:cs="Times New Roman"/>
      <w:b/>
      <w:bCs/>
      <w:color w:val="auto"/>
      <w:sz w:val="24"/>
      <w:szCs w:val="24"/>
    </w:rPr>
  </w:style>
  <w:style w:type="paragraph" w:customStyle="1" w:styleId="a1">
    <w:name w:val="a三级"/>
    <w:basedOn w:val="Heading3"/>
    <w:qFormat/>
    <w:rsid w:val="00BF1282"/>
    <w:pPr>
      <w:spacing w:before="0" w:after="0" w:line="416" w:lineRule="auto"/>
    </w:pPr>
    <w:rPr>
      <w:rFonts w:ascii="SimSun" w:eastAsia="SimSun" w:hAnsi="SimSun" w:cstheme="minorBidi"/>
      <w:b/>
      <w:bCs/>
      <w:color w:val="auto"/>
    </w:rPr>
  </w:style>
  <w:style w:type="paragraph" w:customStyle="1" w:styleId="a2">
    <w:name w:val="a四级"/>
    <w:basedOn w:val="Normal"/>
    <w:next w:val="a3"/>
    <w:autoRedefine/>
    <w:qFormat/>
    <w:rsid w:val="00BF1282"/>
    <w:pPr>
      <w:spacing w:line="360" w:lineRule="auto"/>
      <w:jc w:val="left"/>
      <w:outlineLvl w:val="2"/>
    </w:pPr>
    <w:rPr>
      <w:b/>
      <w:bCs/>
      <w:color w:val="000000" w:themeColor="text1"/>
      <w:szCs w:val="24"/>
    </w:rPr>
  </w:style>
  <w:style w:type="paragraph" w:customStyle="1" w:styleId="a3">
    <w:name w:val="a正文"/>
    <w:basedOn w:val="Normal"/>
    <w:link w:val="a4"/>
    <w:qFormat/>
    <w:rsid w:val="00BF1282"/>
    <w:pPr>
      <w:ind w:firstLineChars="200" w:firstLine="200"/>
    </w:pPr>
    <w:rPr>
      <w:szCs w:val="24"/>
    </w:rPr>
  </w:style>
  <w:style w:type="paragraph" w:customStyle="1" w:styleId="11">
    <w:name w:val="样式1"/>
    <w:basedOn w:val="a2"/>
    <w:next w:val="a3"/>
    <w:qFormat/>
    <w:rsid w:val="00BF1282"/>
  </w:style>
  <w:style w:type="paragraph" w:customStyle="1" w:styleId="a5">
    <w:name w:val="a五级"/>
    <w:basedOn w:val="Heading5"/>
    <w:qFormat/>
    <w:rsid w:val="00BF1282"/>
    <w:pPr>
      <w:spacing w:before="0" w:after="0" w:line="376" w:lineRule="auto"/>
      <w:outlineLvl w:val="1"/>
    </w:pPr>
    <w:rPr>
      <w:rFonts w:eastAsia="SimSun" w:cstheme="minorBidi"/>
      <w:b/>
      <w:bCs/>
      <w:color w:val="auto"/>
      <w:sz w:val="28"/>
      <w:szCs w:val="28"/>
    </w:rPr>
  </w:style>
  <w:style w:type="paragraph" w:customStyle="1" w:styleId="12">
    <w:name w:val="修订1"/>
    <w:hidden/>
    <w:uiPriority w:val="99"/>
    <w:semiHidden/>
    <w:qFormat/>
    <w:rsid w:val="00BF1282"/>
    <w:pPr>
      <w:spacing w:after="0" w:line="240" w:lineRule="auto"/>
    </w:pPr>
    <w:rPr>
      <w:rFonts w:ascii="Times New Roman" w:eastAsia="SimSun" w:hAnsi="Times New Roman"/>
      <w:sz w:val="24"/>
      <w:szCs w:val="21"/>
      <w:lang w:eastAsia="zh-CN"/>
      <w14:ligatures w14:val="none"/>
    </w:rPr>
  </w:style>
  <w:style w:type="character" w:styleId="PlaceholderText">
    <w:name w:val="Placeholder Text"/>
    <w:basedOn w:val="DefaultParagraphFont"/>
    <w:uiPriority w:val="99"/>
    <w:semiHidden/>
    <w:qFormat/>
    <w:rsid w:val="00BF1282"/>
    <w:rPr>
      <w:color w:val="666666"/>
    </w:rPr>
  </w:style>
  <w:style w:type="character" w:customStyle="1" w:styleId="13">
    <w:name w:val="未处理的提及1"/>
    <w:basedOn w:val="DefaultParagraphFont"/>
    <w:uiPriority w:val="99"/>
    <w:semiHidden/>
    <w:unhideWhenUsed/>
    <w:qFormat/>
    <w:rsid w:val="00BF1282"/>
    <w:rPr>
      <w:color w:val="605E5C"/>
      <w:shd w:val="clear" w:color="auto" w:fill="E1DFDD"/>
    </w:rPr>
  </w:style>
  <w:style w:type="paragraph" w:customStyle="1" w:styleId="EndNoteBibliographyTitle">
    <w:name w:val="EndNote Bibliography Title"/>
    <w:basedOn w:val="Normal"/>
    <w:link w:val="EndNoteBibliographyTitle0"/>
    <w:rsid w:val="00BF1282"/>
    <w:pPr>
      <w:jc w:val="center"/>
    </w:pPr>
    <w:rPr>
      <w:rFonts w:cs="Times New Roman"/>
    </w:rPr>
  </w:style>
  <w:style w:type="character" w:customStyle="1" w:styleId="a4">
    <w:name w:val="a正文 字符"/>
    <w:basedOn w:val="DefaultParagraphFont"/>
    <w:link w:val="a3"/>
    <w:qFormat/>
    <w:rsid w:val="00BF1282"/>
    <w:rPr>
      <w:rFonts w:ascii="Times New Roman" w:eastAsia="SimSun" w:hAnsi="Times New Roman"/>
      <w:sz w:val="24"/>
      <w:szCs w:val="24"/>
      <w:lang w:eastAsia="zh-CN"/>
      <w14:ligatures w14:val="none"/>
    </w:rPr>
  </w:style>
  <w:style w:type="character" w:customStyle="1" w:styleId="EndNoteBibliographyTitle0">
    <w:name w:val="EndNote Bibliography Title 字符"/>
    <w:basedOn w:val="a4"/>
    <w:link w:val="EndNoteBibliographyTitle"/>
    <w:qFormat/>
    <w:rsid w:val="00BF1282"/>
    <w:rPr>
      <w:rFonts w:ascii="Times New Roman" w:eastAsia="SimSun" w:hAnsi="Times New Roman" w:cs="Times New Roman"/>
      <w:sz w:val="24"/>
      <w:szCs w:val="21"/>
      <w:lang w:eastAsia="zh-CN"/>
      <w14:ligatures w14:val="none"/>
    </w:rPr>
  </w:style>
  <w:style w:type="paragraph" w:customStyle="1" w:styleId="EndNoteBibliography">
    <w:name w:val="EndNote Bibliography"/>
    <w:basedOn w:val="Normal"/>
    <w:link w:val="EndNoteBibliography0"/>
    <w:qFormat/>
    <w:rsid w:val="00BF1282"/>
    <w:pPr>
      <w:jc w:val="left"/>
    </w:pPr>
    <w:rPr>
      <w:rFonts w:cs="Times New Roman"/>
    </w:rPr>
  </w:style>
  <w:style w:type="character" w:customStyle="1" w:styleId="EndNoteBibliography0">
    <w:name w:val="EndNote Bibliography 字符"/>
    <w:basedOn w:val="a4"/>
    <w:link w:val="EndNoteBibliography"/>
    <w:qFormat/>
    <w:rsid w:val="00BF1282"/>
    <w:rPr>
      <w:rFonts w:ascii="Times New Roman" w:eastAsia="SimSun" w:hAnsi="Times New Roman" w:cs="Times New Roman"/>
      <w:sz w:val="24"/>
      <w:szCs w:val="21"/>
      <w:lang w:eastAsia="zh-CN"/>
      <w14:ligatures w14:val="none"/>
    </w:rPr>
  </w:style>
  <w:style w:type="character" w:customStyle="1" w:styleId="2">
    <w:name w:val="未处理的提及2"/>
    <w:basedOn w:val="DefaultParagraphFont"/>
    <w:uiPriority w:val="99"/>
    <w:semiHidden/>
    <w:unhideWhenUsed/>
    <w:qFormat/>
    <w:rsid w:val="00BF1282"/>
    <w:rPr>
      <w:color w:val="605E5C"/>
      <w:shd w:val="clear" w:color="auto" w:fill="E1DFDD"/>
    </w:rPr>
  </w:style>
  <w:style w:type="character" w:customStyle="1" w:styleId="3">
    <w:name w:val="未处理的提及3"/>
    <w:basedOn w:val="DefaultParagraphFont"/>
    <w:uiPriority w:val="99"/>
    <w:semiHidden/>
    <w:unhideWhenUsed/>
    <w:rsid w:val="00BF1282"/>
    <w:rPr>
      <w:color w:val="605E5C"/>
      <w:shd w:val="clear" w:color="auto" w:fill="E1DFDD"/>
    </w:rPr>
  </w:style>
  <w:style w:type="character" w:customStyle="1" w:styleId="4">
    <w:name w:val="未处理的提及4"/>
    <w:basedOn w:val="DefaultParagraphFont"/>
    <w:uiPriority w:val="99"/>
    <w:semiHidden/>
    <w:unhideWhenUsed/>
    <w:qFormat/>
    <w:rsid w:val="00BF1282"/>
    <w:rPr>
      <w:color w:val="605E5C"/>
      <w:shd w:val="clear" w:color="auto" w:fill="E1DFDD"/>
    </w:rPr>
  </w:style>
  <w:style w:type="character" w:customStyle="1" w:styleId="5">
    <w:name w:val="未处理的提及5"/>
    <w:basedOn w:val="DefaultParagraphFont"/>
    <w:uiPriority w:val="99"/>
    <w:semiHidden/>
    <w:unhideWhenUsed/>
    <w:qFormat/>
    <w:rsid w:val="00BF1282"/>
    <w:rPr>
      <w:color w:val="605E5C"/>
      <w:shd w:val="clear" w:color="auto" w:fill="E1DFDD"/>
    </w:rPr>
  </w:style>
  <w:style w:type="character" w:customStyle="1" w:styleId="6">
    <w:name w:val="未处理的提及6"/>
    <w:basedOn w:val="DefaultParagraphFont"/>
    <w:uiPriority w:val="99"/>
    <w:semiHidden/>
    <w:unhideWhenUsed/>
    <w:qFormat/>
    <w:rsid w:val="00BF1282"/>
    <w:rPr>
      <w:color w:val="605E5C"/>
      <w:shd w:val="clear" w:color="auto" w:fill="E1DFDD"/>
    </w:rPr>
  </w:style>
  <w:style w:type="paragraph" w:customStyle="1" w:styleId="Affiliation">
    <w:name w:val="Affiliation"/>
    <w:basedOn w:val="Normal"/>
    <w:qFormat/>
    <w:rsid w:val="00BF1282"/>
    <w:pPr>
      <w:widowControl/>
      <w:spacing w:before="120"/>
      <w:jc w:val="left"/>
    </w:pPr>
    <w:rPr>
      <w:rFonts w:eastAsia="Times New Roman" w:cs="Times New Roman"/>
      <w:kern w:val="0"/>
      <w:szCs w:val="24"/>
      <w:lang w:eastAsia="en-US"/>
    </w:rPr>
  </w:style>
  <w:style w:type="character" w:customStyle="1" w:styleId="7">
    <w:name w:val="未处理的提及7"/>
    <w:basedOn w:val="DefaultParagraphFont"/>
    <w:uiPriority w:val="99"/>
    <w:semiHidden/>
    <w:unhideWhenUsed/>
    <w:qFormat/>
    <w:rsid w:val="00BF1282"/>
    <w:rPr>
      <w:color w:val="605E5C"/>
      <w:shd w:val="clear" w:color="auto" w:fill="E1DFDD"/>
    </w:rPr>
  </w:style>
  <w:style w:type="character" w:customStyle="1" w:styleId="8">
    <w:name w:val="未处理的提及8"/>
    <w:basedOn w:val="DefaultParagraphFont"/>
    <w:uiPriority w:val="99"/>
    <w:semiHidden/>
    <w:unhideWhenUsed/>
    <w:qFormat/>
    <w:rsid w:val="00BF1282"/>
    <w:rPr>
      <w:color w:val="605E5C"/>
      <w:shd w:val="clear" w:color="auto" w:fill="E1DFDD"/>
    </w:rPr>
  </w:style>
  <w:style w:type="character" w:customStyle="1" w:styleId="9">
    <w:name w:val="未处理的提及9"/>
    <w:basedOn w:val="DefaultParagraphFont"/>
    <w:uiPriority w:val="99"/>
    <w:semiHidden/>
    <w:unhideWhenUsed/>
    <w:qFormat/>
    <w:rsid w:val="00BF1282"/>
    <w:rPr>
      <w:color w:val="605E5C"/>
      <w:shd w:val="clear" w:color="auto" w:fill="E1DFDD"/>
    </w:rPr>
  </w:style>
  <w:style w:type="character" w:customStyle="1" w:styleId="100">
    <w:name w:val="未处理的提及10"/>
    <w:basedOn w:val="DefaultParagraphFont"/>
    <w:uiPriority w:val="99"/>
    <w:semiHidden/>
    <w:unhideWhenUsed/>
    <w:rsid w:val="00BF1282"/>
    <w:rPr>
      <w:color w:val="605E5C"/>
      <w:shd w:val="clear" w:color="auto" w:fill="E1DFDD"/>
    </w:rPr>
  </w:style>
  <w:style w:type="character" w:customStyle="1" w:styleId="110">
    <w:name w:val="未处理的提及11"/>
    <w:basedOn w:val="DefaultParagraphFont"/>
    <w:uiPriority w:val="99"/>
    <w:semiHidden/>
    <w:unhideWhenUsed/>
    <w:qFormat/>
    <w:rsid w:val="00BF1282"/>
    <w:rPr>
      <w:color w:val="605E5C"/>
      <w:shd w:val="clear" w:color="auto" w:fill="E1DFDD"/>
    </w:rPr>
  </w:style>
  <w:style w:type="character" w:customStyle="1" w:styleId="120">
    <w:name w:val="未处理的提及12"/>
    <w:basedOn w:val="DefaultParagraphFont"/>
    <w:uiPriority w:val="99"/>
    <w:semiHidden/>
    <w:unhideWhenUsed/>
    <w:qFormat/>
    <w:rsid w:val="00BF1282"/>
    <w:rPr>
      <w:color w:val="605E5C"/>
      <w:shd w:val="clear" w:color="auto" w:fill="E1DFDD"/>
    </w:rPr>
  </w:style>
  <w:style w:type="character" w:customStyle="1" w:styleId="130">
    <w:name w:val="未处理的提及13"/>
    <w:basedOn w:val="DefaultParagraphFont"/>
    <w:uiPriority w:val="99"/>
    <w:semiHidden/>
    <w:unhideWhenUsed/>
    <w:qFormat/>
    <w:rsid w:val="00BF1282"/>
    <w:rPr>
      <w:color w:val="605E5C"/>
      <w:shd w:val="clear" w:color="auto" w:fill="E1DFDD"/>
    </w:rPr>
  </w:style>
  <w:style w:type="paragraph" w:customStyle="1" w:styleId="msonormal0">
    <w:name w:val="msonormal"/>
    <w:basedOn w:val="Normal"/>
    <w:rsid w:val="00BF1282"/>
    <w:pPr>
      <w:widowControl/>
      <w:spacing w:before="100" w:beforeAutospacing="1" w:after="100" w:afterAutospacing="1"/>
      <w:jc w:val="left"/>
    </w:pPr>
    <w:rPr>
      <w:rFonts w:ascii="SimSun" w:hAnsi="SimSun" w:cs="SimSun"/>
      <w:kern w:val="0"/>
      <w:szCs w:val="24"/>
    </w:rPr>
  </w:style>
  <w:style w:type="paragraph" w:customStyle="1" w:styleId="font5">
    <w:name w:val="font5"/>
    <w:basedOn w:val="Normal"/>
    <w:qFormat/>
    <w:rsid w:val="00BF1282"/>
    <w:pPr>
      <w:widowControl/>
      <w:spacing w:before="100" w:beforeAutospacing="1" w:after="100" w:afterAutospacing="1"/>
      <w:jc w:val="left"/>
    </w:pPr>
    <w:rPr>
      <w:rFonts w:ascii="DengXian" w:eastAsia="DengXian" w:hAnsi="DengXian" w:cs="SimSun"/>
      <w:kern w:val="0"/>
      <w:sz w:val="18"/>
      <w:szCs w:val="18"/>
    </w:rPr>
  </w:style>
  <w:style w:type="paragraph" w:customStyle="1" w:styleId="xl65">
    <w:name w:val="xl65"/>
    <w:basedOn w:val="Normal"/>
    <w:rsid w:val="00BF1282"/>
    <w:pPr>
      <w:widowControl/>
      <w:spacing w:before="100" w:beforeAutospacing="1" w:after="100" w:afterAutospacing="1"/>
      <w:jc w:val="center"/>
    </w:pPr>
    <w:rPr>
      <w:rFonts w:ascii="SimSun" w:hAnsi="SimSun" w:cs="SimSun"/>
      <w:kern w:val="0"/>
      <w:szCs w:val="24"/>
    </w:rPr>
  </w:style>
  <w:style w:type="paragraph" w:customStyle="1" w:styleId="xl66">
    <w:name w:val="xl66"/>
    <w:basedOn w:val="Normal"/>
    <w:qFormat/>
    <w:rsid w:val="00BF1282"/>
    <w:pPr>
      <w:widowControl/>
      <w:pBdr>
        <w:top w:val="single" w:sz="4" w:space="0" w:color="auto"/>
        <w:bottom w:val="single" w:sz="4" w:space="0" w:color="auto"/>
      </w:pBdr>
      <w:spacing w:before="100" w:beforeAutospacing="1" w:after="100" w:afterAutospacing="1"/>
      <w:jc w:val="center"/>
    </w:pPr>
    <w:rPr>
      <w:rFonts w:ascii="SimSun" w:hAnsi="SimSun" w:cs="SimSun"/>
      <w:b/>
      <w:bCs/>
      <w:kern w:val="0"/>
      <w:szCs w:val="24"/>
    </w:rPr>
  </w:style>
  <w:style w:type="paragraph" w:customStyle="1" w:styleId="xl67">
    <w:name w:val="xl67"/>
    <w:basedOn w:val="Normal"/>
    <w:qFormat/>
    <w:rsid w:val="00BF1282"/>
    <w:pPr>
      <w:widowControl/>
      <w:pBdr>
        <w:bottom w:val="single" w:sz="4" w:space="0" w:color="auto"/>
      </w:pBdr>
      <w:spacing w:before="100" w:beforeAutospacing="1" w:after="100" w:afterAutospacing="1"/>
      <w:jc w:val="center"/>
    </w:pPr>
    <w:rPr>
      <w:rFonts w:ascii="SimSun" w:hAnsi="SimSun" w:cs="SimSun"/>
      <w:kern w:val="0"/>
      <w:szCs w:val="24"/>
    </w:rPr>
  </w:style>
  <w:style w:type="character" w:customStyle="1" w:styleId="14">
    <w:name w:val="未处理的提及14"/>
    <w:basedOn w:val="DefaultParagraphFont"/>
    <w:uiPriority w:val="99"/>
    <w:semiHidden/>
    <w:unhideWhenUsed/>
    <w:rsid w:val="00BF1282"/>
    <w:rPr>
      <w:color w:val="605E5C"/>
      <w:shd w:val="clear" w:color="auto" w:fill="E1DFDD"/>
    </w:rPr>
  </w:style>
  <w:style w:type="character" w:customStyle="1" w:styleId="15">
    <w:name w:val="未处理的提及15"/>
    <w:basedOn w:val="DefaultParagraphFont"/>
    <w:uiPriority w:val="99"/>
    <w:semiHidden/>
    <w:unhideWhenUsed/>
    <w:qFormat/>
    <w:rsid w:val="00BF1282"/>
    <w:rPr>
      <w:color w:val="605E5C"/>
      <w:shd w:val="clear" w:color="auto" w:fill="E1DFDD"/>
    </w:rPr>
  </w:style>
  <w:style w:type="character" w:customStyle="1" w:styleId="16">
    <w:name w:val="未处理的提及16"/>
    <w:basedOn w:val="DefaultParagraphFont"/>
    <w:uiPriority w:val="99"/>
    <w:semiHidden/>
    <w:unhideWhenUsed/>
    <w:qFormat/>
    <w:rsid w:val="00BF1282"/>
    <w:rPr>
      <w:color w:val="605E5C"/>
      <w:shd w:val="clear" w:color="auto" w:fill="E1DFDD"/>
    </w:rPr>
  </w:style>
  <w:style w:type="character" w:customStyle="1" w:styleId="17">
    <w:name w:val="未处理的提及17"/>
    <w:basedOn w:val="DefaultParagraphFont"/>
    <w:uiPriority w:val="99"/>
    <w:semiHidden/>
    <w:unhideWhenUsed/>
    <w:qFormat/>
    <w:rsid w:val="00BF1282"/>
    <w:rPr>
      <w:color w:val="605E5C"/>
      <w:shd w:val="clear" w:color="auto" w:fill="E1DFDD"/>
    </w:rPr>
  </w:style>
  <w:style w:type="paragraph" w:styleId="Revision">
    <w:name w:val="Revision"/>
    <w:hidden/>
    <w:uiPriority w:val="99"/>
    <w:unhideWhenUsed/>
    <w:rsid w:val="00BF1282"/>
    <w:pPr>
      <w:spacing w:after="0" w:line="240" w:lineRule="auto"/>
    </w:pPr>
    <w:rPr>
      <w:rFonts w:ascii="Times New Roman" w:eastAsia="SimSun" w:hAnsi="Times New Roman"/>
      <w:sz w:val="24"/>
      <w:szCs w:val="21"/>
      <w:lang w:eastAsia="zh-CN"/>
      <w14:ligatures w14:val="none"/>
    </w:rPr>
  </w:style>
  <w:style w:type="character" w:styleId="Strong">
    <w:name w:val="Strong"/>
    <w:basedOn w:val="DefaultParagraphFont"/>
    <w:uiPriority w:val="22"/>
    <w:qFormat/>
    <w:rsid w:val="00BF1282"/>
    <w:rPr>
      <w:b/>
      <w:bCs/>
    </w:rPr>
  </w:style>
  <w:style w:type="character" w:customStyle="1" w:styleId="18">
    <w:name w:val="未处理的提及18"/>
    <w:basedOn w:val="DefaultParagraphFont"/>
    <w:uiPriority w:val="99"/>
    <w:semiHidden/>
    <w:unhideWhenUsed/>
    <w:rsid w:val="00BF12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4998</Words>
  <Characters>28491</Characters>
  <Application>Microsoft Office Word</Application>
  <DocSecurity>0</DocSecurity>
  <Lines>237</Lines>
  <Paragraphs>66</Paragraphs>
  <ScaleCrop>false</ScaleCrop>
  <Company>Springer Nature</Company>
  <LinksUpToDate>false</LinksUpToDate>
  <CharactersWithSpaces>33423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2025-03-12T05:02:00Z</dcterms:created>
  <dcterms:modified xsi:type="dcterms:W3CDTF">2025-03-12T05:02:00Z</dcterms:modified>
</cp:coreProperties>
</file>