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65E3F">
      <w:pPr>
        <w:pStyle w:val="10"/>
        <w:jc w:val="center"/>
        <w:outlineLvl w:val="0"/>
        <w:rPr>
          <w:rFonts w:cs="宋体"/>
        </w:rPr>
      </w:pPr>
      <w:r>
        <w:rPr>
          <w:rFonts w:hint="eastAsia" w:cs="宋体"/>
        </w:rPr>
        <w:t>Supplementary Information</w:t>
      </w:r>
    </w:p>
    <w:p w14:paraId="68742CEB">
      <w:pPr>
        <w:spacing w:line="360" w:lineRule="auto"/>
        <w:jc w:val="center"/>
        <w:rPr>
          <w:rFonts w:ascii="Times New Roman" w:hAnsi="Times New Roman"/>
          <w:b/>
          <w:bCs/>
        </w:rPr>
      </w:pPr>
      <w:r>
        <w:rPr>
          <w:rFonts w:ascii="Times New Roman" w:hAnsi="Times New Roman"/>
          <w:b/>
          <w:bCs/>
        </w:rPr>
        <w:t xml:space="preserve">Afforestation </w:t>
      </w:r>
      <w:r>
        <w:rPr>
          <w:rFonts w:hint="eastAsia" w:ascii="Times New Roman" w:hAnsi="Times New Roman"/>
          <w:b/>
          <w:bCs/>
        </w:rPr>
        <w:t>on</w:t>
      </w:r>
      <w:r>
        <w:rPr>
          <w:rFonts w:ascii="Times New Roman" w:hAnsi="Times New Roman"/>
          <w:b/>
          <w:bCs/>
        </w:rPr>
        <w:t xml:space="preserve"> Abandoned Croplands in China Has the Potential to Increase Carbon Sequestration by </w:t>
      </w:r>
      <w:r>
        <w:rPr>
          <w:rFonts w:hint="eastAsia" w:ascii="Times New Roman" w:hAnsi="Times New Roman"/>
          <w:b/>
          <w:bCs/>
        </w:rPr>
        <w:t>half</w:t>
      </w:r>
    </w:p>
    <w:p w14:paraId="2F5E1202">
      <w:pPr>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Tao Liu</w:t>
      </w:r>
      <w:r>
        <w:rPr>
          <w:rFonts w:ascii="Times New Roman" w:hAnsi="Times New Roman"/>
          <w:color w:val="000000" w:themeColor="text1"/>
          <w:vertAlign w:val="superscript"/>
          <w14:textFill>
            <w14:solidFill>
              <w14:schemeClr w14:val="tx1"/>
            </w14:solidFill>
          </w14:textFill>
        </w:rPr>
        <w:t>a</w:t>
      </w:r>
      <w:r>
        <w:rPr>
          <w:rFonts w:ascii="Times New Roman" w:hAnsi="Times New Roman"/>
          <w:color w:val="000000" w:themeColor="text1"/>
          <w14:textFill>
            <w14:solidFill>
              <w14:schemeClr w14:val="tx1"/>
            </w14:solidFill>
          </w14:textFill>
        </w:rPr>
        <w:t>, Le Yu</w:t>
      </w:r>
      <w:r>
        <w:rPr>
          <w:rFonts w:ascii="Times New Roman" w:hAnsi="Times New Roman"/>
          <w:color w:val="000000" w:themeColor="text1"/>
          <w:vertAlign w:val="superscript"/>
          <w14:textFill>
            <w14:solidFill>
              <w14:schemeClr w14:val="tx1"/>
            </w14:solidFill>
          </w14:textFill>
        </w:rPr>
        <w:t>a, b, c, *</w:t>
      </w:r>
      <w:r>
        <w:rPr>
          <w:rFonts w:ascii="Times New Roman" w:hAnsi="Times New Roman"/>
          <w:color w:val="000000" w:themeColor="text1"/>
          <w14:textFill>
            <w14:solidFill>
              <w14:schemeClr w14:val="tx1"/>
            </w14:solidFill>
          </w14:textFill>
        </w:rPr>
        <w:t>, Yin</w:t>
      </w:r>
      <w:r>
        <w:rPr>
          <w:rFonts w:hint="eastAsia" w:ascii="Times New Roman" w:hAnsi="Times New Roman"/>
          <w:color w:val="000000" w:themeColor="text1"/>
          <w14:textFill>
            <w14:solidFill>
              <w14:schemeClr w14:val="tx1"/>
            </w14:solidFill>
          </w14:textFill>
        </w:rPr>
        <w:t>g</w:t>
      </w:r>
      <w:r>
        <w:rPr>
          <w:rFonts w:ascii="Times New Roman" w:hAnsi="Times New Roman"/>
          <w:color w:val="000000" w:themeColor="text1"/>
          <w14:textFill>
            <w14:solidFill>
              <w14:schemeClr w14:val="tx1"/>
            </w14:solidFill>
          </w14:textFill>
        </w:rPr>
        <w:t xml:space="preserve"> Tu</w:t>
      </w:r>
      <w:r>
        <w:rPr>
          <w:rFonts w:hint="eastAsia" w:ascii="Times New Roman" w:hAnsi="Times New Roman"/>
          <w:color w:val="000000" w:themeColor="text1"/>
          <w:vertAlign w:val="superscript"/>
          <w14:textFill>
            <w14:solidFill>
              <w14:schemeClr w14:val="tx1"/>
            </w14:solidFill>
          </w14:textFill>
        </w:rPr>
        <w:t>d</w:t>
      </w:r>
      <w:r>
        <w:rPr>
          <w:rFonts w:ascii="Times New Roman" w:hAnsi="Times New Roman"/>
          <w:color w:val="000000" w:themeColor="text1"/>
          <w14:textFill>
            <w14:solidFill>
              <w14:schemeClr w14:val="tx1"/>
            </w14:solidFill>
          </w14:textFill>
        </w:rPr>
        <w:t>, Xin Chen</w:t>
      </w:r>
      <w:r>
        <w:rPr>
          <w:rFonts w:hint="eastAsia" w:ascii="Times New Roman" w:hAnsi="Times New Roman"/>
          <w:color w:val="000000" w:themeColor="text1"/>
          <w:vertAlign w:val="superscript"/>
          <w14:textFill>
            <w14:solidFill>
              <w14:schemeClr w14:val="tx1"/>
            </w14:solidFill>
          </w14:textFill>
        </w:rPr>
        <w:t>e</w:t>
      </w:r>
      <w:r>
        <w:rPr>
          <w:rFonts w:ascii="Times New Roman" w:hAnsi="Times New Roman"/>
          <w:color w:val="000000" w:themeColor="text1"/>
          <w14:textFill>
            <w14:solidFill>
              <w14:schemeClr w14:val="tx1"/>
            </w14:solidFill>
          </w14:textFill>
        </w:rPr>
        <w:t>, Zhen</w:t>
      </w:r>
      <w:r>
        <w:rPr>
          <w:rFonts w:hint="eastAsia" w:ascii="Times New Roman" w:hAnsi="Times New Roman"/>
          <w:color w:val="000000" w:themeColor="text1"/>
          <w14:textFill>
            <w14:solidFill>
              <w14:schemeClr w14:val="tx1"/>
            </w14:solidFill>
          </w14:textFill>
        </w:rPr>
        <w:t>r</w:t>
      </w:r>
      <w:r>
        <w:rPr>
          <w:rFonts w:ascii="Times New Roman" w:hAnsi="Times New Roman"/>
          <w:color w:val="000000" w:themeColor="text1"/>
          <w14:textFill>
            <w14:solidFill>
              <w14:schemeClr w14:val="tx1"/>
            </w14:solidFill>
          </w14:textFill>
        </w:rPr>
        <w:t>ong Du</w:t>
      </w:r>
      <w:r>
        <w:rPr>
          <w:rFonts w:hint="eastAsia" w:ascii="Times New Roman" w:hAnsi="Times New Roman"/>
          <w:color w:val="000000" w:themeColor="text1"/>
          <w:vertAlign w:val="superscript"/>
          <w14:textFill>
            <w14:solidFill>
              <w14:schemeClr w14:val="tx1"/>
            </w14:solidFill>
          </w14:textFill>
        </w:rPr>
        <w:t>f</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Hui Wu</w:t>
      </w:r>
      <w:r>
        <w:rPr>
          <w:rFonts w:hint="eastAsia" w:ascii="Times New Roman" w:hAnsi="Times New Roman"/>
          <w:color w:val="000000" w:themeColor="text1"/>
          <w:vertAlign w:val="superscript"/>
          <w14:textFill>
            <w14:solidFill>
              <w14:schemeClr w14:val="tx1"/>
            </w14:solidFill>
          </w14:textFill>
        </w:rPr>
        <w:t>a</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 xml:space="preserve"> Shijun Zheng</w:t>
      </w:r>
      <w:r>
        <w:rPr>
          <w:rFonts w:hint="eastAsia" w:ascii="Times New Roman" w:hAnsi="Times New Roman"/>
          <w:color w:val="000000" w:themeColor="text1"/>
          <w:vertAlign w:val="superscript"/>
          <w14:textFill>
            <w14:solidFill>
              <w14:schemeClr w14:val="tx1"/>
            </w14:solidFill>
          </w14:textFill>
        </w:rPr>
        <w:t>a</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Minxuan Sun</w:t>
      </w:r>
      <w:r>
        <w:rPr>
          <w:rFonts w:hint="eastAsia" w:ascii="Times New Roman" w:hAnsi="Times New Roman"/>
          <w:color w:val="000000" w:themeColor="text1"/>
          <w:vertAlign w:val="superscript"/>
          <w14:textFill>
            <w14:solidFill>
              <w14:schemeClr w14:val="tx1"/>
            </w14:solidFill>
          </w14:textFill>
        </w:rPr>
        <w:t>a</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Yixuan Li</w:t>
      </w:r>
      <w:r>
        <w:rPr>
          <w:rFonts w:hint="eastAsia" w:ascii="Times New Roman" w:hAnsi="Times New Roman"/>
          <w:color w:val="000000" w:themeColor="text1"/>
          <w:vertAlign w:val="superscript"/>
          <w14:textFill>
            <w14:solidFill>
              <w14:schemeClr w14:val="tx1"/>
            </w14:solidFill>
          </w14:textFill>
        </w:rPr>
        <w:t>g</w:t>
      </w:r>
      <w:r>
        <w:rPr>
          <w:rFonts w:hint="eastAsia" w:ascii="Times New Roman" w:hAnsi="Times New Roman"/>
          <w:color w:val="000000" w:themeColor="text1"/>
          <w14:textFill>
            <w14:solidFill>
              <w14:schemeClr w14:val="tx1"/>
            </w14:solidFill>
          </w14:textFill>
        </w:rPr>
        <w:t>, Dailiang Peng</w:t>
      </w:r>
      <w:r>
        <w:rPr>
          <w:rFonts w:hint="eastAsia" w:ascii="Times New Roman" w:hAnsi="Times New Roman"/>
          <w:color w:val="000000" w:themeColor="text1"/>
          <w:vertAlign w:val="superscript"/>
          <w14:textFill>
            <w14:solidFill>
              <w14:schemeClr w14:val="tx1"/>
            </w14:solidFill>
          </w14:textFill>
        </w:rPr>
        <w:t>h</w:t>
      </w:r>
      <w:r>
        <w:rPr>
          <w:rFonts w:hint="eastAsia" w:ascii="Times New Roman" w:hAnsi="Times New Roman"/>
          <w:color w:val="000000" w:themeColor="text1"/>
          <w14:textFill>
            <w14:solidFill>
              <w14:schemeClr w14:val="tx1"/>
            </w14:solidFill>
          </w14:textFill>
        </w:rPr>
        <w:t>, Chao Wu</w:t>
      </w:r>
      <w:r>
        <w:rPr>
          <w:rFonts w:hint="eastAsia" w:ascii="Times New Roman" w:hAnsi="Times New Roman"/>
          <w:color w:val="000000" w:themeColor="text1"/>
          <w:vertAlign w:val="superscript"/>
          <w14:textFill>
            <w14:solidFill>
              <w14:schemeClr w14:val="tx1"/>
            </w14:solidFill>
          </w14:textFill>
        </w:rPr>
        <w:t>a</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Yuyu Zhou</w:t>
      </w:r>
      <w:r>
        <w:rPr>
          <w:rFonts w:hint="eastAsia" w:ascii="Times New Roman" w:hAnsi="Times New Roman"/>
          <w:color w:val="000000" w:themeColor="text1"/>
          <w:vertAlign w:val="superscript"/>
          <w14:textFill>
            <w14:solidFill>
              <w14:schemeClr w14:val="tx1"/>
            </w14:solidFill>
          </w14:textFill>
        </w:rPr>
        <w:t>i, j</w:t>
      </w:r>
    </w:p>
    <w:p w14:paraId="69AD5C6E">
      <w:pPr>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a Department of Earth System Science, Ministry of Education Key Laboratory for Earth System Modeling, Institute for Global Change Studies, Tsinghua University, Beijing 100084, China</w:t>
      </w:r>
    </w:p>
    <w:p w14:paraId="3ABFD069">
      <w:pPr>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b Ministry of Education Ecological Field Station for East Asian Migratory Birds, Department of Earth System Science, Tsinghua University, Beijing 100084, China</w:t>
      </w:r>
    </w:p>
    <w:p w14:paraId="6BAB2DEC">
      <w:pPr>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 Tsinghua University (Department of Earth System Science)- Xi’an Institute of Surveying and Mapping Joint Research Center for Next-Generation Smart Mapping, Beijing 100084, China</w:t>
      </w:r>
    </w:p>
    <w:p w14:paraId="64270E61">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d</w:t>
      </w:r>
      <w:r>
        <w:rPr>
          <w:rFonts w:ascii="Times New Roman" w:hAnsi="Times New Roman"/>
          <w:color w:val="000000" w:themeColor="text1"/>
          <w14:textFill>
            <w14:solidFill>
              <w14:schemeClr w14:val="tx1"/>
            </w14:solidFill>
          </w14:textFill>
        </w:rPr>
        <w:t xml:space="preserve"> Department of Global Development, Cornell University, Ithaca, NY 14853, USA</w:t>
      </w:r>
    </w:p>
    <w:p w14:paraId="227F0F04">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e</w:t>
      </w:r>
      <w:r>
        <w:rPr>
          <w:rFonts w:ascii="Times New Roman" w:hAnsi="Times New Roman"/>
          <w:color w:val="000000" w:themeColor="text1"/>
          <w14:textFill>
            <w14:solidFill>
              <w14:schemeClr w14:val="tx1"/>
            </w14:solidFill>
          </w14:textFill>
        </w:rPr>
        <w:t xml:space="preserve"> Institute of Loess Plateau, Shanxi University, Taiyuan 030006, China</w:t>
      </w:r>
    </w:p>
    <w:p w14:paraId="7F6FE28B">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f</w:t>
      </w:r>
      <w:r>
        <w:rPr>
          <w:rFonts w:ascii="Times New Roman" w:hAnsi="Times New Roman"/>
          <w:color w:val="000000" w:themeColor="text1"/>
          <w14:textFill>
            <w14:solidFill>
              <w14:schemeClr w14:val="tx1"/>
            </w14:solidFill>
          </w14:textFill>
        </w:rPr>
        <w:t xml:space="preserve"> School of Information and Communication Engineering, Dalian University of Technology, Dalian 116024, China</w:t>
      </w:r>
    </w:p>
    <w:p w14:paraId="199C5E27">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g Centre for Environmental Policy, Imperial College London, London SW7 2AZ, UK</w:t>
      </w:r>
    </w:p>
    <w:p w14:paraId="266C4425">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h</w:t>
      </w:r>
      <w:r>
        <w:rPr>
          <w:rFonts w:ascii="Times New Roman" w:hAnsi="Times New Roman"/>
          <w:color w:val="000000" w:themeColor="text1"/>
          <w14:textFill>
            <w14:solidFill>
              <w14:schemeClr w14:val="tx1"/>
            </w14:solidFill>
          </w14:textFill>
        </w:rPr>
        <w:t xml:space="preserve"> Key Laboratory of Digital Earth Science, Aerospace Information Research Institute, Chinese Academy of Sciences, Beijing 100094, China</w:t>
      </w:r>
    </w:p>
    <w:p w14:paraId="43F8A7C4">
      <w:pPr>
        <w:spacing w:before="156" w:after="156" w:line="360" w:lineRule="auto"/>
        <w:jc w:val="center"/>
        <w:rPr>
          <w:rFonts w:ascii="Times New Roman" w:hAnsi="Times New Roman"/>
          <w:szCs w:val="21"/>
        </w:rPr>
      </w:pPr>
      <w:r>
        <w:rPr>
          <w:rFonts w:hint="eastAsia" w:ascii="Times New Roman" w:hAnsi="Times New Roman"/>
          <w:szCs w:val="21"/>
        </w:rPr>
        <w:t>i</w:t>
      </w:r>
      <w:r>
        <w:rPr>
          <w:rFonts w:ascii="Times New Roman" w:hAnsi="Times New Roman"/>
          <w:szCs w:val="21"/>
        </w:rPr>
        <w:t xml:space="preserve"> Department of Geography, The University of Hong Kong, Hong Kong 999077, China</w:t>
      </w:r>
    </w:p>
    <w:p w14:paraId="49573DA5">
      <w:pPr>
        <w:pStyle w:val="10"/>
        <w:spacing w:line="360" w:lineRule="auto"/>
        <w:jc w:val="center"/>
        <w:outlineLvl w:val="9"/>
        <w:rPr>
          <w:b w:val="0"/>
          <w:bCs w:val="0"/>
          <w:szCs w:val="21"/>
        </w:rPr>
      </w:pPr>
      <w:r>
        <w:rPr>
          <w:rFonts w:hint="eastAsia"/>
          <w:b w:val="0"/>
          <w:bCs w:val="0"/>
          <w:szCs w:val="21"/>
        </w:rPr>
        <w:t>j Institute for Climate and Carbon Neutrality, The University of Hong Kong, Hong Kong, China</w:t>
      </w:r>
    </w:p>
    <w:p w14:paraId="40EA0E3A">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Correspondence author</w:t>
      </w:r>
    </w:p>
    <w:p w14:paraId="6E30A8ED">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Le Yu</w:t>
      </w:r>
    </w:p>
    <w:p w14:paraId="5BCD857B">
      <w:pPr>
        <w:jc w:val="center"/>
        <w:rPr>
          <w:rFonts w:ascii="Times New Roman" w:hAnsi="Times New Roman"/>
          <w:color w:val="000000" w:themeColor="text1"/>
          <w:sz w:val="20"/>
          <w:szCs w:val="20"/>
          <w14:textFill>
            <w14:solidFill>
              <w14:schemeClr w14:val="tx1"/>
            </w14:solidFill>
          </w14:textFill>
        </w:rPr>
      </w:pPr>
      <w:r>
        <w:rPr>
          <w:rFonts w:ascii="Times New Roman" w:hAnsi="Times New Roman"/>
          <w:b/>
          <w:bCs/>
          <w:color w:val="000000" w:themeColor="text1"/>
          <w:sz w:val="20"/>
          <w:szCs w:val="20"/>
          <w14:textFill>
            <w14:solidFill>
              <w14:schemeClr w14:val="tx1"/>
            </w14:solidFill>
          </w14:textFill>
        </w:rPr>
        <w:t>Email:</w:t>
      </w:r>
      <w:r>
        <w:rPr>
          <w:rFonts w:ascii="Times New Roman" w:hAnsi="Times New Roman"/>
          <w:color w:val="000000" w:themeColor="text1"/>
          <w:sz w:val="20"/>
          <w:szCs w:val="20"/>
          <w14:textFill>
            <w14:solidFill>
              <w14:schemeClr w14:val="tx1"/>
            </w14:solidFill>
          </w14:textFill>
        </w:rPr>
        <w:t xml:space="preserve"> </w:t>
      </w:r>
      <w:r>
        <w:fldChar w:fldCharType="begin"/>
      </w:r>
      <w:r>
        <w:instrText xml:space="preserve"> HYPERLINK "mailto:leyu@tsinghua.edu.cn" </w:instrText>
      </w:r>
      <w:r>
        <w:fldChar w:fldCharType="separate"/>
      </w:r>
      <w:r>
        <w:rPr>
          <w:rStyle w:val="7"/>
          <w:rFonts w:ascii="Times New Roman" w:hAnsi="Times New Roman"/>
          <w:color w:val="00B0F0"/>
          <w:sz w:val="20"/>
          <w:szCs w:val="20"/>
        </w:rPr>
        <w:t>leyu@tsinghua.edu.cn</w:t>
      </w:r>
      <w:r>
        <w:rPr>
          <w:rStyle w:val="7"/>
          <w:rFonts w:ascii="Times New Roman" w:hAnsi="Times New Roman"/>
          <w:color w:val="00B0F0"/>
          <w:sz w:val="20"/>
          <w:szCs w:val="20"/>
        </w:rPr>
        <w:fldChar w:fldCharType="end"/>
      </w:r>
      <w:r>
        <w:rPr>
          <w:rFonts w:ascii="Times New Roman" w:hAnsi="Times New Roman"/>
          <w:color w:val="000000" w:themeColor="text1"/>
          <w:sz w:val="20"/>
          <w:szCs w:val="20"/>
          <w14:textFill>
            <w14:solidFill>
              <w14:schemeClr w14:val="tx1"/>
            </w14:solidFill>
          </w14:textFill>
        </w:rPr>
        <w:t>;</w:t>
      </w:r>
    </w:p>
    <w:p w14:paraId="6D068CEE">
      <w:pPr>
        <w:pStyle w:val="10"/>
        <w:pageBreakBefore/>
        <w:outlineLvl w:val="0"/>
      </w:pPr>
      <w:r>
        <w:rPr>
          <w:rFonts w:hint="eastAsia" w:cs="宋体"/>
        </w:rPr>
        <w:t>SUPPLEMENTARY FIGURES</w:t>
      </w:r>
    </w:p>
    <w:p w14:paraId="06B12A89">
      <w:pPr>
        <w:pStyle w:val="10"/>
        <w:outlineLvl w:val="9"/>
      </w:pPr>
      <w:r>
        <w:drawing>
          <wp:inline distT="0" distB="0" distL="114300" distR="114300">
            <wp:extent cx="5267325" cy="4257675"/>
            <wp:effectExtent l="0" t="0" r="9525" b="9525"/>
            <wp:docPr id="6" name="图片 1" descr="accuracy_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accuracy_mapping"/>
                    <pic:cNvPicPr>
                      <a:picLocks noChangeAspect="1"/>
                    </pic:cNvPicPr>
                  </pic:nvPicPr>
                  <pic:blipFill>
                    <a:blip r:embed="rId4"/>
                    <a:stretch>
                      <a:fillRect/>
                    </a:stretch>
                  </pic:blipFill>
                  <pic:spPr>
                    <a:xfrm>
                      <a:off x="0" y="0"/>
                      <a:ext cx="5267325" cy="4257675"/>
                    </a:xfrm>
                    <a:prstGeom prst="rect">
                      <a:avLst/>
                    </a:prstGeom>
                    <a:noFill/>
                    <a:ln>
                      <a:noFill/>
                    </a:ln>
                  </pic:spPr>
                </pic:pic>
              </a:graphicData>
            </a:graphic>
          </wp:inline>
        </w:drawing>
      </w:r>
    </w:p>
    <w:p w14:paraId="04A23C93">
      <w:pPr>
        <w:pStyle w:val="10"/>
        <w:outlineLvl w:val="9"/>
        <w:rPr>
          <w:b w:val="0"/>
          <w:bCs w:val="0"/>
          <w:szCs w:val="21"/>
        </w:rPr>
      </w:pPr>
      <w:r>
        <w:rPr>
          <w:rFonts w:hint="eastAsia"/>
          <w:szCs w:val="21"/>
        </w:rPr>
        <w:t>Supplementary Fig. 1</w:t>
      </w:r>
      <w:r>
        <w:rPr>
          <w:szCs w:val="21"/>
        </w:rPr>
        <w:t xml:space="preserve">. </w:t>
      </w:r>
      <w:r>
        <w:rPr>
          <w:rFonts w:hint="eastAsia"/>
          <w:szCs w:val="21"/>
        </w:rPr>
        <w:t>Accuracy assessment results of three sets of abandoned cropland products and their sample point distribution in China.</w:t>
      </w:r>
      <w:r>
        <w:rPr>
          <w:rFonts w:hint="eastAsia" w:cs="宋体"/>
          <w:szCs w:val="21"/>
        </w:rPr>
        <w:t xml:space="preserve"> </w:t>
      </w:r>
      <w:r>
        <w:rPr>
          <w:rFonts w:hint="eastAsia" w:cs="宋体"/>
          <w:b w:val="0"/>
          <w:bCs w:val="0"/>
          <w:szCs w:val="21"/>
        </w:rPr>
        <w:t>(The accuracy results of abandoned croplands derived from the China</w:t>
      </w:r>
      <w:r>
        <w:rPr>
          <w:rFonts w:cs="宋体"/>
          <w:b w:val="0"/>
          <w:bCs w:val="0"/>
          <w:szCs w:val="21"/>
        </w:rPr>
        <w:t>’</w:t>
      </w:r>
      <w:r>
        <w:rPr>
          <w:rFonts w:hint="eastAsia" w:cs="宋体"/>
          <w:b w:val="0"/>
          <w:bCs w:val="0"/>
          <w:szCs w:val="21"/>
        </w:rPr>
        <w:t>s Land Cover Dataset (CLCD) (</w:t>
      </w:r>
      <w:r>
        <w:rPr>
          <w:rFonts w:hint="eastAsia" w:cs="宋体"/>
          <w:szCs w:val="21"/>
        </w:rPr>
        <w:t>a</w:t>
      </w:r>
      <w:r>
        <w:rPr>
          <w:rFonts w:hint="eastAsia" w:cs="宋体"/>
          <w:b w:val="0"/>
          <w:bCs w:val="0"/>
          <w:szCs w:val="21"/>
        </w:rPr>
        <w:t>), China</w:t>
      </w:r>
      <w:r>
        <w:rPr>
          <w:rFonts w:cs="宋体"/>
          <w:b w:val="0"/>
          <w:bCs w:val="0"/>
          <w:szCs w:val="21"/>
        </w:rPr>
        <w:t>’</w:t>
      </w:r>
      <w:r>
        <w:rPr>
          <w:rFonts w:hint="eastAsia" w:cs="宋体"/>
          <w:b w:val="0"/>
          <w:bCs w:val="0"/>
          <w:szCs w:val="21"/>
        </w:rPr>
        <w:t>s Land-Use/cover Datasets-A (CLUD-A) (</w:t>
      </w:r>
      <w:r>
        <w:rPr>
          <w:rFonts w:hint="eastAsia" w:cs="宋体"/>
          <w:szCs w:val="21"/>
        </w:rPr>
        <w:t>b</w:t>
      </w:r>
      <w:r>
        <w:rPr>
          <w:rFonts w:hint="eastAsia" w:cs="宋体"/>
          <w:b w:val="0"/>
          <w:bCs w:val="0"/>
          <w:szCs w:val="21"/>
        </w:rPr>
        <w:t>), and China</w:t>
      </w:r>
      <w:r>
        <w:rPr>
          <w:rFonts w:cs="宋体"/>
          <w:b w:val="0"/>
          <w:bCs w:val="0"/>
          <w:szCs w:val="21"/>
        </w:rPr>
        <w:t>’</w:t>
      </w:r>
      <w:r>
        <w:rPr>
          <w:rFonts w:hint="eastAsia" w:cs="宋体"/>
          <w:b w:val="0"/>
          <w:bCs w:val="0"/>
          <w:szCs w:val="21"/>
        </w:rPr>
        <w:t>s Land Cover Dataset (CACD) (</w:t>
      </w:r>
      <w:r>
        <w:rPr>
          <w:rFonts w:hint="eastAsia" w:cs="宋体"/>
          <w:szCs w:val="21"/>
        </w:rPr>
        <w:t>c</w:t>
      </w:r>
      <w:r>
        <w:rPr>
          <w:rFonts w:hint="eastAsia" w:cs="宋体"/>
          <w:b w:val="0"/>
          <w:bCs w:val="0"/>
          <w:szCs w:val="21"/>
        </w:rPr>
        <w:t>).)</w:t>
      </w:r>
    </w:p>
    <w:p w14:paraId="2E7D969E">
      <w:pPr>
        <w:pStyle w:val="10"/>
        <w:outlineLvl w:val="9"/>
        <w:rPr>
          <w:b w:val="0"/>
          <w:bCs w:val="0"/>
          <w:szCs w:val="21"/>
        </w:rPr>
      </w:pPr>
      <w:r>
        <w:rPr>
          <w:b w:val="0"/>
          <w:szCs w:val="21"/>
        </w:rPr>
        <w:drawing>
          <wp:inline distT="0" distB="0" distL="114300" distR="114300">
            <wp:extent cx="5267325" cy="4086225"/>
            <wp:effectExtent l="0" t="0" r="9525" b="9525"/>
            <wp:docPr id="7" name="图片 7" descr="耕地撂荒时间与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耕地撂荒时间与面积"/>
                    <pic:cNvPicPr>
                      <a:picLocks noChangeAspect="1"/>
                    </pic:cNvPicPr>
                  </pic:nvPicPr>
                  <pic:blipFill>
                    <a:blip r:embed="rId5"/>
                    <a:stretch>
                      <a:fillRect/>
                    </a:stretch>
                  </pic:blipFill>
                  <pic:spPr>
                    <a:xfrm>
                      <a:off x="0" y="0"/>
                      <a:ext cx="5267325" cy="4086225"/>
                    </a:xfrm>
                    <a:prstGeom prst="rect">
                      <a:avLst/>
                    </a:prstGeom>
                    <a:noFill/>
                    <a:ln>
                      <a:noFill/>
                    </a:ln>
                  </pic:spPr>
                </pic:pic>
              </a:graphicData>
            </a:graphic>
          </wp:inline>
        </w:drawing>
      </w:r>
    </w:p>
    <w:p w14:paraId="685C51A7">
      <w:pPr>
        <w:pStyle w:val="10"/>
        <w:outlineLvl w:val="9"/>
        <w:rPr>
          <w:b w:val="0"/>
          <w:bCs w:val="0"/>
          <w:szCs w:val="21"/>
        </w:rPr>
      </w:pPr>
      <w:r>
        <w:rPr>
          <w:rFonts w:hint="eastAsia"/>
          <w:szCs w:val="21"/>
        </w:rPr>
        <w:t>Supplementary Fig. 2</w:t>
      </w:r>
      <w:r>
        <w:rPr>
          <w:szCs w:val="21"/>
        </w:rPr>
        <w:t xml:space="preserve">. </w:t>
      </w:r>
      <w:r>
        <w:rPr>
          <w:rFonts w:hint="eastAsia"/>
          <w:b w:val="0"/>
          <w:bCs w:val="0"/>
          <w:szCs w:val="21"/>
        </w:rPr>
        <w:t>Year of cropland abandonment in China. (We aggregated the abandoned land raster map with 30m to 1km resolution. The abandonment year serve as an crucial covariate of the machine learning model.)</w:t>
      </w:r>
    </w:p>
    <w:p w14:paraId="21C61F0A">
      <w:pPr>
        <w:pStyle w:val="10"/>
        <w:outlineLvl w:val="9"/>
        <w:rPr>
          <w:b w:val="0"/>
          <w:bCs w:val="0"/>
          <w:szCs w:val="21"/>
        </w:rPr>
      </w:pPr>
    </w:p>
    <w:p w14:paraId="0DAADD0C">
      <w:pPr>
        <w:pStyle w:val="10"/>
        <w:outlineLvl w:val="9"/>
        <w:rPr>
          <w:szCs w:val="21"/>
        </w:rPr>
      </w:pPr>
      <w:r>
        <w:rPr>
          <w:szCs w:val="21"/>
        </w:rPr>
        <w:drawing>
          <wp:inline distT="0" distB="0" distL="114300" distR="114300">
            <wp:extent cx="5267325" cy="4352925"/>
            <wp:effectExtent l="0" t="0" r="9525" b="9525"/>
            <wp:docPr id="8" name="图片 27" descr="Point_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Point_SOC"/>
                    <pic:cNvPicPr>
                      <a:picLocks noChangeAspect="1"/>
                    </pic:cNvPicPr>
                  </pic:nvPicPr>
                  <pic:blipFill>
                    <a:blip r:embed="rId6"/>
                    <a:stretch>
                      <a:fillRect/>
                    </a:stretch>
                  </pic:blipFill>
                  <pic:spPr>
                    <a:xfrm>
                      <a:off x="0" y="0"/>
                      <a:ext cx="5267325" cy="4352925"/>
                    </a:xfrm>
                    <a:prstGeom prst="rect">
                      <a:avLst/>
                    </a:prstGeom>
                    <a:noFill/>
                    <a:ln>
                      <a:noFill/>
                    </a:ln>
                  </pic:spPr>
                </pic:pic>
              </a:graphicData>
            </a:graphic>
          </wp:inline>
        </w:drawing>
      </w:r>
    </w:p>
    <w:p w14:paraId="34D5650C">
      <w:pPr>
        <w:pStyle w:val="10"/>
        <w:outlineLvl w:val="9"/>
        <w:rPr>
          <w:color w:val="auto"/>
          <w:szCs w:val="21"/>
        </w:rPr>
      </w:pPr>
      <w:r>
        <w:rPr>
          <w:rFonts w:hint="eastAsia"/>
          <w:szCs w:val="21"/>
        </w:rPr>
        <w:t>Supplementary Fig. 3</w:t>
      </w:r>
      <w:r>
        <w:rPr>
          <w:color w:val="auto"/>
          <w:szCs w:val="21"/>
        </w:rPr>
        <w:t xml:space="preserve">. </w:t>
      </w:r>
      <w:r>
        <w:rPr>
          <w:rFonts w:hint="eastAsia"/>
          <w:color w:val="auto"/>
          <w:szCs w:val="21"/>
        </w:rPr>
        <w:t xml:space="preserve">The distribution of </w:t>
      </w:r>
      <w:r>
        <w:rPr>
          <w:rFonts w:hint="eastAsia"/>
          <w:color w:val="auto"/>
        </w:rPr>
        <w:t xml:space="preserve">3502 soil organic carbon (SOC) empirical samples. </w:t>
      </w:r>
      <w:r>
        <w:rPr>
          <w:rFonts w:hint="eastAsia"/>
          <w:b w:val="0"/>
          <w:bCs w:val="0"/>
          <w:color w:val="auto"/>
        </w:rPr>
        <w:t>(Total soil organic carbon empirical samples distribution (</w:t>
      </w:r>
      <w:r>
        <w:rPr>
          <w:rFonts w:hint="eastAsia"/>
          <w:color w:val="auto"/>
        </w:rPr>
        <w:t>a</w:t>
      </w:r>
      <w:r>
        <w:rPr>
          <w:rFonts w:hint="eastAsia"/>
          <w:b w:val="0"/>
          <w:bCs w:val="0"/>
          <w:color w:val="auto"/>
        </w:rPr>
        <w:t>); Soil organic carbon empirical samples after afforestation (</w:t>
      </w:r>
      <w:r>
        <w:rPr>
          <w:rFonts w:hint="eastAsia"/>
          <w:color w:val="auto"/>
        </w:rPr>
        <w:t>b</w:t>
      </w:r>
      <w:r>
        <w:rPr>
          <w:rFonts w:hint="eastAsia"/>
          <w:b w:val="0"/>
          <w:bCs w:val="0"/>
          <w:color w:val="auto"/>
        </w:rPr>
        <w:t>); Soil organic carbon empirical samples after cropland abandonment (</w:t>
      </w:r>
      <w:r>
        <w:rPr>
          <w:rFonts w:hint="eastAsia"/>
          <w:color w:val="auto"/>
        </w:rPr>
        <w:t>c</w:t>
      </w:r>
      <w:r>
        <w:rPr>
          <w:rFonts w:hint="eastAsia"/>
          <w:b w:val="0"/>
          <w:bCs w:val="0"/>
          <w:color w:val="auto"/>
        </w:rPr>
        <w:t>); Soil organic carbon empirical samples in long-term cultivated cropland (</w:t>
      </w:r>
      <w:r>
        <w:rPr>
          <w:rFonts w:hint="eastAsia"/>
          <w:color w:val="auto"/>
        </w:rPr>
        <w:t>d</w:t>
      </w:r>
      <w:r>
        <w:rPr>
          <w:rFonts w:hint="eastAsia"/>
          <w:b w:val="0"/>
          <w:bCs w:val="0"/>
          <w:color w:val="auto"/>
        </w:rPr>
        <w:t>).)</w:t>
      </w:r>
    </w:p>
    <w:p w14:paraId="07A63659">
      <w:pPr>
        <w:pStyle w:val="10"/>
        <w:outlineLvl w:val="9"/>
        <w:rPr>
          <w:szCs w:val="21"/>
        </w:rPr>
      </w:pPr>
      <w:r>
        <w:drawing>
          <wp:inline distT="0" distB="0" distL="114300" distR="114300">
            <wp:extent cx="5267325" cy="4486275"/>
            <wp:effectExtent l="0" t="0" r="9525" b="9525"/>
            <wp:docPr id="9" name="图片 28" descr="Point_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Point_Bio"/>
                    <pic:cNvPicPr>
                      <a:picLocks noChangeAspect="1"/>
                    </pic:cNvPicPr>
                  </pic:nvPicPr>
                  <pic:blipFill>
                    <a:blip r:embed="rId7"/>
                    <a:stretch>
                      <a:fillRect/>
                    </a:stretch>
                  </pic:blipFill>
                  <pic:spPr>
                    <a:xfrm>
                      <a:off x="0" y="0"/>
                      <a:ext cx="5267325" cy="4486275"/>
                    </a:xfrm>
                    <a:prstGeom prst="rect">
                      <a:avLst/>
                    </a:prstGeom>
                    <a:noFill/>
                    <a:ln>
                      <a:noFill/>
                    </a:ln>
                  </pic:spPr>
                </pic:pic>
              </a:graphicData>
            </a:graphic>
          </wp:inline>
        </w:drawing>
      </w:r>
    </w:p>
    <w:p w14:paraId="40A2F309">
      <w:pPr>
        <w:pStyle w:val="10"/>
        <w:outlineLvl w:val="9"/>
        <w:rPr>
          <w:szCs w:val="21"/>
        </w:rPr>
      </w:pPr>
      <w:r>
        <w:rPr>
          <w:rFonts w:hint="eastAsia"/>
          <w:szCs w:val="21"/>
        </w:rPr>
        <w:t>Supplementary Fig. 4</w:t>
      </w:r>
      <w:r>
        <w:rPr>
          <w:szCs w:val="21"/>
        </w:rPr>
        <w:t xml:space="preserve">. </w:t>
      </w:r>
      <w:r>
        <w:rPr>
          <w:rFonts w:hint="eastAsia"/>
          <w:color w:val="auto"/>
          <w:szCs w:val="21"/>
        </w:rPr>
        <w:t xml:space="preserve">The distribution of </w:t>
      </w:r>
      <w:r>
        <w:rPr>
          <w:rFonts w:hint="eastAsia"/>
          <w:color w:val="auto"/>
        </w:rPr>
        <w:t xml:space="preserve">7316 biomass carbon empirical samples. </w:t>
      </w:r>
      <w:r>
        <w:rPr>
          <w:rFonts w:hint="eastAsia"/>
          <w:b w:val="0"/>
          <w:bCs w:val="0"/>
          <w:color w:val="auto"/>
        </w:rPr>
        <w:t>(Total biomass carbon empirical samples distribution (</w:t>
      </w:r>
      <w:r>
        <w:rPr>
          <w:rFonts w:hint="eastAsia"/>
          <w:color w:val="auto"/>
        </w:rPr>
        <w:t>a</w:t>
      </w:r>
      <w:r>
        <w:rPr>
          <w:rFonts w:hint="eastAsia"/>
          <w:b w:val="0"/>
          <w:bCs w:val="0"/>
          <w:color w:val="auto"/>
        </w:rPr>
        <w:t>); The biomass carbon empirical samples after afforestation (</w:t>
      </w:r>
      <w:r>
        <w:rPr>
          <w:rFonts w:hint="eastAsia"/>
          <w:color w:val="auto"/>
        </w:rPr>
        <w:t>b</w:t>
      </w:r>
      <w:r>
        <w:rPr>
          <w:rFonts w:hint="eastAsia"/>
          <w:b w:val="0"/>
          <w:bCs w:val="0"/>
          <w:color w:val="auto"/>
        </w:rPr>
        <w:t>); The biomass carbon empirical samples after cropland abandonment (</w:t>
      </w:r>
      <w:r>
        <w:rPr>
          <w:rFonts w:hint="eastAsia"/>
          <w:color w:val="auto"/>
        </w:rPr>
        <w:t>c</w:t>
      </w:r>
      <w:r>
        <w:rPr>
          <w:rFonts w:hint="eastAsia"/>
          <w:b w:val="0"/>
          <w:bCs w:val="0"/>
          <w:color w:val="auto"/>
        </w:rPr>
        <w:t>).)</w:t>
      </w:r>
    </w:p>
    <w:p w14:paraId="0A0C50E4">
      <w:pPr>
        <w:pStyle w:val="10"/>
        <w:outlineLvl w:val="9"/>
        <w:rPr>
          <w:szCs w:val="21"/>
        </w:rPr>
      </w:pPr>
      <w:r>
        <w:rPr>
          <w:szCs w:val="21"/>
        </w:rPr>
        <w:drawing>
          <wp:inline distT="0" distB="0" distL="114300" distR="114300">
            <wp:extent cx="5276850" cy="4143375"/>
            <wp:effectExtent l="0" t="0" r="0" b="9525"/>
            <wp:docPr id="3" name="图片 3" descr="randRorest_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andRorest_step"/>
                    <pic:cNvPicPr>
                      <a:picLocks noChangeAspect="1"/>
                    </pic:cNvPicPr>
                  </pic:nvPicPr>
                  <pic:blipFill>
                    <a:blip r:embed="rId8"/>
                    <a:stretch>
                      <a:fillRect/>
                    </a:stretch>
                  </pic:blipFill>
                  <pic:spPr>
                    <a:xfrm>
                      <a:off x="0" y="0"/>
                      <a:ext cx="5276850" cy="4143375"/>
                    </a:xfrm>
                    <a:prstGeom prst="rect">
                      <a:avLst/>
                    </a:prstGeom>
                    <a:noFill/>
                    <a:ln>
                      <a:noFill/>
                    </a:ln>
                  </pic:spPr>
                </pic:pic>
              </a:graphicData>
            </a:graphic>
          </wp:inline>
        </w:drawing>
      </w:r>
    </w:p>
    <w:p w14:paraId="48F0D35B">
      <w:pPr>
        <w:pStyle w:val="10"/>
        <w:outlineLvl w:val="9"/>
        <w:rPr>
          <w:szCs w:val="21"/>
        </w:rPr>
      </w:pPr>
      <w:r>
        <w:rPr>
          <w:rFonts w:hint="eastAsia"/>
          <w:szCs w:val="21"/>
        </w:rPr>
        <w:t xml:space="preserve">Supplementary Fig. </w:t>
      </w:r>
      <w:r>
        <w:rPr>
          <w:szCs w:val="21"/>
        </w:rPr>
        <w:t xml:space="preserve">5. </w:t>
      </w:r>
      <w:r>
        <w:rPr>
          <w:rFonts w:hint="eastAsia"/>
          <w:szCs w:val="21"/>
        </w:rPr>
        <w:t>The Mean Squared Error (MSE) and R² corresponding to the number of decision trees in the random forest model.</w:t>
      </w:r>
    </w:p>
    <w:p w14:paraId="49CFBC92">
      <w:pPr>
        <w:pStyle w:val="10"/>
        <w:outlineLvl w:val="9"/>
        <w:rPr>
          <w:szCs w:val="21"/>
        </w:rPr>
      </w:pPr>
      <w:r>
        <w:rPr>
          <w:szCs w:val="21"/>
        </w:rPr>
        <w:drawing>
          <wp:inline distT="0" distB="0" distL="114300" distR="114300">
            <wp:extent cx="5266055" cy="2609215"/>
            <wp:effectExtent l="0" t="0" r="10795" b="635"/>
            <wp:docPr id="2" name="图片 2" descr="随机森林精度特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随机森林精度特征"/>
                    <pic:cNvPicPr>
                      <a:picLocks noChangeAspect="1"/>
                    </pic:cNvPicPr>
                  </pic:nvPicPr>
                  <pic:blipFill>
                    <a:blip r:embed="rId9"/>
                    <a:stretch>
                      <a:fillRect/>
                    </a:stretch>
                  </pic:blipFill>
                  <pic:spPr>
                    <a:xfrm>
                      <a:off x="0" y="0"/>
                      <a:ext cx="5266055" cy="2609215"/>
                    </a:xfrm>
                    <a:prstGeom prst="rect">
                      <a:avLst/>
                    </a:prstGeom>
                  </pic:spPr>
                </pic:pic>
              </a:graphicData>
            </a:graphic>
          </wp:inline>
        </w:drawing>
      </w:r>
    </w:p>
    <w:p w14:paraId="5E8BAE65">
      <w:pPr>
        <w:pStyle w:val="10"/>
        <w:outlineLvl w:val="9"/>
        <w:rPr>
          <w:szCs w:val="21"/>
        </w:rPr>
      </w:pPr>
      <w:r>
        <w:rPr>
          <w:rFonts w:hint="eastAsia"/>
          <w:szCs w:val="21"/>
        </w:rPr>
        <w:t>Supplementary Fig. 6</w:t>
      </w:r>
      <w:r>
        <w:rPr>
          <w:szCs w:val="21"/>
        </w:rPr>
        <w:t xml:space="preserve">. </w:t>
      </w:r>
      <w:r>
        <w:rPr>
          <w:rFonts w:hint="eastAsia"/>
          <w:szCs w:val="21"/>
        </w:rPr>
        <w:t>The accuracy evaluation results for SOC and biomass carbon predicted models.</w:t>
      </w:r>
    </w:p>
    <w:p w14:paraId="775B1FF8">
      <w:pPr>
        <w:pStyle w:val="10"/>
        <w:outlineLvl w:val="9"/>
        <w:rPr>
          <w:szCs w:val="21"/>
        </w:rPr>
      </w:pPr>
    </w:p>
    <w:p w14:paraId="4D5A0DF3">
      <w:pPr>
        <w:pStyle w:val="10"/>
        <w:outlineLvl w:val="9"/>
      </w:pPr>
      <w:r>
        <w:rPr>
          <w:rFonts w:hint="eastAsia"/>
        </w:rPr>
        <w:drawing>
          <wp:inline distT="0" distB="0" distL="114300" distR="114300">
            <wp:extent cx="5273040" cy="4751070"/>
            <wp:effectExtent l="0" t="0" r="3810" b="11430"/>
            <wp:docPr id="1" name="图片 1" descr="gdf_uncertainty_with_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df_uncertainty_with_std"/>
                    <pic:cNvPicPr>
                      <a:picLocks noChangeAspect="1"/>
                    </pic:cNvPicPr>
                  </pic:nvPicPr>
                  <pic:blipFill>
                    <a:blip r:embed="rId10"/>
                    <a:stretch>
                      <a:fillRect/>
                    </a:stretch>
                  </pic:blipFill>
                  <pic:spPr>
                    <a:xfrm>
                      <a:off x="0" y="0"/>
                      <a:ext cx="5273040" cy="4751070"/>
                    </a:xfrm>
                    <a:prstGeom prst="rect">
                      <a:avLst/>
                    </a:prstGeom>
                  </pic:spPr>
                </pic:pic>
              </a:graphicData>
            </a:graphic>
          </wp:inline>
        </w:drawing>
      </w:r>
    </w:p>
    <w:p w14:paraId="73E68AC9">
      <w:pPr>
        <w:pStyle w:val="10"/>
        <w:outlineLvl w:val="9"/>
        <w:rPr>
          <w:szCs w:val="21"/>
        </w:rPr>
      </w:pPr>
      <w:r>
        <w:rPr>
          <w:rFonts w:hint="eastAsia"/>
          <w:szCs w:val="21"/>
        </w:rPr>
        <w:t xml:space="preserve">Supplementary Fig. 7. Uncertainty maps. </w:t>
      </w:r>
      <w:r>
        <w:rPr>
          <w:rFonts w:hint="eastAsia"/>
          <w:b w:val="0"/>
          <w:bCs w:val="0"/>
          <w:szCs w:val="21"/>
        </w:rPr>
        <w:t>(The uncertainty maps of soil organic carbon (SOC) under abandoned (</w:t>
      </w:r>
      <w:r>
        <w:rPr>
          <w:rFonts w:hint="eastAsia"/>
          <w:szCs w:val="21"/>
        </w:rPr>
        <w:t>a</w:t>
      </w:r>
      <w:r>
        <w:rPr>
          <w:rFonts w:hint="eastAsia"/>
          <w:b w:val="0"/>
          <w:bCs w:val="0"/>
          <w:szCs w:val="21"/>
        </w:rPr>
        <w:t>) and afforestation (</w:t>
      </w:r>
      <w:r>
        <w:rPr>
          <w:rFonts w:hint="eastAsia"/>
          <w:szCs w:val="21"/>
        </w:rPr>
        <w:t>b</w:t>
      </w:r>
      <w:r>
        <w:rPr>
          <w:rFonts w:hint="eastAsia"/>
          <w:b w:val="0"/>
          <w:bCs w:val="0"/>
          <w:szCs w:val="21"/>
        </w:rPr>
        <w:t>) scenarios, respectively; The uncertainty maps of biomass carbon under abandoned (</w:t>
      </w:r>
      <w:r>
        <w:rPr>
          <w:rFonts w:hint="eastAsia"/>
          <w:szCs w:val="21"/>
        </w:rPr>
        <w:t>c</w:t>
      </w:r>
      <w:r>
        <w:rPr>
          <w:rFonts w:hint="eastAsia"/>
          <w:b w:val="0"/>
          <w:bCs w:val="0"/>
          <w:szCs w:val="21"/>
        </w:rPr>
        <w:t>) and afforestation (</w:t>
      </w:r>
      <w:r>
        <w:rPr>
          <w:rFonts w:hint="eastAsia"/>
          <w:szCs w:val="21"/>
        </w:rPr>
        <w:t>d</w:t>
      </w:r>
      <w:r>
        <w:rPr>
          <w:rFonts w:hint="eastAsia"/>
          <w:b w:val="0"/>
          <w:bCs w:val="0"/>
          <w:szCs w:val="21"/>
        </w:rPr>
        <w:t>) scenarios).</w:t>
      </w:r>
    </w:p>
    <w:p w14:paraId="17961040">
      <w:pPr>
        <w:pStyle w:val="10"/>
        <w:outlineLvl w:val="9"/>
      </w:pPr>
    </w:p>
    <w:p w14:paraId="2DF89CF2">
      <w:pPr>
        <w:pStyle w:val="10"/>
        <w:outlineLvl w:val="9"/>
        <w:rPr>
          <w:color w:val="FF0000"/>
          <w:szCs w:val="21"/>
        </w:rPr>
      </w:pPr>
    </w:p>
    <w:p w14:paraId="07B15A15">
      <w:pPr>
        <w:pStyle w:val="10"/>
        <w:outlineLvl w:val="9"/>
        <w:rPr>
          <w:color w:val="FF0000"/>
          <w:szCs w:val="21"/>
        </w:rPr>
      </w:pPr>
    </w:p>
    <w:p w14:paraId="1D4C58BE">
      <w:pPr>
        <w:pStyle w:val="10"/>
        <w:pageBreakBefore/>
        <w:outlineLvl w:val="0"/>
        <w:rPr>
          <w:rFonts w:hint="eastAsia"/>
          <w:color w:val="auto"/>
          <w:szCs w:val="21"/>
        </w:rPr>
      </w:pPr>
      <w:r>
        <w:rPr>
          <w:rFonts w:hint="eastAsia"/>
          <w:color w:val="auto"/>
          <w:szCs w:val="21"/>
        </w:rPr>
        <w:t>Supplementary Tables</w:t>
      </w:r>
    </w:p>
    <w:tbl>
      <w:tblPr>
        <w:tblStyle w:val="4"/>
        <w:tblW w:w="47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2"/>
        <w:gridCol w:w="3480"/>
      </w:tblGrid>
      <w:tr w14:paraId="423D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00" w:type="pct"/>
            <w:gridSpan w:val="2"/>
            <w:shd w:val="clear" w:color="auto" w:fill="auto"/>
            <w:noWrap/>
            <w:vAlign w:val="center"/>
          </w:tcPr>
          <w:p w14:paraId="68B9FD74">
            <w:pPr>
              <w:adjustRightInd w:val="0"/>
              <w:snapToGrid w:val="0"/>
              <w:jc w:val="center"/>
              <w:rPr>
                <w:rFonts w:ascii="Times New Roman" w:hAnsi="Times New Roman" w:eastAsia="宋体" w:cs="Times New Roman"/>
                <w:lang w:bidi="ar"/>
              </w:rPr>
            </w:pPr>
            <w:r>
              <w:rPr>
                <w:rFonts w:ascii="Times New Roman" w:hAnsi="Times New Roman" w:eastAsia="宋体" w:cs="Times New Roman"/>
                <w:b/>
                <w:bCs/>
                <w:color w:val="000000"/>
                <w:szCs w:val="21"/>
                <w:lang w:bidi="ar"/>
              </w:rPr>
              <w:t>Supplementary Table</w:t>
            </w:r>
            <w:r>
              <w:rPr>
                <w:rFonts w:hint="eastAsia" w:ascii="Times New Roman" w:hAnsi="Times New Roman" w:eastAsia="宋体" w:cs="Times New Roman"/>
                <w:b/>
                <w:bCs/>
                <w:color w:val="000000"/>
                <w:szCs w:val="21"/>
                <w:lang w:bidi="ar"/>
              </w:rPr>
              <w:t xml:space="preserve"> 1</w:t>
            </w:r>
            <w:r>
              <w:rPr>
                <w:rFonts w:ascii="Times New Roman" w:hAnsi="Times New Roman" w:eastAsia="宋体" w:cs="Times New Roman"/>
                <w:b/>
                <w:bCs/>
                <w:color w:val="000000"/>
                <w:szCs w:val="21"/>
                <w:lang w:bidi="ar"/>
              </w:rPr>
              <w:t>. Environmental covariates used in the machine-learning model.</w:t>
            </w:r>
          </w:p>
        </w:tc>
      </w:tr>
      <w:tr w14:paraId="6F85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125E220E">
            <w:pPr>
              <w:adjustRightInd w:val="0"/>
              <w:snapToGrid w:val="0"/>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Covariate</w:t>
            </w:r>
          </w:p>
        </w:tc>
        <w:tc>
          <w:tcPr>
            <w:tcW w:w="2172" w:type="pct"/>
            <w:shd w:val="clear" w:color="auto" w:fill="auto"/>
            <w:noWrap/>
            <w:vAlign w:val="center"/>
          </w:tcPr>
          <w:p w14:paraId="322F5B92">
            <w:pPr>
              <w:adjustRightInd w:val="0"/>
              <w:snapToGrid w:val="0"/>
              <w:jc w:val="center"/>
              <w:rPr>
                <w:rFonts w:ascii="Times New Roman" w:hAnsi="Times New Roman" w:cs="Times New Roman"/>
              </w:rPr>
            </w:pPr>
            <w:r>
              <w:rPr>
                <w:rFonts w:ascii="Times New Roman" w:hAnsi="Times New Roman" w:eastAsia="宋体" w:cs="Times New Roman"/>
                <w:lang w:bidi="ar"/>
              </w:rPr>
              <w:t>Source</w:t>
            </w:r>
          </w:p>
        </w:tc>
      </w:tr>
      <w:tr w14:paraId="0A59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28" w:type="pct"/>
            <w:shd w:val="clear" w:color="auto" w:fill="auto"/>
            <w:vAlign w:val="center"/>
          </w:tcPr>
          <w:p w14:paraId="64BB10ED">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Elevation (m)</w:t>
            </w:r>
          </w:p>
        </w:tc>
        <w:tc>
          <w:tcPr>
            <w:tcW w:w="2172" w:type="pct"/>
            <w:shd w:val="clear" w:color="auto" w:fill="auto"/>
            <w:vAlign w:val="center"/>
          </w:tcPr>
          <w:p w14:paraId="04DB8CDB">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{"citationID":"3FCYIqAU","properties":{"formattedCitation":"\\super 1\\nosupersub{}","plainCitation":"1","noteIndex":0},"citationItems":[{"id":4225,"uris":["http://zotero.org/users/11120503/items/KAIJ6CN4"],"itemData":{"id":4225,"type":"report","language":"ENGLISH","title":"Global multi-resolution terrain elevation data 2010","URL":"https://pubs.usgs.gov/publication/ofr20111073","author":[{"family":"Jeffrey","given":"J. Danielson"},{"family":"Dean","given":"B. Gesch"}],"issued":{"date-parts":[["2011"]]}}}],"schema":"https://github.com/citation-style-language/schema/raw/master/csl-citation.json"}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1</w:t>
            </w:r>
            <w:r>
              <w:rPr>
                <w:rFonts w:ascii="Times New Roman" w:hAnsi="Times New Roman" w:cs="Times New Roman"/>
                <w:color w:val="000000"/>
                <w:szCs w:val="21"/>
                <w:lang w:bidi="ar"/>
              </w:rPr>
              <w:fldChar w:fldCharType="end"/>
            </w:r>
          </w:p>
        </w:tc>
      </w:tr>
      <w:tr w14:paraId="6E7B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vAlign w:val="center"/>
          </w:tcPr>
          <w:p w14:paraId="70967F54">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Slope (</w:t>
            </w:r>
            <w:r>
              <w:rPr>
                <w:rFonts w:hint="eastAsia" w:ascii="Times New Roman" w:hAnsi="Times New Roman" w:eastAsia="宋体" w:cs="Times New Roman"/>
                <w:color w:val="000000"/>
                <w:szCs w:val="21"/>
                <w:lang w:bidi="ar"/>
              </w:rPr>
              <w:t>°</w:t>
            </w:r>
            <w:r>
              <w:rPr>
                <w:rFonts w:ascii="Times New Roman" w:hAnsi="Times New Roman" w:eastAsia="宋体" w:cs="Times New Roman"/>
                <w:color w:val="000000"/>
                <w:szCs w:val="21"/>
                <w:lang w:bidi="ar"/>
              </w:rPr>
              <w:t>)</w:t>
            </w:r>
          </w:p>
        </w:tc>
        <w:tc>
          <w:tcPr>
            <w:tcW w:w="2172" w:type="pct"/>
            <w:shd w:val="clear" w:color="auto" w:fill="auto"/>
            <w:vAlign w:val="center"/>
          </w:tcPr>
          <w:p w14:paraId="359E5C95">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{"citationID":"54U4yENO","properties":{"formattedCitation":"\\super 1\\nosupersub{}","plainCitation":"1","noteIndex":0},"citationItems":[{"id":4225,"uris":["http://zotero.org/users/11120503/items/KAIJ6CN4"],"itemData":{"id":4225,"type":"report","language":"ENGLISH","title":"Global multi-resolution terrain elevation data 2010","URL":"https://pubs.usgs.gov/publication/ofr20111073","author":[{"family":"Jeffrey","given":"J. Danielson"},{"family":"Dean","given":"B. Gesch"}],"issued":{"date-parts":[["2011"]]}}}],"schema":"https://github.com/citation-style-language/schema/raw/master/csl-citation.json"}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1</w:t>
            </w:r>
            <w:r>
              <w:rPr>
                <w:rFonts w:ascii="Times New Roman" w:hAnsi="Times New Roman" w:cs="Times New Roman"/>
                <w:color w:val="000000"/>
                <w:szCs w:val="21"/>
                <w:lang w:bidi="ar"/>
              </w:rPr>
              <w:fldChar w:fldCharType="end"/>
            </w:r>
          </w:p>
        </w:tc>
      </w:tr>
      <w:tr w14:paraId="07E3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vAlign w:val="center"/>
          </w:tcPr>
          <w:p w14:paraId="7F842477">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Aspect</w:t>
            </w:r>
          </w:p>
        </w:tc>
        <w:tc>
          <w:tcPr>
            <w:tcW w:w="2172" w:type="pct"/>
            <w:shd w:val="clear" w:color="auto" w:fill="auto"/>
            <w:vAlign w:val="center"/>
          </w:tcPr>
          <w:p w14:paraId="0DE99A28">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{"citationID":"tJJIocka","properties":{"formattedCitation":"\\super 1\\nosupersub{}","plainCitation":"1","noteIndex":0},"citationItems":[{"id":4225,"uris":["http://zotero.org/users/11120503/items/KAIJ6CN4"],"itemData":{"id":4225,"type":"report","language":"ENGLISH","title":"Global multi-resolution terrain elevation data 2010","URL":"https://pubs.usgs.gov/publication/ofr20111073","author":[{"family":"Jeffrey","given":"J. Danielson"},{"family":"Dean","given":"B. Gesch"}],"issued":{"date-parts":[["2011"]]}}}],"schema":"https://github.com/citation-style-language/schema/raw/master/csl-citation.json"}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1</w:t>
            </w:r>
            <w:r>
              <w:rPr>
                <w:rFonts w:ascii="Times New Roman" w:hAnsi="Times New Roman" w:cs="Times New Roman"/>
                <w:color w:val="000000"/>
                <w:szCs w:val="21"/>
                <w:lang w:bidi="ar"/>
              </w:rPr>
              <w:fldChar w:fldCharType="end"/>
            </w:r>
          </w:p>
        </w:tc>
      </w:tr>
      <w:tr w14:paraId="46E4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4005F228">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NHx Deposition</w:t>
            </w:r>
          </w:p>
        </w:tc>
        <w:tc>
          <w:tcPr>
            <w:tcW w:w="2172" w:type="pct"/>
            <w:shd w:val="clear" w:color="auto" w:fill="auto"/>
            <w:noWrap/>
            <w:vAlign w:val="center"/>
          </w:tcPr>
          <w:p w14:paraId="7A7BCE52">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{"citationID":"8b7HlkIh","properties":{"formattedCitation":"\\super 2\\nosupersub{}","plainCitation":"2","noteIndex":0},"citationItems":[{"id":4227,"uris":["http://zotero.org/users/11120503/items/GPFVMRC9"],"itemData":{"id":4227,"type":"article-journal","abstract":"Abstract. We present and discuss a new dataset of gridded emissions covering the historical period (1850–2000) in decadal increments at a horizontal resolution of 0.5° in latitude and longitude. The primary purpose of this inventory is to provide consistent gridded emissions of reactive gases and aerosols for use in chemistry model simulations needed by climate models for the Climate Model Intercomparison Program #5 (CMIP5) in support of the Intergovernmental Panel on Climate Change (IPCC) Fifth Assessment report (AR5). Our best estimate for the year 2000 inventory represents a combination of existing regional and global inventories to capture the best information available at this point; 40 regions and 12 sectors are used to combine the various sources. The historical reconstruction of each emitted compound, for each region and sector, is then forced to agree with our 2000 estimate, ensuring continuity between past and 2000 emissions. Simulations from two chemistry-climate models are used to test the ability of the emission dataset described here to capture long-term changes in atmospheric ozone, carbon monoxide and aerosol distributions. The simulated long-term change in the Northern mid-latitudes surface and mid-troposphere ozone is not quite as rapid as observed. However, stations outside this latitude band show much better agreement in both present-day and long-term trend. The model simulations indicate that the concentration of carbon monoxide is underestimated at the Mace Head station; however, the long-term trend over the limited observational period seems to be reasonably well captured. The simulated sulfate and black carbon deposition over Greenland is in very good agreement with the ice-core observations spanning the simulation period. Finally, aerosol optical depth and additional aerosol diagnostics are shown to be in good agreement with previously published estimates and observations.","container-title":"Atmospheric Chemistry and Physics","DOI":"10.5194/acp-10-7017-2010","ISSN":"1680-7324","issue":"15","journalAbbreviation":"Atmos. Chem. Phys.","language":"en","license":"https://creativecommons.org/licenses/by/3.0/","page":"7017-7039","source":"DOI.org (Crossref)","title":"Historical (1850–2000) gridded anthropogenic and biomass burning emissions of reactive gases and aerosols: methodology and application","title-short":"Historical (1850–2000) gridded anthropogenic and biomass burning emissions of reactive gases and aerosols","volume":"10","author":[{"family":"Lamarque","given":"J.-F."},{"family":"Bond","given":"T. C."},{"family":"Eyring","given":"V."},{"family":"Granier","given":"C."},{"family":"Heil","given":"A."},{"family":"Klimont","given":"Z."},{"family":"Lee","given":"D."},{"family":"Liousse","given":"C."},{"family":"Mieville","given":"A."},{"family":"Owen","given":"B."},{"family":"Schultz","given":"M. G."},{"family":"Shindell","given":"D."},{"family":"Smith","given":"S. J."},{"family":"Stehfest","given":"E."},{"family":"Van Aardenne","given":"J."},{"family":"Cooper","given":"O. R."},{"family":"Kainuma","given":"M."},{"family":"Mahowald","given":"N."},{"family":"McConnell","given":"J. R."},{"family":"Naik","given":"V."},{"family":"Riahi","given":"K."},{"family":"Van Vuuren","given":"D. P."}],"issued":{"date-parts":[["2010",8,3]]}}}],"schema":"https://github.com/citation-style-language/schema/raw/master/csl-citation.json"}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2</w:t>
            </w:r>
            <w:r>
              <w:rPr>
                <w:rFonts w:ascii="Times New Roman" w:hAnsi="Times New Roman" w:cs="Times New Roman"/>
                <w:color w:val="000000"/>
                <w:szCs w:val="21"/>
                <w:lang w:bidi="ar"/>
              </w:rPr>
              <w:fldChar w:fldCharType="end"/>
            </w:r>
          </w:p>
        </w:tc>
      </w:tr>
      <w:tr w14:paraId="0D85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710745AE">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Annual mean temperature (</w:t>
            </w:r>
            <w:r>
              <w:rPr>
                <w:rFonts w:hint="eastAsia" w:ascii="Times New Roman" w:hAnsi="Times New Roman" w:eastAsia="宋体" w:cs="Times New Roman"/>
                <w:color w:val="000000"/>
                <w:szCs w:val="21"/>
                <w:lang w:bidi="ar"/>
              </w:rPr>
              <w:t>℃</w:t>
            </w:r>
            <w:r>
              <w:rPr>
                <w:rFonts w:ascii="Times New Roman" w:hAnsi="Times New Roman" w:eastAsia="宋体" w:cs="Times New Roman"/>
                <w:color w:val="000000"/>
                <w:szCs w:val="21"/>
                <w:lang w:bidi="ar"/>
              </w:rPr>
              <w:t>)</w:t>
            </w:r>
          </w:p>
        </w:tc>
        <w:tc>
          <w:tcPr>
            <w:tcW w:w="2172" w:type="pct"/>
            <w:shd w:val="clear" w:color="auto" w:fill="auto"/>
            <w:noWrap/>
            <w:vAlign w:val="center"/>
          </w:tcPr>
          <w:p w14:paraId="70EDD048">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{"citationID":"rEDKmfBB","properties":{"formattedCitation":"\\super 3\\nosupersub{}","plainCitation":"3","noteIndex":0},"citationItems":[{"id":4228,"uris":["http://zotero.org/users/11120503/items/BNNNIAGW"],"itemData":{"id":4228,"type":"entry-encyclopedia","title":"Annual spatially interpolated dataset of meteorological elements in China","URL":"http://www.resdc.cn/DOI","author":[{"family":"Xinliang","given":"Xu"}],"issued":{"date-parts":[["2022"]]}}}],"schema":"https://github.com/citation-style-language/schema/raw/master/csl-citation.json"}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3</w:t>
            </w:r>
            <w:r>
              <w:rPr>
                <w:rFonts w:ascii="Times New Roman" w:hAnsi="Times New Roman" w:cs="Times New Roman"/>
                <w:color w:val="000000"/>
                <w:szCs w:val="21"/>
                <w:lang w:bidi="ar"/>
              </w:rPr>
              <w:fldChar w:fldCharType="end"/>
            </w:r>
          </w:p>
        </w:tc>
      </w:tr>
      <w:tr w14:paraId="406C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3785D268">
            <w:pPr>
              <w:adjustRightInd w:val="0"/>
              <w:snapToGrid w:val="0"/>
              <w:jc w:val="center"/>
              <w:rPr>
                <w:rFonts w:hint="eastAsia" w:ascii="Times New Roman" w:hAnsi="Times New Roman" w:cs="Times New Roman"/>
                <w:color w:val="000000"/>
                <w:szCs w:val="21"/>
                <w:lang w:bidi="ar"/>
              </w:rPr>
            </w:pPr>
            <w:r>
              <w:rPr>
                <w:rFonts w:ascii="Times New Roman" w:hAnsi="Times New Roman" w:eastAsia="宋体" w:cs="Times New Roman"/>
                <w:color w:val="000000"/>
                <w:szCs w:val="21"/>
                <w:lang w:bidi="ar"/>
              </w:rPr>
              <w:t xml:space="preserve">Annual precipitation </w:t>
            </w:r>
            <w:r>
              <w:rPr>
                <w:rFonts w:hint="eastAsia" w:ascii="Times New Roman" w:hAnsi="Times New Roman" w:eastAsia="宋体" w:cs="Times New Roman"/>
                <w:color w:val="000000"/>
                <w:szCs w:val="21"/>
                <w:lang w:bidi="ar"/>
              </w:rPr>
              <w:t>(</w:t>
            </w:r>
            <w:r>
              <w:rPr>
                <w:rFonts w:ascii="Times New Roman" w:hAnsi="Times New Roman" w:eastAsia="宋体" w:cs="Times New Roman"/>
                <w:color w:val="000000"/>
                <w:szCs w:val="21"/>
                <w:lang w:bidi="ar"/>
              </w:rPr>
              <w:t>mm)</w:t>
            </w:r>
          </w:p>
        </w:tc>
        <w:tc>
          <w:tcPr>
            <w:tcW w:w="2172" w:type="pct"/>
            <w:shd w:val="clear" w:color="auto" w:fill="auto"/>
            <w:noWrap/>
            <w:vAlign w:val="center"/>
          </w:tcPr>
          <w:p w14:paraId="07D4C05A">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{"citationID":"KIYygjwV","properties":{"formattedCitation":"\\super 3\\nosupersub{}","plainCitation":"3","noteIndex":0},"citationItems":[{"id":4228,"uris":["http://zotero.org/users/11120503/items/BNNNIAGW"],"itemData":{"id":4228,"type":"entry-encyclopedia","title":"Annual spatially interpolated dataset of meteorological elements in China","URL":"http://www.resdc.cn/DOI","author":[{"family":"Xinliang","given":"Xu"}],"issued":{"date-parts":[["2022"]]}}}],"schema":"https://github.com/citation-style-language/schema/raw/master/csl-citation.json"}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3</w:t>
            </w:r>
            <w:r>
              <w:rPr>
                <w:rFonts w:ascii="Times New Roman" w:hAnsi="Times New Roman" w:cs="Times New Roman"/>
                <w:color w:val="000000"/>
                <w:szCs w:val="21"/>
                <w:lang w:bidi="ar"/>
              </w:rPr>
              <w:fldChar w:fldCharType="end"/>
            </w:r>
          </w:p>
        </w:tc>
      </w:tr>
      <w:tr w14:paraId="6992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2631375B">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CO</w:t>
            </w:r>
            <w:r>
              <w:rPr>
                <w:rFonts w:ascii="Times New Roman" w:hAnsi="Times New Roman" w:eastAsia="宋体" w:cs="Times New Roman"/>
                <w:color w:val="000000"/>
                <w:szCs w:val="21"/>
                <w:vertAlign w:val="subscript"/>
                <w:lang w:bidi="ar"/>
              </w:rPr>
              <w:t xml:space="preserve">2 </w:t>
            </w:r>
            <w:r>
              <w:rPr>
                <w:rFonts w:ascii="Times New Roman" w:hAnsi="Times New Roman" w:eastAsia="宋体" w:cs="Times New Roman"/>
                <w:color w:val="000000"/>
                <w:szCs w:val="21"/>
                <w:lang w:bidi="ar"/>
              </w:rPr>
              <w:t>Deposition</w:t>
            </w:r>
          </w:p>
        </w:tc>
        <w:tc>
          <w:tcPr>
            <w:tcW w:w="2172" w:type="pct"/>
            <w:shd w:val="clear" w:color="auto" w:fill="auto"/>
            <w:noWrap/>
            <w:vAlign w:val="center"/>
          </w:tcPr>
          <w:p w14:paraId="61D9350A">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{"citationID":"wFQsJCQc","properties":{"formattedCitation":"\\super 4\\nosupersub{}","plainCitation":"4","noteIndex":0},"citationItems":[{"id":4234,"uris":["http://zotero.org/users/11120503/items/C7XRURH6"],"itemData":{"id":4234,"type":"article-journal","abstract":"Abstract\n            \n              Increases in atmospheric carbon dioxide (CO\n              2\n              ) concentrations is the main driver of global warming due to fossil fuel combustion. Satellite observations provide continuous global CO\n              2\n              retrieval products, that reveal the nonuniform distributions of atmospheric CO\n              2\n              concentrations. However, climate simulation studies are almost based on a globally uniform mean or latitudinally resolved CO\n              2\n              concentrations assumption. In this study, we reconstructed the historical global monthly distributions of atmospheric CO\n              2\n              concentrations with 1° resolution from 1850 to 2013 which are based on the historical monthly and latitudinally resolved CO\n              2\n              concentrations accounting longitudinal features retrieved from fossil-fuel CO\n              2\n              emissions from Carbon Dioxide Information Analysis Center. And the spatial distributions of nonuniform CO\n              2\n              under Shared Socio-economic Pathways and Representative Concentration Pathways scenarios were generated based on the spatial, seasonal and interannual scales of the current CO\n              2\n              concentrations from 2015 to 2150. Including the heterogenous CO\n              2\n              distributions could enhance the realism of global climate modeling, to better anticipate the potential socio-economic implications, adaptation practices, and mitigation of climate change.","container-title":"Scientific Data","DOI":"10.1038/s41597-022-01196-7","ISSN":"2052-4463","issue":"1","journalAbbreviation":"Sci Data","language":"en","page":"83","source":"DOI.org (Crossref)","title":"Global monthly gridded atmospheric carbon dioxide concentrations under the historical and future scenarios","volume":"9","author":[{"family":"Cheng","given":"Wei"},{"family":"Dan","given":"Li"},{"family":"Deng","given":"Xiangzheng"},{"family":"Feng","given":"Jinming"},{"family":"Wang","given":"Yongli"},{"family":"Peng","given":"Jing"},{"family":"Tian","given":"Jing"},{"family":"Qi","given":"Wei"},{"family":"Liu","given":"Zhu"},{"family":"Zheng","given":"Xinqi"},{"family":"Zhou","given":"Demin"},{"family":"Jiang","given":"Sijian"},{"family":"Zhao","given":"Haipeng"},{"family":"Wang","given":"Xiaoyu"}],"issued":{"date-parts":[["2022",3,11]]}}}],"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4</w:t>
            </w:r>
            <w:r>
              <w:rPr>
                <w:rFonts w:ascii="Times New Roman" w:hAnsi="Times New Roman" w:cs="Times New Roman"/>
                <w:color w:val="000000"/>
                <w:szCs w:val="21"/>
                <w:lang w:bidi="ar"/>
              </w:rPr>
              <w:fldChar w:fldCharType="end"/>
            </w:r>
          </w:p>
        </w:tc>
      </w:tr>
      <w:tr w14:paraId="146F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5CD56B73">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Soil Water Content (%)</w:t>
            </w:r>
          </w:p>
        </w:tc>
        <w:tc>
          <w:tcPr>
            <w:tcW w:w="2172" w:type="pct"/>
            <w:shd w:val="clear" w:color="auto" w:fill="auto"/>
            <w:noWrap/>
            <w:vAlign w:val="center"/>
          </w:tcPr>
          <w:p w14:paraId="3D2E69D1">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{"citationID":"ntHfUQIT","properties":{"formattedCitation":"\\super 5\\nosupersub{}","plainCitation":"5","noteIndex":0},"citationItems":[{"id":4235,"uris":["http://zotero.org/users/11120503/items/BNCDYQPD"],"itemData":{"id":4235,"type":"dataset","DOI":"https://doi.org/10.5281/zenodo.2784001","genre":"Zenodo","title":"Soil water content (volumetric %) for 33kPa and 1500kPa suctions predicted at 6 standard depths (0, 10, 30, 60, 100 and 200 cm) at 250 m resolution","author":[{"family":"Tomislav","given":"Hengl"},{"family":"Surya","given":"Gupta"}],"issued":{"date-parts":[["2019"]]}}}],"schema":"https://github.com/citation-style-language/schema/raw/master/csl-citation.json"}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5</w:t>
            </w:r>
            <w:r>
              <w:rPr>
                <w:rFonts w:ascii="Times New Roman" w:hAnsi="Times New Roman" w:cs="Times New Roman"/>
                <w:color w:val="000000"/>
                <w:szCs w:val="21"/>
                <w:lang w:bidi="ar"/>
              </w:rPr>
              <w:fldChar w:fldCharType="end"/>
            </w:r>
          </w:p>
        </w:tc>
      </w:tr>
      <w:tr w14:paraId="402B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36C8BBA6">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Sand Content (kg / kg)</w:t>
            </w:r>
          </w:p>
        </w:tc>
        <w:tc>
          <w:tcPr>
            <w:tcW w:w="2172" w:type="pct"/>
            <w:shd w:val="clear" w:color="auto" w:fill="auto"/>
            <w:noWrap/>
            <w:vAlign w:val="center"/>
          </w:tcPr>
          <w:p w14:paraId="73B9F923">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{"citationID":"Fmp2xdJo","properties":{"formattedCitation":"\\super 5\\nosupersub{}","plainCitation":"5","noteIndex":0},"citationItems":[{"id":4235,"uris":["http://zotero.org/users/11120503/items/BNCDYQPD"],"itemData":{"id":4235,"type":"dataset","DOI":"https://doi.org/10.5281/zenodo.2784001","genre":"Zenodo","title":"Soil water content (volumetric %) for 33kPa and 1500kPa suctions predicted at 6 standard depths (0, 10, 30, 60, 100 and 200 cm) at 250 m resolution","author":[{"family":"Tomislav","given":"Hengl"},{"family":"Surya","given":"Gupta"}],"issued":{"date-parts":[["2019"]]}}}],"schema":"https://github.com/citation-style-language/schema/raw/master/csl-citation.json"}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5</w:t>
            </w:r>
            <w:r>
              <w:rPr>
                <w:rFonts w:ascii="Times New Roman" w:hAnsi="Times New Roman" w:cs="Times New Roman"/>
                <w:color w:val="000000"/>
                <w:szCs w:val="21"/>
                <w:lang w:bidi="ar"/>
              </w:rPr>
              <w:fldChar w:fldCharType="end"/>
            </w:r>
          </w:p>
        </w:tc>
      </w:tr>
      <w:tr w14:paraId="585E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3ACE16AD">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Soil Bulk (kg/m^3)</w:t>
            </w:r>
          </w:p>
        </w:tc>
        <w:tc>
          <w:tcPr>
            <w:tcW w:w="2172" w:type="pct"/>
            <w:shd w:val="clear" w:color="auto" w:fill="auto"/>
            <w:noWrap/>
            <w:vAlign w:val="center"/>
          </w:tcPr>
          <w:p w14:paraId="1AAD2170">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{"citationID":"qFML0FWb","properties":{"formattedCitation":"\\super 5\\nosupersub{}","plainCitation":"5","noteIndex":0},"citationItems":[{"id":4235,"uris":["http://zotero.org/users/11120503/items/BNCDYQPD"],"itemData":{"id":4235,"type":"dataset","DOI":"https://doi.org/10.5281/zenodo.2784001","genre":"Zenodo","title":"Soil water content (volumetric %) for 33kPa and 1500kPa suctions predicted at 6 standard depths (0, 10, 30, 60, 100 and 200 cm) at 250 m resolution","author":[{"family":"Tomislav","given":"Hengl"},{"family":"Surya","given":"Gupta"}],"issued":{"date-parts":[["2019"]]}}}],"schema":"https://github.com/citation-style-language/schema/raw/master/csl-citation.json"}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5</w:t>
            </w:r>
            <w:r>
              <w:rPr>
                <w:rFonts w:ascii="Times New Roman" w:hAnsi="Times New Roman" w:cs="Times New Roman"/>
                <w:color w:val="000000"/>
                <w:szCs w:val="21"/>
                <w:lang w:bidi="ar"/>
              </w:rPr>
              <w:fldChar w:fldCharType="end"/>
            </w:r>
          </w:p>
        </w:tc>
      </w:tr>
      <w:tr w14:paraId="35DB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2D6181BC">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Soil_PH (Soil pH in H2O)</w:t>
            </w:r>
          </w:p>
        </w:tc>
        <w:tc>
          <w:tcPr>
            <w:tcW w:w="2172" w:type="pct"/>
            <w:shd w:val="clear" w:color="auto" w:fill="auto"/>
            <w:noWrap/>
            <w:vAlign w:val="center"/>
          </w:tcPr>
          <w:p w14:paraId="5368F711">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{"citationID":"8LsUsTfM","properties":{"formattedCitation":"\\super 5\\nosupersub{}","plainCitation":"5","noteIndex":0},"citationItems":[{"id":4235,"uris":["http://zotero.org/users/11120503/items/BNCDYQPD"],"itemData":{"id":4235,"type":"dataset","DOI":"https://doi.org/10.5281/zenodo.2784001","genre":"Zenodo","title":"Soil water content (volumetric %) for 33kPa and 1500kPa suctions predicted at 6 standard depths (0, 10, 30, 60, 100 and 200 cm) at 250 m resolution","author":[{"family":"Tomislav","given":"Hengl"},{"family":"Surya","given":"Gupta"}],"issued":{"date-parts":[["2019"]]}}}],"schema":"https://github.com/citation-style-language/schema/raw/master/csl-citation.json"}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5</w:t>
            </w:r>
            <w:r>
              <w:rPr>
                <w:rFonts w:ascii="Times New Roman" w:hAnsi="Times New Roman" w:cs="Times New Roman"/>
                <w:color w:val="000000"/>
                <w:szCs w:val="21"/>
                <w:lang w:bidi="ar"/>
              </w:rPr>
              <w:fldChar w:fldCharType="end"/>
            </w:r>
          </w:p>
        </w:tc>
      </w:tr>
      <w:tr w14:paraId="5F73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18416BFC">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Soil Type</w:t>
            </w:r>
          </w:p>
        </w:tc>
        <w:tc>
          <w:tcPr>
            <w:tcW w:w="2172" w:type="pct"/>
            <w:shd w:val="clear" w:color="auto" w:fill="auto"/>
            <w:noWrap/>
            <w:vAlign w:val="center"/>
          </w:tcPr>
          <w:p w14:paraId="453E845C">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{"citationID":"LQoNPykh","properties":{"formattedCitation":"\\super 6\\nosupersub{}","plainCitation":"6","noteIndex":0},"citationItems":[{"id":4239,"uris":["http://zotero.org/users/11120503/items/49RLWARY"],"itemData":{"id":4239,"type":"article-journal","abstract":"Soil classification systems are not consistent among countries or organizations thereby hindering the communication and organizational functions they are intended to promote. The development of translations between systems will be critical for overcoming the gap in understanding that has resulted from the lack of a single internationally accepted classification system. This paper describes the application of a process that resulted in the translation of the Genetic Soil Classification of China (GSCC) to Soil Taxonomy (ST). A brief history of soil classification in China is also provided to familiarize readers with GSCC and its origins. Genetic Soil Classification of China is the attribute base for the recently assembled digital form of the 1:1 000 000 soil map of The People’s Republic of China. The translation between GSCC and ST was based on profile, chemical, and physical descriptions of 2540 soil series. First, the 2540 soil series were classified to their equivalent soil order, suborder, great group, and subgroup according to ST and GSCC subgroup descriptors. Order names for both classification systems were then linked to corresponding map units in the 1:1 000 000 digital soil map of China using a geographic information system (GIS). Differences in classification criteria and in the number of orders of the two systems (there are more GSCC orders than ST orders) meant that each GSCC order could possibly be assigned to more than one ST order. To resolve the differences, the percent correspondence in area between orders was determined and used as the criterion for assigning GSCC orders to ST orders. Some percentages of correspondence were low so additional processing was used to improve the assignment process. The GSCC suborders were then matched with ST orders. When the area for each order was summarized, the percentage of correspondence increased except for two subgroups in the Ferrasols order.","container-title":"Soil Science Society of America Journal","DOI"</w:instrText>
            </w:r>
            <w:r>
              <w:rPr>
                <w:rFonts w:hint="eastAsia" w:ascii="Times New Roman" w:hAnsi="Times New Roman" w:cs="Times New Roman"/>
                <w:color w:val="000000"/>
                <w:szCs w:val="21"/>
                <w:lang w:bidi="ar"/>
              </w:rPr>
              <w:instrText xml:space="preserve">:"10.2136/sssaj2004.0318","ISSN":"0361-5995, 1435-0661","issue":"1","journalAbbreviation":"Soil Science Soc of Amer J","language":"en","page":"78-83","source":"DOI.org (Crossref)","title":"Cross‐Reference System for Translating Between Genetic Soil Classi</w:instrText>
            </w:r>
            <w:r>
              <w:rPr>
                <w:rFonts w:ascii="Times New Roman" w:hAnsi="Times New Roman" w:cs="Times New Roman"/>
                <w:color w:val="000000"/>
                <w:szCs w:val="21"/>
                <w:lang w:bidi="ar"/>
              </w:rPr>
              <w:instrText xml:space="preserve">fication of China and Soil Taxonomy","volume":"70","author":[{"family":"Shi","given":"X. Z."},{"family":"Yu","given":"D. S."},{"family":"Warner","given":"E. D."},{"family":"Sun","given":"W. X."},{"family":"Petersen","given":"G. W."},{"family":"Gong","given":"Z. T."},{"family":"Lin","given":"H."}],"issued":{"date-parts":[["2006",1]]}}}],"schema":"https://github.com/citation-style-language/schema/raw/master/csl-citation.json"}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6</w:t>
            </w:r>
            <w:r>
              <w:rPr>
                <w:rFonts w:ascii="Times New Roman" w:hAnsi="Times New Roman" w:cs="Times New Roman"/>
                <w:color w:val="000000"/>
                <w:szCs w:val="21"/>
                <w:lang w:bidi="ar"/>
              </w:rPr>
              <w:fldChar w:fldCharType="end"/>
            </w:r>
          </w:p>
        </w:tc>
      </w:tr>
      <w:tr w14:paraId="5C18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4384993F">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Depth to Bedrock (cm)</w:t>
            </w:r>
          </w:p>
        </w:tc>
        <w:tc>
          <w:tcPr>
            <w:tcW w:w="2172" w:type="pct"/>
            <w:shd w:val="clear" w:color="auto" w:fill="auto"/>
            <w:noWrap/>
            <w:vAlign w:val="center"/>
          </w:tcPr>
          <w:p w14:paraId="00A1BE14">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{"citationID":"sIKVzu8W","properties":{"formattedCitation":"\\super 7\\nosupersub{}","plainCitation":"7","noteIndex":0},"citationItems":[{"id":4237,"uris":["http://zotero.org/users/11120503/items/5557HJBR"],"itemData":{"id":4237,"type":"article-journal","abstract":"Abstract\n            Depth to bedrock influences or controls many of the Earth’s physical and chemical processes. It plays important roles in soil science, geology, hydrology, land surface processes, civil engineering, and other related fields. However, information about depth to bedrock in China is very deficient, and there is no independent map of depth to bedrock in China currently. This paper describes the materials and methods to produce high-resolution (100 m) depth-to-bedrock maps of China. For different research and application needs, two sets of data are provided for users. One is the prediction by the ensemble of the random forests and gradient boosting tree models, and the other is the prediction and the uncertainty of prediction based on quantile regression forests model. In comparison with depth-to-bedrock maps of China extracted from previous global predictions, our predictions showed higher accuracy and more spatial details. These data sets can provide more accurate information for Earth system research compared with previous depth-to-bedrock maps.","container-title":"Scientific Data","DOI":"10.1038/s41597-019-0345-6","ISSN":"2052-4463","issue":"1","journalAbbreviation":"Sci Data","language":"en","page":"2","source":"DOI.org (Crossref)","title":"Depth-to-bedrock map of China at a spatial resolution of 100 meters","volume":"7","author":[{"family":"Yan","given":"Fapeng"},{"family":"Shangguan","given":"Wei"},{"family":"Zhang","given":"Jing"},{"family":"Hu","given":"Bifeng"}],"issued":{"date-parts":[["2020",1,3]]}}}],"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7</w:t>
            </w:r>
            <w:r>
              <w:rPr>
                <w:rFonts w:ascii="Times New Roman" w:hAnsi="Times New Roman" w:cs="Times New Roman"/>
                <w:color w:val="000000"/>
                <w:szCs w:val="21"/>
                <w:lang w:bidi="ar"/>
              </w:rPr>
              <w:fldChar w:fldCharType="end"/>
            </w:r>
          </w:p>
        </w:tc>
      </w:tr>
      <w:tr w14:paraId="3646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272E59E5">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Average Wind Speed (M/s)</w:t>
            </w:r>
          </w:p>
        </w:tc>
        <w:tc>
          <w:tcPr>
            <w:tcW w:w="2172" w:type="pct"/>
            <w:shd w:val="clear" w:color="auto" w:fill="auto"/>
            <w:noWrap/>
            <w:vAlign w:val="center"/>
          </w:tcPr>
          <w:p w14:paraId="51EA2335">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{"citationID":"ZFRkJr8E","properties":{"formattedCitation":"\\super 8\\nosupersub{}","plainCitation":"8","noteIndex":0},"citationItems":[{"id":4241,"uris":["http://zotero.org/users/11120503/items/WGY6XAPW"],"itemData":{"id":4241,"type":"article-journal","abstract":"The latest Coupled Model Intercomparison Project Phase 6 (CMIP6) proposes new shared pathways (SSPs) that incorporate socioeconomic development with more comprehensive and scientific experimental designs; however, few studies have been performed on the projection of future multibasin hydrological changes in China based on CMIP6 models. In this paper, we use the Equidistant Cumulative Distribution Function method (EDCDFm) to perform downscaling and bias correction in daily precipitation, daily maximum temperature, and daily minimum temperature for six CMIP6 models based on the historical gridded data from the high-resolution China Meteorological Forcing Dataset (CMFD). We use the bias-corrected precipitation, temperature, and daily mean wind speed to drive the variable infiltration capacity (VIC) hydrological model, and study the changes in multiyear average annual precipitation, annual evapotranspiration and total annual runoff depth relative to the historical baseline period (1985–2014) for the Chinese mainland, basins and grid scales in the 21st century future under the SSP2-4.5 and SSP5-8.5 scenarios. The study shows that the VIC model accurately simulates runoff in major Chinese basins; the model data accuracy improves substantially after downscaling bias correction; and the future multimodel-mean multiyear average annual precipitation, annual evapotranspiration, and total annual runoff depth for the Chinese mainland and each basin increase relative to the historical period in near future (2020–2049) and far future (2070–2099) under the SSP2-4.5 and SSP5-8.5 scenarios. The new CMIP6-based results of this paper can provide a strong reference for extreme event prevention, water resource utilization and management in China in the 21st century.","container-title":"Science China Earth Sciences","DOI":"10.1007/s11430-022-1055-5","ISSN":"1674-7313, 1869-1897","issue":"3","journalAbbreviation":"Sci. China Earth Sci.","language":"en","page":"528-546","source":"DOI.org (Crossref)","title":"Projection of China’s future runoff based on the CMIP6 mid-high warming scenarios","volume":"66","author":[{"family":"Zhou","given":"Jiayue"},{"family":"Lu","given":"Hui"},{"family":"Yang","given":"Kun"},{"family":"Jiang","given":"Ruijie"},{"family":"Yang","given":"Yuan"},{"family":"Wang","given":"Wei"},{"family":"Zhang","given":"Xuejun"}],"issued":{"date-parts":[["2023",3]]}}}],"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8</w:t>
            </w:r>
            <w:r>
              <w:rPr>
                <w:rFonts w:ascii="Times New Roman" w:hAnsi="Times New Roman" w:cs="Times New Roman"/>
                <w:color w:val="000000"/>
                <w:szCs w:val="21"/>
                <w:lang w:bidi="ar"/>
              </w:rPr>
              <w:fldChar w:fldCharType="end"/>
            </w:r>
          </w:p>
        </w:tc>
      </w:tr>
      <w:tr w14:paraId="3B58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435492AD">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Relative Humidity (%)</w:t>
            </w:r>
          </w:p>
        </w:tc>
        <w:tc>
          <w:tcPr>
            <w:tcW w:w="2172" w:type="pct"/>
            <w:shd w:val="clear" w:color="auto" w:fill="auto"/>
            <w:noWrap/>
            <w:vAlign w:val="center"/>
          </w:tcPr>
          <w:p w14:paraId="42CC5D92">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{"citationID":"rgWq1M8v","properties":{"formattedCitation":"\\super 5\\nosupersub{}","plainCitation":"5","noteIndex":0},"citationItems":[{"id":4235,"uris":["http://zotero.org/users/11120503/items/BNCDYQPD"],"itemData":{"id":4235,"type":"dataset","DOI":"https://doi.org/10.5281/zenodo.2784001","genre":"Zenodo","title":"Soil water content (volumetric %) for 33kPa and 1500kPa suctions predicted at 6 standard depths (0, 10, 30, 60, 100 and 200 cm) at 250 m resolution","author":[{"family":"Tomislav","given":"Hengl"},{"family":"Surya","given":"Gupta"}],"issued":{"date-parts":[["2019"]]}}}],"schema":"https://github.com/citation-style-language/schema/raw/master/csl-citation.json"}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5</w:t>
            </w:r>
            <w:r>
              <w:rPr>
                <w:rFonts w:ascii="Times New Roman" w:hAnsi="Times New Roman" w:cs="Times New Roman"/>
                <w:color w:val="000000"/>
                <w:szCs w:val="21"/>
                <w:lang w:bidi="ar"/>
              </w:rPr>
              <w:fldChar w:fldCharType="end"/>
            </w:r>
          </w:p>
        </w:tc>
      </w:tr>
      <w:tr w14:paraId="66D9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32CE2CFB">
            <w:pPr>
              <w:adjustRightInd w:val="0"/>
              <w:snapToGrid w:val="0"/>
              <w:jc w:val="center"/>
              <w:rPr>
                <w:rFonts w:ascii="Times New Roman" w:hAnsi="Times New Roman" w:eastAsia="宋体" w:cs="Times New Roman"/>
                <w:color w:val="000000"/>
                <w:szCs w:val="21"/>
                <w:lang w:bidi="ar"/>
              </w:rPr>
            </w:pPr>
            <w:r>
              <w:rPr>
                <w:rFonts w:ascii="Times New Roman" w:hAnsi="Times New Roman" w:eastAsia="宋体" w:cs="Times New Roman"/>
                <w:color w:val="000000"/>
                <w:szCs w:val="21"/>
                <w:lang w:bidi="ar"/>
              </w:rPr>
              <w:t>Restoration type (1 abandonment; 2 afforestation)</w:t>
            </w:r>
          </w:p>
        </w:tc>
        <w:tc>
          <w:tcPr>
            <w:tcW w:w="2172" w:type="pct"/>
            <w:shd w:val="clear" w:color="auto" w:fill="auto"/>
            <w:noWrap/>
            <w:vAlign w:val="center"/>
          </w:tcPr>
          <w:p w14:paraId="2AA0689C">
            <w:pPr>
              <w:adjustRightInd w:val="0"/>
              <w:snapToGrid w:val="0"/>
              <w:jc w:val="center"/>
              <w:rPr>
                <w:rFonts w:hint="eastAsia" w:ascii="Times New Roman" w:hAnsi="Times New Roman" w:cs="Times New Roman"/>
                <w:color w:val="000000"/>
                <w:szCs w:val="21"/>
                <w:lang w:bidi="ar"/>
              </w:rPr>
            </w:pPr>
            <w:r>
              <w:rPr>
                <w:rFonts w:hint="eastAsia" w:ascii="Times New Roman" w:hAnsi="Times New Roman" w:cs="Times New Roman"/>
                <w:color w:val="000000"/>
                <w:szCs w:val="21"/>
                <w:lang w:bidi="ar"/>
              </w:rPr>
              <w:t>-</w:t>
            </w:r>
          </w:p>
        </w:tc>
      </w:tr>
      <w:tr w14:paraId="2109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828" w:type="pct"/>
            <w:shd w:val="clear" w:color="auto" w:fill="auto"/>
            <w:noWrap/>
            <w:vAlign w:val="center"/>
          </w:tcPr>
          <w:p w14:paraId="6C548658">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Stand ages (Years)</w:t>
            </w:r>
          </w:p>
        </w:tc>
        <w:tc>
          <w:tcPr>
            <w:tcW w:w="2172" w:type="pct"/>
            <w:shd w:val="clear" w:color="auto" w:fill="auto"/>
            <w:noWrap/>
            <w:vAlign w:val="center"/>
          </w:tcPr>
          <w:p w14:paraId="3B812F80">
            <w:pPr>
              <w:adjustRightInd w:val="0"/>
              <w:snapToGrid w:val="0"/>
              <w:jc w:val="center"/>
              <w:rPr>
                <w:rFonts w:ascii="Times New Roman" w:hAnsi="Times New Roman" w:cs="Times New Roman"/>
                <w:color w:val="000000"/>
                <w:szCs w:val="21"/>
                <w:lang w:bidi="ar"/>
              </w:rPr>
            </w:pPr>
            <w:r>
              <w:rPr>
                <w:rFonts w:hint="eastAsia" w:ascii="Times New Roman" w:hAnsi="Times New Roman" w:cs="Times New Roman"/>
                <w:color w:val="000000"/>
                <w:szCs w:val="21"/>
                <w:lang w:bidi="ar"/>
              </w:rPr>
              <w:t>-</w:t>
            </w:r>
          </w:p>
        </w:tc>
      </w:tr>
    </w:tbl>
    <w:p w14:paraId="61712BBA">
      <w:pPr>
        <w:pStyle w:val="10"/>
        <w:outlineLvl w:val="9"/>
        <w:rPr>
          <w:color w:val="FF0000"/>
          <w:szCs w:val="21"/>
        </w:rPr>
      </w:pP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6"/>
        <w:gridCol w:w="3756"/>
      </w:tblGrid>
      <w:tr w14:paraId="11D0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00" w:type="pct"/>
            <w:gridSpan w:val="2"/>
            <w:shd w:val="clear" w:color="auto" w:fill="auto"/>
            <w:noWrap/>
            <w:vAlign w:val="center"/>
          </w:tcPr>
          <w:p w14:paraId="0C297059">
            <w:pPr>
              <w:adjustRightInd w:val="0"/>
              <w:snapToGrid w:val="0"/>
              <w:rPr>
                <w:rFonts w:ascii="Times New Roman" w:hAnsi="Times New Roman" w:cs="Times New Roman"/>
              </w:rPr>
            </w:pPr>
            <w:r>
              <w:rPr>
                <w:rFonts w:ascii="Times New Roman" w:hAnsi="Times New Roman" w:eastAsia="宋体" w:cs="Times New Roman"/>
                <w:b/>
                <w:bCs/>
                <w:color w:val="000000"/>
                <w:szCs w:val="21"/>
                <w:lang w:bidi="ar"/>
              </w:rPr>
              <w:t>Supplementary Table</w:t>
            </w:r>
            <w:r>
              <w:rPr>
                <w:rFonts w:hint="eastAsia" w:ascii="Times New Roman" w:hAnsi="Times New Roman" w:eastAsia="宋体" w:cs="Times New Roman"/>
                <w:b/>
                <w:bCs/>
                <w:color w:val="000000"/>
                <w:szCs w:val="21"/>
                <w:lang w:bidi="ar"/>
              </w:rPr>
              <w:t xml:space="preserve"> 2</w:t>
            </w:r>
            <w:r>
              <w:rPr>
                <w:rFonts w:ascii="Times New Roman" w:hAnsi="Times New Roman" w:eastAsia="宋体" w:cs="Times New Roman"/>
                <w:b/>
                <w:bCs/>
                <w:color w:val="000000"/>
                <w:szCs w:val="21"/>
                <w:lang w:bidi="ar"/>
              </w:rPr>
              <w:t xml:space="preserve">. Afforestation </w:t>
            </w:r>
            <w:r>
              <w:rPr>
                <w:rFonts w:hint="eastAsia" w:ascii="Times New Roman" w:hAnsi="Times New Roman" w:eastAsia="宋体" w:cs="Times New Roman"/>
                <w:b/>
                <w:bCs/>
                <w:color w:val="000000"/>
                <w:szCs w:val="21"/>
                <w:lang w:bidi="ar"/>
              </w:rPr>
              <w:t>s</w:t>
            </w:r>
            <w:r>
              <w:rPr>
                <w:rFonts w:ascii="Times New Roman" w:hAnsi="Times New Roman" w:eastAsia="宋体" w:cs="Times New Roman"/>
                <w:b/>
                <w:bCs/>
                <w:color w:val="000000"/>
                <w:szCs w:val="21"/>
                <w:lang w:bidi="ar"/>
              </w:rPr>
              <w:t xml:space="preserve">ubsidies in </w:t>
            </w:r>
            <w:r>
              <w:rPr>
                <w:rFonts w:hint="eastAsia" w:ascii="Times New Roman" w:hAnsi="Times New Roman" w:eastAsia="宋体" w:cs="Times New Roman"/>
                <w:b/>
                <w:bCs/>
                <w:color w:val="000000"/>
                <w:szCs w:val="21"/>
                <w:lang w:bidi="ar"/>
              </w:rPr>
              <w:t>d</w:t>
            </w:r>
            <w:r>
              <w:rPr>
                <w:rFonts w:ascii="Times New Roman" w:hAnsi="Times New Roman" w:eastAsia="宋体" w:cs="Times New Roman"/>
                <w:b/>
                <w:bCs/>
                <w:color w:val="000000"/>
                <w:szCs w:val="21"/>
                <w:lang w:bidi="ar"/>
              </w:rPr>
              <w:t xml:space="preserve">ifferent </w:t>
            </w:r>
            <w:r>
              <w:rPr>
                <w:rFonts w:hint="eastAsia" w:ascii="Times New Roman" w:hAnsi="Times New Roman" w:eastAsia="宋体" w:cs="Times New Roman"/>
                <w:b/>
                <w:bCs/>
                <w:color w:val="000000"/>
                <w:szCs w:val="21"/>
                <w:lang w:bidi="ar"/>
              </w:rPr>
              <w:t>g</w:t>
            </w:r>
            <w:r>
              <w:rPr>
                <w:rFonts w:ascii="Times New Roman" w:hAnsi="Times New Roman" w:eastAsia="宋体" w:cs="Times New Roman"/>
                <w:b/>
                <w:bCs/>
                <w:color w:val="000000"/>
                <w:szCs w:val="21"/>
                <w:lang w:bidi="ar"/>
              </w:rPr>
              <w:t xml:space="preserve">eographical </w:t>
            </w:r>
            <w:r>
              <w:rPr>
                <w:rFonts w:hint="eastAsia" w:ascii="Times New Roman" w:hAnsi="Times New Roman" w:eastAsia="宋体" w:cs="Times New Roman"/>
                <w:b/>
                <w:bCs/>
                <w:color w:val="000000"/>
                <w:szCs w:val="21"/>
                <w:lang w:bidi="ar"/>
              </w:rPr>
              <w:t>r</w:t>
            </w:r>
            <w:r>
              <w:rPr>
                <w:rFonts w:ascii="Times New Roman" w:hAnsi="Times New Roman" w:eastAsia="宋体" w:cs="Times New Roman"/>
                <w:b/>
                <w:bCs/>
                <w:color w:val="000000"/>
                <w:szCs w:val="21"/>
                <w:lang w:bidi="ar"/>
              </w:rPr>
              <w:t>egions.</w:t>
            </w:r>
            <w:r>
              <w:rPr>
                <w:rFonts w:ascii="Times New Roman" w:hAnsi="Times New Roman" w:eastAsia="宋体" w:cs="Times New Roman"/>
                <w:color w:val="000000"/>
                <w:szCs w:val="21"/>
                <w:lang w:bidi="ar"/>
              </w:rPr>
              <w:t xml:space="preserve"> </w:t>
            </w:r>
          </w:p>
        </w:tc>
      </w:tr>
      <w:tr w14:paraId="3454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796" w:type="pct"/>
            <w:shd w:val="clear" w:color="auto" w:fill="auto"/>
            <w:noWrap/>
            <w:vAlign w:val="center"/>
          </w:tcPr>
          <w:p w14:paraId="2749C69E">
            <w:pPr>
              <w:adjustRightInd w:val="0"/>
              <w:snapToGrid w:val="0"/>
              <w:jc w:val="center"/>
              <w:rPr>
                <w:rFonts w:ascii="Times New Roman" w:hAnsi="Times New Roman" w:cs="Times New Roman"/>
                <w:color w:val="000000"/>
                <w:szCs w:val="21"/>
              </w:rPr>
            </w:pPr>
            <w:r>
              <w:rPr>
                <w:rFonts w:ascii="Times New Roman" w:hAnsi="Times New Roman" w:eastAsia="宋体" w:cs="Times New Roman"/>
                <w:color w:val="000000"/>
                <w:szCs w:val="21"/>
                <w:lang w:bidi="ar"/>
              </w:rPr>
              <w:t>Regions</w:t>
            </w:r>
          </w:p>
        </w:tc>
        <w:tc>
          <w:tcPr>
            <w:tcW w:w="2203" w:type="pct"/>
            <w:shd w:val="clear" w:color="auto" w:fill="auto"/>
            <w:noWrap/>
            <w:vAlign w:val="center"/>
          </w:tcPr>
          <w:p w14:paraId="3D91EE5B">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Subsidy (USD/ha)</w:t>
            </w:r>
          </w:p>
        </w:tc>
      </w:tr>
      <w:tr w14:paraId="7920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796" w:type="pct"/>
            <w:shd w:val="clear" w:color="auto" w:fill="auto"/>
            <w:noWrap/>
            <w:vAlign w:val="center"/>
          </w:tcPr>
          <w:p w14:paraId="464950D9">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Northeast China</w:t>
            </w:r>
          </w:p>
        </w:tc>
        <w:tc>
          <w:tcPr>
            <w:tcW w:w="2203" w:type="pct"/>
            <w:shd w:val="clear" w:color="auto" w:fill="auto"/>
            <w:noWrap/>
            <w:vAlign w:val="center"/>
          </w:tcPr>
          <w:p w14:paraId="10A41A6C">
            <w:pPr>
              <w:adjustRightInd w:val="0"/>
              <w:snapToGrid w:val="0"/>
              <w:jc w:val="center"/>
              <w:rPr>
                <w:rFonts w:ascii="Times New Roman" w:hAnsi="Times New Roman" w:cs="Times New Roman"/>
                <w:color w:val="000000"/>
                <w:szCs w:val="21"/>
                <w:lang w:bidi="ar"/>
              </w:rPr>
            </w:pPr>
            <w:bookmarkStart w:id="0" w:name="_GoBack"/>
            <w:bookmarkEnd w:id="0"/>
            <w:r>
              <w:rPr>
                <w:rFonts w:ascii="Times New Roman" w:hAnsi="Times New Roman" w:eastAsia="宋体" w:cs="Times New Roman"/>
                <w:color w:val="000000"/>
                <w:szCs w:val="21"/>
                <w:lang w:bidi="ar"/>
              </w:rPr>
              <w:t>2721.70</w:t>
            </w:r>
          </w:p>
        </w:tc>
      </w:tr>
      <w:tr w14:paraId="5CAA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796" w:type="pct"/>
            <w:shd w:val="clear" w:color="auto" w:fill="auto"/>
            <w:noWrap/>
            <w:vAlign w:val="center"/>
          </w:tcPr>
          <w:p w14:paraId="3ACD1705">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North China</w:t>
            </w:r>
          </w:p>
        </w:tc>
        <w:tc>
          <w:tcPr>
            <w:tcW w:w="2203" w:type="pct"/>
            <w:shd w:val="clear" w:color="auto" w:fill="auto"/>
            <w:noWrap/>
            <w:vAlign w:val="center"/>
          </w:tcPr>
          <w:p w14:paraId="601DFE18">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2548.75</w:t>
            </w:r>
          </w:p>
        </w:tc>
      </w:tr>
      <w:tr w14:paraId="30A0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796" w:type="pct"/>
            <w:shd w:val="clear" w:color="auto" w:fill="auto"/>
            <w:noWrap/>
            <w:vAlign w:val="center"/>
          </w:tcPr>
          <w:p w14:paraId="28D4BACB">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East China</w:t>
            </w:r>
          </w:p>
        </w:tc>
        <w:tc>
          <w:tcPr>
            <w:tcW w:w="2203" w:type="pct"/>
            <w:shd w:val="clear" w:color="auto" w:fill="auto"/>
            <w:noWrap/>
            <w:vAlign w:val="center"/>
          </w:tcPr>
          <w:p w14:paraId="65145E8F">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2698.24</w:t>
            </w:r>
          </w:p>
        </w:tc>
      </w:tr>
      <w:tr w14:paraId="13CC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796" w:type="pct"/>
            <w:shd w:val="clear" w:color="auto" w:fill="auto"/>
            <w:noWrap/>
            <w:vAlign w:val="center"/>
          </w:tcPr>
          <w:p w14:paraId="16B0C51A">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Northwest China</w:t>
            </w:r>
          </w:p>
        </w:tc>
        <w:tc>
          <w:tcPr>
            <w:tcW w:w="2203" w:type="pct"/>
            <w:shd w:val="clear" w:color="auto" w:fill="auto"/>
            <w:noWrap/>
            <w:vAlign w:val="center"/>
          </w:tcPr>
          <w:p w14:paraId="43AD6652">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2720.40</w:t>
            </w:r>
          </w:p>
        </w:tc>
      </w:tr>
      <w:tr w14:paraId="6285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796" w:type="pct"/>
            <w:shd w:val="clear" w:color="auto" w:fill="auto"/>
            <w:noWrap/>
            <w:vAlign w:val="center"/>
          </w:tcPr>
          <w:p w14:paraId="7401A0FD">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Southwest China</w:t>
            </w:r>
          </w:p>
        </w:tc>
        <w:tc>
          <w:tcPr>
            <w:tcW w:w="2203" w:type="pct"/>
            <w:shd w:val="clear" w:color="auto" w:fill="auto"/>
            <w:noWrap/>
            <w:vAlign w:val="center"/>
          </w:tcPr>
          <w:p w14:paraId="3C4BD7A5">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2849.00</w:t>
            </w:r>
          </w:p>
        </w:tc>
      </w:tr>
      <w:tr w14:paraId="124A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796" w:type="pct"/>
            <w:shd w:val="clear" w:color="auto" w:fill="auto"/>
            <w:noWrap/>
            <w:vAlign w:val="center"/>
          </w:tcPr>
          <w:p w14:paraId="65DD24E8">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 xml:space="preserve"> Central South China</w:t>
            </w:r>
          </w:p>
        </w:tc>
        <w:tc>
          <w:tcPr>
            <w:tcW w:w="2203" w:type="pct"/>
            <w:shd w:val="clear" w:color="auto" w:fill="auto"/>
            <w:noWrap/>
            <w:vAlign w:val="center"/>
          </w:tcPr>
          <w:p w14:paraId="71EB5045">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2728.74</w:t>
            </w:r>
          </w:p>
        </w:tc>
      </w:tr>
      <w:tr w14:paraId="3C13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796" w:type="pct"/>
            <w:shd w:val="clear" w:color="auto" w:fill="auto"/>
            <w:noWrap/>
            <w:vAlign w:val="center"/>
          </w:tcPr>
          <w:p w14:paraId="1D6E3F39">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Average</w:t>
            </w:r>
          </w:p>
        </w:tc>
        <w:tc>
          <w:tcPr>
            <w:tcW w:w="2203" w:type="pct"/>
            <w:shd w:val="clear" w:color="auto" w:fill="auto"/>
            <w:noWrap/>
            <w:vAlign w:val="center"/>
          </w:tcPr>
          <w:p w14:paraId="4F828DE5">
            <w:pPr>
              <w:adjustRightInd w:val="0"/>
              <w:snapToGrid w:val="0"/>
              <w:jc w:val="center"/>
              <w:rPr>
                <w:rFonts w:ascii="Times New Roman" w:hAnsi="Times New Roman" w:cs="Times New Roman"/>
                <w:color w:val="000000"/>
                <w:szCs w:val="21"/>
                <w:lang w:bidi="ar"/>
              </w:rPr>
            </w:pPr>
            <w:r>
              <w:rPr>
                <w:rFonts w:ascii="Times New Roman" w:hAnsi="Times New Roman" w:eastAsia="宋体" w:cs="Times New Roman"/>
                <w:color w:val="000000"/>
                <w:szCs w:val="21"/>
                <w:lang w:bidi="ar"/>
              </w:rPr>
              <w:t>2711.14</w:t>
            </w:r>
          </w:p>
        </w:tc>
      </w:tr>
    </w:tbl>
    <w:p w14:paraId="5B53C5B9">
      <w:pPr>
        <w:pStyle w:val="10"/>
        <w:outlineLvl w:val="9"/>
        <w:rPr>
          <w:color w:val="FF0000"/>
          <w:szCs w:val="21"/>
        </w:rPr>
      </w:pP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643"/>
        <w:gridCol w:w="1938"/>
        <w:gridCol w:w="4281"/>
      </w:tblGrid>
      <w:tr w14:paraId="2FD2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00" w:type="pct"/>
            <w:gridSpan w:val="4"/>
            <w:shd w:val="clear" w:color="auto" w:fill="auto"/>
            <w:noWrap/>
            <w:vAlign w:val="center"/>
          </w:tcPr>
          <w:p w14:paraId="3D58F42E">
            <w:pPr>
              <w:adjustRightInd w:val="0"/>
              <w:snapToGrid w:val="0"/>
              <w:rPr>
                <w:rFonts w:ascii="Times New Roman" w:hAnsi="Times New Roman" w:cs="Times New Roman"/>
                <w:b/>
                <w:bCs/>
                <w:color w:val="000000"/>
                <w:szCs w:val="21"/>
                <w:lang w:bidi="ar"/>
              </w:rPr>
            </w:pPr>
            <w:r>
              <w:rPr>
                <w:rFonts w:ascii="Times New Roman" w:hAnsi="Times New Roman" w:eastAsia="宋体" w:cs="Times New Roman"/>
                <w:b/>
                <w:bCs/>
                <w:color w:val="000000"/>
                <w:szCs w:val="21"/>
                <w:lang w:bidi="ar"/>
              </w:rPr>
              <w:t>Supplementary Tables</w:t>
            </w:r>
            <w:r>
              <w:rPr>
                <w:rFonts w:hint="eastAsia" w:ascii="Times New Roman" w:hAnsi="Times New Roman" w:eastAsia="宋体" w:cs="Times New Roman"/>
                <w:b/>
                <w:bCs/>
                <w:color w:val="000000"/>
                <w:szCs w:val="21"/>
                <w:lang w:bidi="ar"/>
              </w:rPr>
              <w:t xml:space="preserve"> 3</w:t>
            </w:r>
            <w:r>
              <w:rPr>
                <w:rFonts w:ascii="Times New Roman" w:hAnsi="Times New Roman" w:eastAsia="宋体" w:cs="Times New Roman"/>
                <w:b/>
                <w:bCs/>
                <w:color w:val="000000"/>
                <w:szCs w:val="21"/>
                <w:lang w:bidi="ar"/>
              </w:rPr>
              <w:t xml:space="preserve">. </w:t>
            </w:r>
            <w:r>
              <w:rPr>
                <w:rFonts w:hint="eastAsia" w:ascii="Times New Roman" w:hAnsi="Times New Roman" w:eastAsia="宋体" w:cs="Times New Roman"/>
                <w:b/>
                <w:bCs/>
                <w:color w:val="000000"/>
                <w:szCs w:val="21"/>
                <w:lang w:bidi="ar"/>
              </w:rPr>
              <w:t>The cases s</w:t>
            </w:r>
            <w:r>
              <w:rPr>
                <w:rFonts w:ascii="Times New Roman" w:hAnsi="Times New Roman" w:eastAsia="宋体" w:cs="Times New Roman"/>
                <w:b/>
                <w:bCs/>
                <w:color w:val="000000"/>
                <w:szCs w:val="21"/>
                <w:lang w:bidi="ar"/>
              </w:rPr>
              <w:t>tud</w:t>
            </w:r>
            <w:r>
              <w:rPr>
                <w:rFonts w:hint="eastAsia" w:ascii="Times New Roman" w:hAnsi="Times New Roman" w:eastAsia="宋体" w:cs="Times New Roman"/>
                <w:b/>
                <w:bCs/>
                <w:color w:val="000000"/>
                <w:szCs w:val="21"/>
                <w:lang w:bidi="ar"/>
              </w:rPr>
              <w:t>y</w:t>
            </w:r>
            <w:r>
              <w:rPr>
                <w:rFonts w:ascii="Times New Roman" w:hAnsi="Times New Roman" w:eastAsia="宋体" w:cs="Times New Roman"/>
                <w:b/>
                <w:bCs/>
                <w:color w:val="000000"/>
                <w:szCs w:val="21"/>
                <w:lang w:bidi="ar"/>
              </w:rPr>
              <w:t xml:space="preserve"> </w:t>
            </w:r>
            <w:r>
              <w:rPr>
                <w:rFonts w:hint="eastAsia" w:ascii="Times New Roman" w:hAnsi="Times New Roman" w:eastAsia="宋体" w:cs="Times New Roman"/>
                <w:b/>
                <w:bCs/>
                <w:color w:val="000000"/>
                <w:szCs w:val="21"/>
                <w:lang w:bidi="ar"/>
              </w:rPr>
              <w:t xml:space="preserve">distinguishing between </w:t>
            </w:r>
            <w:r>
              <w:rPr>
                <w:rFonts w:ascii="Times New Roman" w:hAnsi="Times New Roman" w:eastAsia="宋体" w:cs="Times New Roman"/>
                <w:b/>
                <w:bCs/>
                <w:color w:val="000000"/>
                <w:szCs w:val="21"/>
                <w:lang w:bidi="ar"/>
              </w:rPr>
              <w:t xml:space="preserve">afforestation and abandonment </w:t>
            </w:r>
            <w:r>
              <w:rPr>
                <w:rFonts w:hint="eastAsia" w:ascii="Times New Roman" w:hAnsi="Times New Roman" w:eastAsia="宋体" w:cs="Times New Roman"/>
                <w:b/>
                <w:bCs/>
                <w:color w:val="000000"/>
                <w:szCs w:val="21"/>
                <w:lang w:bidi="ar"/>
              </w:rPr>
              <w:t>in the post-</w:t>
            </w:r>
            <w:r>
              <w:rPr>
                <w:rFonts w:ascii="Times New Roman" w:hAnsi="Times New Roman" w:eastAsia="宋体" w:cs="Times New Roman"/>
                <w:b/>
                <w:bCs/>
                <w:color w:val="000000"/>
                <w:szCs w:val="21"/>
                <w:lang w:bidi="ar"/>
              </w:rPr>
              <w:t>agricultural period.</w:t>
            </w:r>
          </w:p>
        </w:tc>
      </w:tr>
      <w:tr w14:paraId="2A2D6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7" w:type="pct"/>
            <w:shd w:val="clear" w:color="auto" w:fill="auto"/>
            <w:noWrap/>
            <w:vAlign w:val="center"/>
          </w:tcPr>
          <w:p w14:paraId="0A325A79">
            <w:pPr>
              <w:adjustRightInd w:val="0"/>
              <w:snapToGrid w:val="0"/>
              <w:jc w:val="center"/>
              <w:rPr>
                <w:rFonts w:ascii="Times New Roman" w:hAnsi="Times New Roman" w:cs="Times New Roman"/>
                <w:color w:val="000000"/>
                <w:szCs w:val="21"/>
              </w:rPr>
            </w:pPr>
            <w:r>
              <w:rPr>
                <w:rFonts w:hint="eastAsia" w:ascii="Times New Roman" w:hAnsi="Times New Roman" w:eastAsia="宋体" w:cs="宋体"/>
                <w:color w:val="000000"/>
                <w:szCs w:val="21"/>
                <w:lang w:bidi="ar"/>
              </w:rPr>
              <w:t>References</w:t>
            </w:r>
          </w:p>
        </w:tc>
        <w:tc>
          <w:tcPr>
            <w:tcW w:w="964" w:type="pct"/>
            <w:shd w:val="clear" w:color="auto" w:fill="auto"/>
            <w:noWrap/>
            <w:vAlign w:val="center"/>
          </w:tcPr>
          <w:p w14:paraId="2C009CE9">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Research areas</w:t>
            </w:r>
          </w:p>
        </w:tc>
        <w:tc>
          <w:tcPr>
            <w:tcW w:w="1137" w:type="pct"/>
            <w:shd w:val="clear" w:color="auto" w:fill="auto"/>
            <w:noWrap/>
            <w:vAlign w:val="center"/>
          </w:tcPr>
          <w:p w14:paraId="314D903F">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Aims</w:t>
            </w:r>
          </w:p>
        </w:tc>
        <w:tc>
          <w:tcPr>
            <w:tcW w:w="2511" w:type="pct"/>
            <w:shd w:val="clear" w:color="auto" w:fill="auto"/>
            <w:noWrap/>
            <w:vAlign w:val="center"/>
          </w:tcPr>
          <w:p w14:paraId="744DFEAF">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Methods</w:t>
            </w:r>
          </w:p>
        </w:tc>
      </w:tr>
      <w:tr w14:paraId="013A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7" w:type="pct"/>
            <w:shd w:val="clear" w:color="auto" w:fill="auto"/>
            <w:noWrap/>
            <w:vAlign w:val="center"/>
          </w:tcPr>
          <w:p w14:paraId="0A9D803D">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{"citationID":"VFsJ0gXl","properties":{"formattedCitation":"\\super 9\\nosupersub{}","plainCitation":"9","noteIndex":0},"citationItems":[{"id":13,"uris":["http://zotero.org/users/11120503/items/3MS3IXPR"],"itemData":{"id":13,"type":"article-journal","abstract":"Agricultural land abandonment and retirement are important and lead to different types of land use and cover change. Generally, abandonment and retirement are caused by different social and environmental factors and result in different ecological and economic beneﬁts and costs. Faced with the complexity of agricultural land change over time, this study aims to develop a new framework to distinguish between agricultural land abandonment and retirement and detect the extent and exact year of abandonment and retirement using Google Earth Engine (GEE). We tested our approach for three typical regions in the northern China crop-pasture band, where agricultural land abandonment and retirement are widespread. First, based on the spectral features obtained from Landsat images, annual land-cover maps were obtained with sample migration and random forest from 1998 to 2019 (0.87 overall accuracy). Second, a temporal consistency check method was proposed to further improve the classiﬁcation performance (0.92 overall accuracy). Third, a trajectory-based change detection approach was developed to identify abandonment and retirement (F1 score for abandonment: 0.74, retirement: 0.83). Our results indicate that the spatiotemporal patterns of abandonment and retirement in the study area greatly differed. Overlapping of the topography and climate data showed that agricultural land with steep slopes (&gt;10◦) was more likely to be retired and that abandonment was more likely to occur in areas with less precipitation. Overall, the methods used herein are robust for agricultural land abandonment and retirement monitoring and may be extended to other land-cover change studies.","container-title":"IEEE Transactions on Geoscience and Remote Sensing","DOI":"10.1109/TGRS.2021.3121816","ISSN":"0196-2892, 1558-0644","journalAbbreviation":"IEEE Trans. Geosci. Remote Sensing","language":"en","license":"https://ieeexplore.ieee.org/Xplorehelp/downloads/license-information/IEEE.html","page":"1-12","source":"DOI.org (Crossref)","title":"Agricultural Land Abandonment and Retirement Mapping in the Northern China Crop-Pasture Band Using Temporal Consistency Check and Trajectory-Based Change Detection Approach","volume":"60","author":[{"family":"Du","given":"Zhenrong"},{"family":"Yang","given":"Jianyu"},{"family":"Ou","given":"Cong"},{"family":"Zhang","given":"Tingting"}],"issued":{"date-parts":[["2022"]]}}}],"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9</w:t>
            </w:r>
            <w:r>
              <w:rPr>
                <w:rFonts w:ascii="Times New Roman" w:hAnsi="Times New Roman" w:cs="Times New Roman"/>
                <w:color w:val="000000"/>
                <w:szCs w:val="21"/>
                <w:lang w:bidi="ar"/>
              </w:rPr>
              <w:fldChar w:fldCharType="end"/>
            </w:r>
          </w:p>
        </w:tc>
        <w:tc>
          <w:tcPr>
            <w:tcW w:w="964" w:type="pct"/>
            <w:shd w:val="clear" w:color="auto" w:fill="auto"/>
            <w:noWrap/>
            <w:vAlign w:val="center"/>
          </w:tcPr>
          <w:p w14:paraId="0A568188">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Agricultural and pastoral transition zone in northern China</w:t>
            </w:r>
          </w:p>
        </w:tc>
        <w:tc>
          <w:tcPr>
            <w:tcW w:w="1137" w:type="pct"/>
            <w:shd w:val="clear" w:color="auto" w:fill="auto"/>
            <w:noWrap/>
            <w:vAlign w:val="center"/>
          </w:tcPr>
          <w:p w14:paraId="77E18053">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Distinguishing between abandonment and afforestation</w:t>
            </w:r>
          </w:p>
        </w:tc>
        <w:tc>
          <w:tcPr>
            <w:tcW w:w="2511" w:type="pct"/>
            <w:shd w:val="clear" w:color="auto" w:fill="auto"/>
            <w:noWrap/>
            <w:vAlign w:val="center"/>
          </w:tcPr>
          <w:p w14:paraId="2C88CA36">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A change detection method based on land cover change trajectories</w:t>
            </w:r>
          </w:p>
        </w:tc>
      </w:tr>
      <w:tr w14:paraId="53BC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7" w:type="pct"/>
            <w:shd w:val="clear" w:color="auto" w:fill="auto"/>
            <w:noWrap/>
            <w:vAlign w:val="center"/>
          </w:tcPr>
          <w:p w14:paraId="72ABF2F1">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{"citationID":"7nDZQItd","properties":{"formattedCitation":"\\super 10\\nosupersub{}","plainCitation":"10","noteIndex":0},"citationItems":[{"id":1103,"uris":["http://zotero.org/users/11120503/items/H8MQ8G8G"],"itemData":{"id":1103,"type":"article-journal","abstract":"Detecting cropland abandonment in a timely manner is essential to unlock the potential of such abandoned lands, for instance, to alleviate world hunger and steer environmental restoration. However, the challenge remains how to separate cropland abandonment from spectrally similar land-cover change trajectories, such as intentional afforestation (i.e., tree plantations) on former agricultural lands. Taking the South Sichuan province of China as a study area, this study developed a new approach by integrating land-cover change trajectories mapped using the random forest classifier and LandTrendr, as well as NDVI change based on Landsat time series to reveal aban­ doned cropland from 2003 to 2018. Results showed that the developed methodology could help to distinguish cropland abandonment with 76% producer’s and 80% user’s accuracies. The study showed that, by 2018, 0.37 million ha (approximately 15.54%) of previously cultivated land became truly abandoned, and 0.53 million ha (approximately 22.27%) of previously cultivated land became intentionally afforested. Annual abandonment rates were high at the beginning of the study period and low by 2018. Overall, our study highlights how the magnitude and pace of NDVI change helped to distinguish abandoned cropland from other land uses, such as intentional afforestation. The method can be adapted to map cropland abandonment accurately elsewhere; thus, our results can assist in evaluating land-use policies which aimed at guiding the cropland abandonment process.","container-title":"International Journal of Applied Earth Observation and Geoinformation","DOI":"10.1016/j.jag.2024.103693","ISSN":"15698432","journalAbbreviation":"International Journal of Applied Earth Observation and Geoinformation","language":"en","page":"103693","source":"DOI.org (Crossref)","title":"Mapping cropland abandonment and distinguishing from intentional afforestation with Landsat time series","volume":"127","author":[{"family":"Hong","given":"Changqiao"},{"family":"Prishchepov","given":"Alexander V."},{"family":"Jin","given":"Xiaobin"},{"family":"Zhou","given":"Yinkang"}],"issued":{"date-parts":[["2024",3]]}}}],"schema":"https://github.com/citation-style-language/schema/raw/master/csl-citation.json"}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10</w:t>
            </w:r>
            <w:r>
              <w:rPr>
                <w:rFonts w:ascii="Times New Roman" w:hAnsi="Times New Roman" w:cs="Times New Roman"/>
                <w:color w:val="000000"/>
                <w:szCs w:val="21"/>
                <w:lang w:bidi="ar"/>
              </w:rPr>
              <w:fldChar w:fldCharType="end"/>
            </w:r>
          </w:p>
        </w:tc>
        <w:tc>
          <w:tcPr>
            <w:tcW w:w="964" w:type="pct"/>
            <w:shd w:val="clear" w:color="auto" w:fill="auto"/>
            <w:noWrap/>
            <w:vAlign w:val="center"/>
          </w:tcPr>
          <w:p w14:paraId="526D6921">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Southwest China</w:t>
            </w:r>
          </w:p>
        </w:tc>
        <w:tc>
          <w:tcPr>
            <w:tcW w:w="1137" w:type="pct"/>
            <w:shd w:val="clear" w:color="auto" w:fill="auto"/>
            <w:noWrap/>
            <w:vAlign w:val="center"/>
          </w:tcPr>
          <w:p w14:paraId="0321D04B">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Distinguishing between abandonment and afforestation</w:t>
            </w:r>
          </w:p>
        </w:tc>
        <w:tc>
          <w:tcPr>
            <w:tcW w:w="2511" w:type="pct"/>
            <w:shd w:val="clear" w:color="auto" w:fill="auto"/>
            <w:noWrap/>
            <w:vAlign w:val="center"/>
          </w:tcPr>
          <w:p w14:paraId="521D8D56">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Slope of NDVI changes based on Landsat time series</w:t>
            </w:r>
          </w:p>
        </w:tc>
      </w:tr>
      <w:tr w14:paraId="046B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7" w:type="pct"/>
            <w:shd w:val="clear" w:color="auto" w:fill="auto"/>
            <w:noWrap/>
            <w:vAlign w:val="center"/>
          </w:tcPr>
          <w:p w14:paraId="76D07911">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{"citationID":"2hgxiPbT","properties":{"formattedCitation":"\\super 11\\nosupersub{}","plainCitation":"11","noteIndex":0},"citationItems":[{"id":1642,"uris":["http://zotero.org/users/11120503/items/UQJNKGYX"],"itemData":{"id":1642,"type":"article-journal","abstract":"Land abandonment is an outcome of a wider process of cropland marginalization. It leads to an increase of biomass and naturalness of the vegetation, but also to increased risks of wildﬁres, erosion, and to loss of habitats for species that are characteristic of agro-ecosystems. This process is addressed in Spain, where the Afforestation Programme of Cropland has converted a total of 801693 ha.","language":"en","source":"Zotero","title":"Remote sensing evaluation of afforestation versus natural revegetation on abandoned croplands in central Spain","author":[{"family":"Ivanov","given":"E"},{"family":"Manakos","given":"I"},{"family":"Benayas","given":"J M Rey"}],"issued":{"date-parts":[["2007"]]}}}],"schema":"https://github.com/citation-style-language/schema/raw/master/csl-citation.json"}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11</w:t>
            </w:r>
            <w:r>
              <w:rPr>
                <w:rFonts w:ascii="Times New Roman" w:hAnsi="Times New Roman" w:cs="Times New Roman"/>
                <w:color w:val="000000"/>
                <w:szCs w:val="21"/>
                <w:lang w:bidi="ar"/>
              </w:rPr>
              <w:fldChar w:fldCharType="end"/>
            </w:r>
          </w:p>
        </w:tc>
        <w:tc>
          <w:tcPr>
            <w:tcW w:w="964" w:type="pct"/>
            <w:shd w:val="clear" w:color="auto" w:fill="auto"/>
            <w:noWrap/>
            <w:vAlign w:val="center"/>
          </w:tcPr>
          <w:p w14:paraId="2CF8AFA7">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Southern Spain</w:t>
            </w:r>
          </w:p>
        </w:tc>
        <w:tc>
          <w:tcPr>
            <w:tcW w:w="1137" w:type="pct"/>
            <w:shd w:val="clear" w:color="auto" w:fill="auto"/>
            <w:noWrap/>
            <w:vAlign w:val="center"/>
          </w:tcPr>
          <w:p w14:paraId="24C65071">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Distinguishing between abandonment and afforestation</w:t>
            </w:r>
          </w:p>
        </w:tc>
        <w:tc>
          <w:tcPr>
            <w:tcW w:w="2511" w:type="pct"/>
            <w:shd w:val="clear" w:color="auto" w:fill="auto"/>
            <w:noWrap/>
            <w:vAlign w:val="center"/>
          </w:tcPr>
          <w:p w14:paraId="3532F0D0">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An object-oriented classification approach combining vegetation spectral features and surface texture</w:t>
            </w:r>
          </w:p>
        </w:tc>
      </w:tr>
      <w:tr w14:paraId="7D89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87" w:type="pct"/>
            <w:shd w:val="clear" w:color="auto" w:fill="auto"/>
            <w:noWrap/>
            <w:vAlign w:val="center"/>
          </w:tcPr>
          <w:p w14:paraId="4192BB05">
            <w:pPr>
              <w:adjustRightInd w:val="0"/>
              <w:snapToGrid w:val="0"/>
              <w:jc w:val="center"/>
              <w:rPr>
                <w:rFonts w:ascii="Times New Roman" w:hAnsi="Times New Roman" w:cs="Times New Roman"/>
                <w:color w:val="000000"/>
                <w:szCs w:val="21"/>
                <w:lang w:bidi="ar"/>
              </w:rPr>
            </w:pPr>
            <w:r>
              <w:rPr>
                <w:rFonts w:ascii="Times New Roman" w:hAnsi="Times New Roman" w:cs="Times New Roman"/>
                <w:color w:val="000000"/>
                <w:szCs w:val="21"/>
                <w:lang w:bidi="ar"/>
              </w:rPr>
              <w:fldChar w:fldCharType="begin"/>
            </w:r>
            <w:r>
              <w:rPr>
                <w:rFonts w:ascii="Times New Roman" w:hAnsi="Times New Roman" w:cs="Times New Roman"/>
                <w:color w:val="000000"/>
                <w:szCs w:val="21"/>
                <w:lang w:bidi="ar"/>
              </w:rPr>
              <w:instrText xml:space="preserve"> ADDIN ZOTERO_ITEM CSL_CITATION {"citationID":"LM4YcbOj","properties":{"formattedCitation":"\\super 12\\nosupersub{}","plainCitation":"12","noteIndex":0},"citationItems":[{"id":1641,"uris":["http://zotero.org/users/11120503/items/7QRNEHCX"],"itemData":{"id":1641,"type":"article-journal","abstract":"The aim of the article is to identify the relationships between the phenomenon of land cultivation abandonment and spatial features of parcels that inﬂuence the economic eﬀects of land cultivation. The study covered submontane areas with unfavorable soil and climate conditions which, nevertheless, were a place of intensive agricultural activities until the beginning of the 21st century. The study area is also characterized by unfavorable parameters of land fragmentation. The study covered part of the Małopolska Region in southern Poland with an area of 1745 km2. The area is divided into nearly 370,000 parcels. The study was based on ALS data with a density of 8 points/m2. On its basis, a number of categories of high vegetation were determined and then processed into a 1 × 1 m grid structure. This allowed to deﬁne the height structure of vegetation in every parcel. Other features, including land use status at the end of the 20th century, were derived from cadastral databases and digital soil quality maps. To explain the causes of observed forest expansion, the following diagnostic features were used in the models of logistic regression: size of a parcel, its width, slope, soil quality, and accessibility to the road network. The results allow to formulate an unexpected conclusion: unfavorable spatial features of parcels, negatively aﬀecting the proﬁtability of agricultural production, have no statistically signiﬁcant inﬂuence on the decision of land cultivation abandonment.","container-title":"Applied Geography","DOI":"10.1016/j.apgeog.2018.06.002","ISSN":"01436228","journalAbbreviation":"Applied Geography","language":"en","page":"128-141","source":"DOI.org (Crossref)","title":"Using ALS data to estimate afforestation and secondary forest succession on agricultural areas: An approach to improve the understanding of land abandonment causes","title-short":"Using ALS data to estimate afforestation and secondary forest succession on agricultural areas","volume":"97","author":[{"family":"Janus","given":"Jaroslaw"},{"family":"Bozek","given":"Piotr"}],"issued":{"date-parts":[["2018",8]]}}}],"schema":"https://github.com/citation-style-language/schema/raw/master/csl-citation.json"} </w:instrText>
            </w:r>
            <w:r>
              <w:rPr>
                <w:rFonts w:ascii="Times New Roman" w:hAnsi="Times New Roman" w:cs="Times New Roman"/>
                <w:color w:val="000000"/>
                <w:szCs w:val="21"/>
                <w:lang w:bidi="ar"/>
              </w:rPr>
              <w:fldChar w:fldCharType="separate"/>
            </w:r>
            <w:r>
              <w:rPr>
                <w:rFonts w:ascii="Times New Roman" w:hAnsi="Times New Roman" w:cs="Times New Roman"/>
                <w:kern w:val="0"/>
                <w:vertAlign w:val="superscript"/>
              </w:rPr>
              <w:t>12</w:t>
            </w:r>
            <w:r>
              <w:rPr>
                <w:rFonts w:ascii="Times New Roman" w:hAnsi="Times New Roman" w:cs="Times New Roman"/>
                <w:color w:val="000000"/>
                <w:szCs w:val="21"/>
                <w:lang w:bidi="ar"/>
              </w:rPr>
              <w:fldChar w:fldCharType="end"/>
            </w:r>
          </w:p>
        </w:tc>
        <w:tc>
          <w:tcPr>
            <w:tcW w:w="964" w:type="pct"/>
            <w:shd w:val="clear" w:color="auto" w:fill="auto"/>
            <w:noWrap/>
            <w:vAlign w:val="center"/>
          </w:tcPr>
          <w:p w14:paraId="02C1B44B">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Małopolska region in southern Poland</w:t>
            </w:r>
          </w:p>
        </w:tc>
        <w:tc>
          <w:tcPr>
            <w:tcW w:w="1137" w:type="pct"/>
            <w:shd w:val="clear" w:color="auto" w:fill="auto"/>
            <w:noWrap/>
            <w:vAlign w:val="center"/>
          </w:tcPr>
          <w:p w14:paraId="51C579C5">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Distinguishing between abandonment and afforestation</w:t>
            </w:r>
          </w:p>
        </w:tc>
        <w:tc>
          <w:tcPr>
            <w:tcW w:w="2511" w:type="pct"/>
            <w:shd w:val="clear" w:color="auto" w:fill="auto"/>
            <w:noWrap/>
            <w:vAlign w:val="center"/>
          </w:tcPr>
          <w:p w14:paraId="32653262">
            <w:pPr>
              <w:adjustRightInd w:val="0"/>
              <w:snapToGrid w:val="0"/>
              <w:jc w:val="center"/>
              <w:rPr>
                <w:rFonts w:ascii="Times New Roman" w:hAnsi="Times New Roman" w:cs="Times New Roman"/>
                <w:color w:val="000000"/>
                <w:szCs w:val="21"/>
                <w:lang w:bidi="ar"/>
              </w:rPr>
            </w:pPr>
            <w:r>
              <w:rPr>
                <w:rFonts w:hint="eastAsia" w:ascii="Times New Roman" w:hAnsi="Times New Roman" w:eastAsia="宋体" w:cs="宋体"/>
                <w:color w:val="000000"/>
                <w:szCs w:val="21"/>
                <w:lang w:bidi="ar"/>
              </w:rPr>
              <w:t>Identification of vegetation height and structure using LiDAR data</w:t>
            </w:r>
          </w:p>
        </w:tc>
      </w:tr>
    </w:tbl>
    <w:p w14:paraId="0ABB2CEB">
      <w:pPr>
        <w:pStyle w:val="10"/>
        <w:outlineLvl w:val="9"/>
        <w:rPr>
          <w:szCs w:val="21"/>
        </w:rPr>
      </w:pPr>
    </w:p>
    <w:p w14:paraId="75BD6377">
      <w:pPr>
        <w:pStyle w:val="10"/>
        <w:outlineLvl w:val="9"/>
        <w:rPr>
          <w:szCs w:val="21"/>
        </w:rPr>
      </w:pP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115"/>
        <w:gridCol w:w="977"/>
        <w:gridCol w:w="1921"/>
        <w:gridCol w:w="1183"/>
        <w:gridCol w:w="1019"/>
        <w:gridCol w:w="1532"/>
      </w:tblGrid>
      <w:tr w14:paraId="16B8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00" w:type="pct"/>
            <w:gridSpan w:val="7"/>
            <w:shd w:val="clear" w:color="auto" w:fill="auto"/>
            <w:noWrap/>
            <w:vAlign w:val="center"/>
          </w:tcPr>
          <w:p w14:paraId="7CBCBB3B">
            <w:pPr>
              <w:adjustRightInd w:val="0"/>
              <w:snapToGrid w:val="0"/>
              <w:rPr>
                <w:rFonts w:ascii="Times New Roman" w:hAnsi="Times New Roman" w:cs="Times New Roman"/>
                <w:b/>
                <w:bCs/>
                <w:color w:val="000000"/>
                <w:szCs w:val="21"/>
                <w:lang w:bidi="ar"/>
              </w:rPr>
            </w:pPr>
            <w:r>
              <w:rPr>
                <w:rFonts w:ascii="Times New Roman" w:hAnsi="Times New Roman" w:eastAsia="宋体" w:cs="Times New Roman"/>
                <w:b/>
                <w:bCs/>
                <w:color w:val="000000"/>
                <w:szCs w:val="21"/>
                <w:lang w:bidi="ar"/>
              </w:rPr>
              <w:t>Supplementary Tables</w:t>
            </w:r>
            <w:r>
              <w:rPr>
                <w:rFonts w:hint="eastAsia" w:ascii="Times New Roman" w:hAnsi="Times New Roman" w:eastAsia="宋体" w:cs="Times New Roman"/>
                <w:b/>
                <w:bCs/>
                <w:color w:val="000000"/>
                <w:szCs w:val="21"/>
                <w:lang w:bidi="ar"/>
              </w:rPr>
              <w:t xml:space="preserve"> 4</w:t>
            </w:r>
            <w:r>
              <w:rPr>
                <w:rFonts w:ascii="Times New Roman" w:hAnsi="Times New Roman" w:eastAsia="宋体" w:cs="Times New Roman"/>
                <w:b/>
                <w:bCs/>
                <w:color w:val="000000"/>
                <w:szCs w:val="21"/>
                <w:lang w:bidi="ar"/>
              </w:rPr>
              <w:t xml:space="preserve">. </w:t>
            </w:r>
            <w:r>
              <w:rPr>
                <w:rFonts w:hint="eastAsia" w:ascii="Times New Roman" w:hAnsi="Times New Roman" w:eastAsia="宋体" w:cs="宋体"/>
                <w:b/>
                <w:bCs/>
                <w:color w:val="000000"/>
                <w:szCs w:val="21"/>
                <w:lang w:bidi="ar"/>
              </w:rPr>
              <w:t>Review of the results of Chine</w:t>
            </w:r>
            <w:r>
              <w:rPr>
                <w:rFonts w:ascii="Times New Roman" w:hAnsi="Times New Roman" w:eastAsia="宋体" w:cs="宋体"/>
                <w:b/>
                <w:bCs/>
                <w:color w:val="000000"/>
                <w:szCs w:val="21"/>
                <w:lang w:bidi="ar"/>
              </w:rPr>
              <w:t>’</w:t>
            </w:r>
            <w:r>
              <w:rPr>
                <w:rFonts w:hint="eastAsia" w:ascii="Times New Roman" w:hAnsi="Times New Roman" w:eastAsia="宋体" w:cs="宋体"/>
                <w:b/>
                <w:bCs/>
                <w:color w:val="000000"/>
                <w:szCs w:val="21"/>
                <w:lang w:bidi="ar"/>
              </w:rPr>
              <w:t>s land abandonment studies</w:t>
            </w:r>
            <w:r>
              <w:rPr>
                <w:rFonts w:hint="eastAsia" w:ascii="Times New Roman" w:hAnsi="Times New Roman" w:eastAsia="宋体" w:cs="宋体"/>
                <w:b/>
                <w:bCs/>
                <w:color w:val="000000"/>
                <w:szCs w:val="21"/>
                <w:lang w:val="en-US" w:eastAsia="zh-CN" w:bidi="ar"/>
              </w:rPr>
              <w:t xml:space="preserve">: </w:t>
            </w:r>
            <w:r>
              <w:rPr>
                <w:rFonts w:hint="eastAsia" w:ascii="Times New Roman" w:hAnsi="Times New Roman" w:eastAsia="宋体"/>
                <w:b/>
                <w:bCs/>
                <w:snapToGrid w:val="0"/>
                <w:color w:val="000000" w:themeColor="text1"/>
                <w:kern w:val="0"/>
                <w:sz w:val="21"/>
                <w:szCs w:val="21"/>
                <w:lang w:val="en-US" w:eastAsia="zh-CN" w:bidi="en-US"/>
                <w14:textFill>
                  <w14:solidFill>
                    <w14:schemeClr w14:val="tx1"/>
                  </w14:solidFill>
                </w14:textFill>
              </w:rPr>
              <w:t>methods,</w:t>
            </w:r>
            <w:r>
              <w:rPr>
                <w:rFonts w:hint="eastAsia" w:ascii="Times New Roman" w:hAnsi="Times New Roman" w:eastAsia="宋体"/>
                <w:b/>
                <w:bCs/>
                <w:snapToGrid w:val="0"/>
                <w:color w:val="000000" w:themeColor="text1"/>
                <w:kern w:val="0"/>
                <w:sz w:val="21"/>
                <w:szCs w:val="21"/>
                <w:lang w:bidi="en-US"/>
                <w14:textFill>
                  <w14:solidFill>
                    <w14:schemeClr w14:val="tx1"/>
                  </w14:solidFill>
                </w14:textFill>
              </w:rPr>
              <w:t xml:space="preserve"> intensity</w:t>
            </w:r>
            <w:r>
              <w:rPr>
                <w:rFonts w:hint="eastAsia" w:ascii="Times New Roman" w:hAnsi="Times New Roman" w:eastAsia="宋体"/>
                <w:b/>
                <w:bCs/>
                <w:snapToGrid w:val="0"/>
                <w:color w:val="000000" w:themeColor="text1"/>
                <w:kern w:val="0"/>
                <w:sz w:val="21"/>
                <w:szCs w:val="21"/>
                <w:lang w:val="en-US" w:eastAsia="zh-CN" w:bidi="en-US"/>
                <w14:textFill>
                  <w14:solidFill>
                    <w14:schemeClr w14:val="tx1"/>
                  </w14:solidFill>
                </w14:textFill>
              </w:rPr>
              <w:t>, and abandonment rate</w:t>
            </w:r>
            <w:r>
              <w:rPr>
                <w:rFonts w:hint="eastAsia" w:ascii="Times New Roman" w:hAnsi="Times New Roman" w:eastAsia="宋体" w:cs="宋体"/>
                <w:b/>
                <w:bCs/>
                <w:color w:val="000000"/>
                <w:szCs w:val="21"/>
                <w:lang w:bidi="ar"/>
              </w:rPr>
              <w:t>.</w:t>
            </w:r>
          </w:p>
        </w:tc>
      </w:tr>
      <w:tr w14:paraId="7C2B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5" w:type="pct"/>
            <w:shd w:val="clear" w:color="auto" w:fill="auto"/>
            <w:noWrap/>
            <w:vAlign w:val="center"/>
          </w:tcPr>
          <w:p w14:paraId="3F0308A8">
            <w:pPr>
              <w:adjustRightInd w:val="0"/>
              <w:snapToGrid w:val="0"/>
              <w:jc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References</w:t>
            </w:r>
          </w:p>
        </w:tc>
        <w:tc>
          <w:tcPr>
            <w:tcW w:w="2354" w:type="pct"/>
            <w:gridSpan w:val="3"/>
            <w:shd w:val="clear" w:color="auto" w:fill="auto"/>
            <w:noWrap/>
            <w:vAlign w:val="center"/>
          </w:tcPr>
          <w:p w14:paraId="597CBB5B">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Information</w:t>
            </w:r>
          </w:p>
        </w:tc>
        <w:tc>
          <w:tcPr>
            <w:tcW w:w="2190" w:type="pct"/>
            <w:gridSpan w:val="3"/>
            <w:shd w:val="clear" w:color="auto" w:fill="auto"/>
            <w:noWrap/>
            <w:vAlign w:val="center"/>
          </w:tcPr>
          <w:p w14:paraId="50DBA9F8">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Result</w:t>
            </w:r>
          </w:p>
        </w:tc>
      </w:tr>
      <w:tr w14:paraId="6F2E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5" w:type="pct"/>
            <w:shd w:val="clear" w:color="auto" w:fill="auto"/>
            <w:noWrap/>
            <w:vAlign w:val="center"/>
          </w:tcPr>
          <w:p w14:paraId="37DF16EB">
            <w:pPr>
              <w:adjustRightInd w:val="0"/>
              <w:snapToGrid w:val="0"/>
              <w:jc w:val="center"/>
              <w:rPr>
                <w:rFonts w:ascii="Times New Roman" w:hAnsi="Times New Roman" w:cs="Times New Roman"/>
                <w:color w:val="000000"/>
                <w:sz w:val="18"/>
                <w:szCs w:val="18"/>
                <w:lang w:bidi="ar"/>
              </w:rPr>
            </w:pPr>
          </w:p>
        </w:tc>
        <w:tc>
          <w:tcPr>
            <w:tcW w:w="654" w:type="pct"/>
            <w:shd w:val="clear" w:color="auto" w:fill="auto"/>
            <w:noWrap/>
            <w:vAlign w:val="center"/>
          </w:tcPr>
          <w:p w14:paraId="11F25282">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Data input</w:t>
            </w:r>
          </w:p>
        </w:tc>
        <w:tc>
          <w:tcPr>
            <w:tcW w:w="573" w:type="pct"/>
            <w:shd w:val="clear" w:color="auto" w:fill="auto"/>
            <w:noWrap/>
            <w:vAlign w:val="center"/>
          </w:tcPr>
          <w:p w14:paraId="6183079A">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Resolution</w:t>
            </w:r>
            <w:r>
              <w:rPr>
                <w:rFonts w:hint="eastAsia" w:ascii="Times New Roman" w:hAnsi="Times New Roman" w:cs="Times New Roman"/>
                <w:color w:val="000000"/>
                <w:sz w:val="18"/>
                <w:szCs w:val="18"/>
                <w:lang w:bidi="ar"/>
              </w:rPr>
              <w:t xml:space="preserve"> (m)</w:t>
            </w:r>
          </w:p>
        </w:tc>
        <w:tc>
          <w:tcPr>
            <w:tcW w:w="1126" w:type="pct"/>
            <w:shd w:val="clear" w:color="auto" w:fill="auto"/>
            <w:noWrap/>
            <w:vAlign w:val="center"/>
          </w:tcPr>
          <w:p w14:paraId="2A168F96">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Methods</w:t>
            </w:r>
          </w:p>
        </w:tc>
        <w:tc>
          <w:tcPr>
            <w:tcW w:w="694" w:type="pct"/>
            <w:shd w:val="clear" w:color="auto" w:fill="auto"/>
            <w:noWrap/>
            <w:vAlign w:val="center"/>
          </w:tcPr>
          <w:p w14:paraId="47C3BC71">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Area</w:t>
            </w:r>
          </w:p>
        </w:tc>
        <w:tc>
          <w:tcPr>
            <w:tcW w:w="598" w:type="pct"/>
            <w:shd w:val="clear" w:color="auto" w:fill="auto"/>
            <w:noWrap/>
            <w:vAlign w:val="center"/>
          </w:tcPr>
          <w:p w14:paraId="2641C869">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Time span</w:t>
            </w:r>
          </w:p>
        </w:tc>
        <w:tc>
          <w:tcPr>
            <w:tcW w:w="897" w:type="pct"/>
            <w:shd w:val="clear" w:color="auto" w:fill="auto"/>
            <w:noWrap/>
            <w:vAlign w:val="center"/>
          </w:tcPr>
          <w:p w14:paraId="203F0DE3">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Annual abandonment rate</w:t>
            </w:r>
          </w:p>
        </w:tc>
      </w:tr>
      <w:tr w14:paraId="1C02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5" w:type="pct"/>
            <w:shd w:val="clear" w:color="auto" w:fill="auto"/>
            <w:noWrap/>
            <w:vAlign w:val="center"/>
          </w:tcPr>
          <w:p w14:paraId="55874844">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fldChar w:fldCharType="begin"/>
            </w:r>
            <w:r>
              <w:rPr>
                <w:rFonts w:ascii="Times New Roman" w:hAnsi="Times New Roman" w:cs="Times New Roman"/>
                <w:color w:val="000000"/>
                <w:sz w:val="18"/>
                <w:szCs w:val="18"/>
                <w:lang w:bidi="ar"/>
              </w:rPr>
              <w:instrText xml:space="preserve"> ADDIN ZOTERO_ITEM CSL_CITATION {"citationID":"oE8Z5r4O","properties":{"formattedCitation":"\\super 13\\nosupersub{}","plainCitation":"13","noteIndex":0},"citationItems":[{"id":1111,"uris":["http://zotero.org/users/11120503/items/4XMSRJYH"],"itemData":{"id":1111,"type":"article-journal","abstract":"Abandoned cropland and impervious surface expansion are generally considered to have positive and negative impacts on net ecosystem productivity (NEP), respectively. However, the comprehensive comparison of the impacts of these two land use changes on NEP remains lacking. We use multi-year land cover data, NEP data, and statistical data to track the interannual variability of abandoned cropland and impervious surface expansion in China, and subsequently estimate their impacts on NEP. From 2000 to 2019, 30.8 × 106 ha of cropland in China was abandoned, while the impervious surface area expanded by 8.97 × 106 ha over the period. The average annual abandonment rate and impervious surface expansion rate were 0.83% and 2.96%, respectively. The average annual NEP of abandoned cropland and impervious surface expansion were 39.9 g C/m2 and 16.2 g C/ m2, respectively. Using the space-for-time method to estimate NEP changes, results showed that the carbon sink of 0.013 Tg C accumulated by abandoned cropland not only offset the carbon source of 0.01 Tg C from impervious surface expansion but sequestered additional 0.003 Tg C during the study period. Further analysis of the relationships between NEP and natural and anthropogenic factors revealed that temperature had the most significant positive impact on NEP (0.35, p &lt; 0.01), while the urbanization rate had the most significant negative impact on NEP (− 0.33, p &lt; 0.01). This study provides a new insight for regulating the effects of land use changes on natural carbon sink/source, and highlights the importance of abandoned cropland to enhancing natural carbon sink.","container-title":"Environmental Impact Assessment Review","DOI":"10.1016/j.eiar.2023.107363","ISSN":"01959255","journalAbbreviation":"Environmental Impact Assessment Review","language":"en","page":"107363","source":"DOI.org (Crossref)","title":"Abandoned cropland compensates the decrease in net ecosystem productivity of impervious surface expansion in China","volume":"104","author":[{"family":"Li","given":"Mengdi"},{"family":"Cui","given":"Yaoping"},{"family":"Dong","given":"Jinwei"},{"family":"Qin","given":"Yaochen"}],"issued":{"date-parts":[["2024",1]]}}}],"schema":"https://github.com/citation-style-language/schema/raw/master/csl-citation.json"} </w:instrText>
            </w:r>
            <w:r>
              <w:rPr>
                <w:rFonts w:ascii="Times New Roman" w:hAnsi="Times New Roman" w:cs="Times New Roman"/>
                <w:color w:val="000000"/>
                <w:sz w:val="18"/>
                <w:szCs w:val="18"/>
                <w:lang w:bidi="ar"/>
              </w:rPr>
              <w:fldChar w:fldCharType="separate"/>
            </w:r>
            <w:r>
              <w:rPr>
                <w:rFonts w:ascii="Times New Roman" w:hAnsi="Times New Roman" w:cs="Times New Roman"/>
                <w:kern w:val="0"/>
                <w:sz w:val="18"/>
                <w:vertAlign w:val="superscript"/>
              </w:rPr>
              <w:t>13</w:t>
            </w:r>
            <w:r>
              <w:rPr>
                <w:rFonts w:ascii="Times New Roman" w:hAnsi="Times New Roman" w:cs="Times New Roman"/>
                <w:color w:val="000000"/>
                <w:sz w:val="18"/>
                <w:szCs w:val="18"/>
                <w:lang w:bidi="ar"/>
              </w:rPr>
              <w:fldChar w:fldCharType="end"/>
            </w:r>
          </w:p>
        </w:tc>
        <w:tc>
          <w:tcPr>
            <w:tcW w:w="654" w:type="pct"/>
            <w:shd w:val="clear" w:color="auto" w:fill="auto"/>
            <w:noWrap/>
            <w:vAlign w:val="center"/>
          </w:tcPr>
          <w:p w14:paraId="35A2B88B">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CLCD</w:t>
            </w:r>
          </w:p>
        </w:tc>
        <w:tc>
          <w:tcPr>
            <w:tcW w:w="573" w:type="pct"/>
            <w:shd w:val="clear" w:color="auto" w:fill="auto"/>
            <w:noWrap/>
            <w:vAlign w:val="center"/>
          </w:tcPr>
          <w:p w14:paraId="72381D9F">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30m</w:t>
            </w:r>
          </w:p>
        </w:tc>
        <w:tc>
          <w:tcPr>
            <w:tcW w:w="1126" w:type="pct"/>
            <w:shd w:val="clear" w:color="auto" w:fill="auto"/>
            <w:noWrap/>
            <w:vAlign w:val="center"/>
          </w:tcPr>
          <w:p w14:paraId="385D1137">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land use trajectory method</w:t>
            </w:r>
          </w:p>
        </w:tc>
        <w:tc>
          <w:tcPr>
            <w:tcW w:w="694" w:type="pct"/>
            <w:shd w:val="clear" w:color="auto" w:fill="auto"/>
            <w:noWrap/>
            <w:vAlign w:val="center"/>
          </w:tcPr>
          <w:p w14:paraId="15F333CD">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30.8</w:t>
            </w:r>
            <w:r>
              <w:rPr>
                <w:rFonts w:hint="eastAsia" w:ascii="Times New Roman" w:hAnsi="Times New Roman" w:cs="Times New Roman"/>
                <w:color w:val="000000"/>
                <w:sz w:val="18"/>
                <w:szCs w:val="18"/>
                <w:lang w:bidi="ar"/>
              </w:rPr>
              <w:t xml:space="preserve"> M</w:t>
            </w:r>
            <w:r>
              <w:rPr>
                <w:rFonts w:ascii="Times New Roman" w:hAnsi="Times New Roman" w:cs="Times New Roman"/>
                <w:color w:val="000000"/>
                <w:sz w:val="18"/>
                <w:szCs w:val="18"/>
                <w:lang w:bidi="ar"/>
              </w:rPr>
              <w:t>ha</w:t>
            </w:r>
          </w:p>
        </w:tc>
        <w:tc>
          <w:tcPr>
            <w:tcW w:w="598" w:type="pct"/>
            <w:shd w:val="clear" w:color="auto" w:fill="auto"/>
            <w:noWrap/>
            <w:vAlign w:val="center"/>
          </w:tcPr>
          <w:p w14:paraId="02564D03">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2000-2019</w:t>
            </w:r>
          </w:p>
        </w:tc>
        <w:tc>
          <w:tcPr>
            <w:tcW w:w="897" w:type="pct"/>
            <w:shd w:val="clear" w:color="auto" w:fill="auto"/>
            <w:noWrap/>
            <w:vAlign w:val="center"/>
          </w:tcPr>
          <w:p w14:paraId="174616BA">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0.83%</w:t>
            </w:r>
          </w:p>
        </w:tc>
      </w:tr>
      <w:tr w14:paraId="64C7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5" w:type="pct"/>
            <w:shd w:val="clear" w:color="auto" w:fill="auto"/>
            <w:noWrap/>
            <w:vAlign w:val="center"/>
          </w:tcPr>
          <w:p w14:paraId="31C648E2">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fldChar w:fldCharType="begin"/>
            </w:r>
            <w:r>
              <w:rPr>
                <w:rFonts w:ascii="Times New Roman" w:hAnsi="Times New Roman" w:cs="Times New Roman"/>
                <w:color w:val="000000"/>
                <w:sz w:val="18"/>
                <w:szCs w:val="18"/>
                <w:lang w:bidi="ar"/>
              </w:rPr>
              <w:instrText xml:space="preserve"> ADDIN ZOTERO_ITEM CSL_CITATION {"citationID":"9e0bFbxB","properties":{"formattedCitation":"\\super 14\\nosupersub{}","plainCitation":"14","noteIndex":0},"citationItems":[{"id":8,"uris":["http://zotero.org/users/11120503/items/CY56YJDE"],"itemData":{"id":8,"type":"article-journal","abstract":"Cropland abandonment has long been recognized as a marginalization process in rural regions but recently also as a precursor to urbanization in peri-urban regions. This study aimed to evaluate the relative importance of urbanization and poor productivity in cropland abandonment. A thorough investigation was conducted on 345 cities/ towns at the prefecture level or higher in China using 500-m annual maps for 2003–2016. Cropland abandonment was spatiotemporally coupled with the urbanization. At a national scale, approximately 0.55% of the total cropland area (approximately 862 km2 per year) has been abandoned. Cropland abandonment increased significantly until 2009, declined in the early 2010s, and then leveled off in recent years. In particular, the new first-tier cities suffered the greatest abandonment per capita. However, cropland abandonment was increasingly shifted to lower-tier cities, particularly the high-quality cropland abandonment in the medium-tier cities. Lowquality cropland in rural regions of the medium- and lower-tier cities experienced incessant abandonment. Results showed that the extent of cropland abandonment increased with city sizes described either by population/GDP or by built-up area. High-quality cropland abandonment was more closely related to the built-up area than to population and GDP for total abandonment. Urbanization-induced abandonment in peri-urban areas was dominant for most cities, with exceptions only for a few small cities. Contrary to expectation, cropland abandonment for most cities/ towns in rural regions was not more driven by poor productivity, compared to periurban regions. Our study highlights that urbanization mainly accounted for the regional differences in cropland abandonment in China during the past two decades.","container-title":"Land Degradation &amp; Development","DOI":"10.1002/ldr.3617","ISSN":"1085-3278, 1099-145X","issue":"17","journalAbbreviation":"Land Degrad Dev","language":"en","page":"2540-2551","source":"DOI.org (Crossref)","title":"Urban expansion or poor productivity: Explaining regional differences in cropland abandonment in China during the early 21st century","title-short":"Urban expansion or poor productivity","volume":"31","author":[{"family":"Qiu","given":"Bingwen"},{"family":"Yang","given":"Xin"},{"family":"Tang","given":"Zhenghong"},{"family":"Chen","given":"Chongcheng"},{"family":"Li","given":"Haiwen"},{"family":"Berry","given":"Joe"}],"issued":{"date-parts":[["2020",11]]}}}],"schema":"https://github.com/citation-style-language/schema/raw/master/csl-citation.json"} </w:instrText>
            </w:r>
            <w:r>
              <w:rPr>
                <w:rFonts w:ascii="Times New Roman" w:hAnsi="Times New Roman" w:cs="Times New Roman"/>
                <w:color w:val="000000"/>
                <w:sz w:val="18"/>
                <w:szCs w:val="18"/>
                <w:lang w:bidi="ar"/>
              </w:rPr>
              <w:fldChar w:fldCharType="separate"/>
            </w:r>
            <w:r>
              <w:rPr>
                <w:rFonts w:ascii="Times New Roman" w:hAnsi="Times New Roman" w:cs="Times New Roman"/>
                <w:kern w:val="0"/>
                <w:sz w:val="18"/>
                <w:vertAlign w:val="superscript"/>
              </w:rPr>
              <w:t>14</w:t>
            </w:r>
            <w:r>
              <w:rPr>
                <w:rFonts w:ascii="Times New Roman" w:hAnsi="Times New Roman" w:cs="Times New Roman"/>
                <w:color w:val="000000"/>
                <w:sz w:val="18"/>
                <w:szCs w:val="18"/>
                <w:lang w:bidi="ar"/>
              </w:rPr>
              <w:fldChar w:fldCharType="end"/>
            </w:r>
          </w:p>
        </w:tc>
        <w:tc>
          <w:tcPr>
            <w:tcW w:w="654" w:type="pct"/>
            <w:shd w:val="clear" w:color="auto" w:fill="auto"/>
            <w:noWrap/>
            <w:vAlign w:val="center"/>
          </w:tcPr>
          <w:p w14:paraId="38CBE6F6">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GlobeLand30 dataset</w:t>
            </w:r>
          </w:p>
        </w:tc>
        <w:tc>
          <w:tcPr>
            <w:tcW w:w="573" w:type="pct"/>
            <w:shd w:val="clear" w:color="auto" w:fill="auto"/>
            <w:noWrap/>
            <w:vAlign w:val="center"/>
          </w:tcPr>
          <w:p w14:paraId="06D4BFD7">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500</w:t>
            </w:r>
          </w:p>
        </w:tc>
        <w:tc>
          <w:tcPr>
            <w:tcW w:w="1126" w:type="pct"/>
            <w:shd w:val="clear" w:color="auto" w:fill="auto"/>
            <w:noWrap/>
            <w:vAlign w:val="center"/>
          </w:tcPr>
          <w:p w14:paraId="4C83C83C">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 xml:space="preserve">Conversion of </w:t>
            </w:r>
            <w:r>
              <w:rPr>
                <w:rFonts w:hint="eastAsia" w:ascii="Times New Roman" w:hAnsi="Times New Roman" w:cs="Times New Roman"/>
                <w:color w:val="000000"/>
                <w:sz w:val="18"/>
                <w:szCs w:val="18"/>
                <w:lang w:bidi="ar"/>
              </w:rPr>
              <w:t>crop</w:t>
            </w:r>
            <w:r>
              <w:rPr>
                <w:rFonts w:ascii="Times New Roman" w:hAnsi="Times New Roman" w:cs="Times New Roman"/>
                <w:color w:val="000000"/>
                <w:sz w:val="18"/>
                <w:szCs w:val="18"/>
                <w:lang w:bidi="ar"/>
              </w:rPr>
              <w:t>land to barren land</w:t>
            </w:r>
          </w:p>
        </w:tc>
        <w:tc>
          <w:tcPr>
            <w:tcW w:w="694" w:type="pct"/>
            <w:shd w:val="clear" w:color="auto" w:fill="auto"/>
            <w:noWrap/>
            <w:vAlign w:val="center"/>
          </w:tcPr>
          <w:p w14:paraId="3AFD55BB">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862 km</w:t>
            </w:r>
            <w:r>
              <w:rPr>
                <w:rFonts w:ascii="Times New Roman" w:hAnsi="Times New Roman" w:cs="Times New Roman"/>
                <w:color w:val="000000"/>
                <w:sz w:val="18"/>
                <w:szCs w:val="18"/>
                <w:vertAlign w:val="superscript"/>
                <w:lang w:bidi="ar"/>
              </w:rPr>
              <w:t>2</w:t>
            </w:r>
            <w:r>
              <w:rPr>
                <w:rFonts w:ascii="Times New Roman" w:hAnsi="Times New Roman" w:cs="Times New Roman"/>
                <w:color w:val="000000"/>
                <w:sz w:val="18"/>
                <w:szCs w:val="18"/>
                <w:lang w:bidi="ar"/>
              </w:rPr>
              <w:t xml:space="preserve"> per year</w:t>
            </w:r>
          </w:p>
        </w:tc>
        <w:tc>
          <w:tcPr>
            <w:tcW w:w="598" w:type="pct"/>
            <w:shd w:val="clear" w:color="auto" w:fill="auto"/>
            <w:noWrap/>
            <w:vAlign w:val="center"/>
          </w:tcPr>
          <w:p w14:paraId="4C0A30FD">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2003-2016</w:t>
            </w:r>
          </w:p>
        </w:tc>
        <w:tc>
          <w:tcPr>
            <w:tcW w:w="897" w:type="pct"/>
            <w:shd w:val="clear" w:color="auto" w:fill="auto"/>
            <w:noWrap/>
            <w:vAlign w:val="center"/>
          </w:tcPr>
          <w:p w14:paraId="3A055071">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0.55%</w:t>
            </w:r>
          </w:p>
        </w:tc>
      </w:tr>
      <w:tr w14:paraId="4A3F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55" w:type="pct"/>
            <w:shd w:val="clear" w:color="auto" w:fill="auto"/>
            <w:noWrap/>
            <w:vAlign w:val="center"/>
          </w:tcPr>
          <w:p w14:paraId="42432D27">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fldChar w:fldCharType="begin"/>
            </w:r>
            <w:r>
              <w:rPr>
                <w:rFonts w:ascii="Times New Roman" w:hAnsi="Times New Roman" w:cs="Times New Roman"/>
                <w:color w:val="000000"/>
                <w:sz w:val="18"/>
                <w:szCs w:val="18"/>
                <w:lang w:bidi="ar"/>
              </w:rPr>
              <w:instrText xml:space="preserve"> ADDIN ZOTERO_ITEM CSL_CITATION {"citationID":"hujEnpCq","properties":{"formattedCitation":"\\super 15\\nosupersub{}","plainCitation":"15","noteIndex":0},"citationItems":[{"id":1088,"uris":["http://zotero.org/users/11120503/items/IQ8CTABX"],"itemData":{"id":1088,"type":"article-journal","abstract":"Abandoned cropland is a great waste of land resources, which not only affects the stability of food production, but also wastes limited cropland resources. China has large areas of abandoned cropland, and accurately extracting the large-scale abandoned cropland is a prerequisite for the government to implement reclamation policies and estimate the food production potential of abandoned cropland. China has implemented the Grain for Green Project (GGP) since 1980, but most research has not considered its impact on the extraction of abandoned cropland. Therefore, a method was proposed to identify abandoned cropland excluding the regions of GGP, and to analyze the spatio-temporal characteristics and potential of abandoned cropland in China from 1991 to 2018. GGP potential and food production potential of abandoned cropland were discussed. The results showed that 26.47 million hectares of cropland has been abandoned in the past 28 years (including cropland that has been reclaimed). Under the positive influence of the government’s food security policy, the abandoned cropland has decreased in recent years, but the total area is still high. The abandonment mainly occurred in the Jiangnan Hills, the Hilly Regions of Fujian and Guangdong Province, the North China Mountains, and Eastern Inner Mongolia. The higher the elevation and the steeper the slope, the higher the abandonment rate. In addition, the urban-rural income gap significantly affected the abandonment rate. This study drew the spatial and temporal distribution map of abandoned cropland in China with a spatial resolution of 30 m considering GGP. It provides an important basis for formulating reclamation and GGP policy.","container-title":"Land","DOI":"10.3390/land13010045","ISSN":"2073-445X","issue":"1","journalAbbreviation":"Land","language":"en","license":"https://creativecommons.org/licenses/by/4.0/","page":"45","source":"DOI.org (Crossref)","title":"Is Abandoned Cropland Continuously Growing in China? Quantitative Evidence and Enlightenment from Landsat-Derived Annual China Land Cover Dataset","title-short":"Is Abandoned Cropland Continuously Growing in China?","volume":"13","author":[{"family":"Wang","given":"Haoran"},{"family":"Guo","given":"Zecheng"},{"family":"Xie","given":"Yaowen"},{"family":"Zhang","given":"Xueyuan"},{"family":"Xi","given":"Guilin"},{"family":"Huang","given":"Hongxin"}],"issued":{"date-parts":[["2023",12,30]]}}}],"schema":"https://github.com/citation-style-language/schema/raw/master/csl-citation.json"} </w:instrText>
            </w:r>
            <w:r>
              <w:rPr>
                <w:rFonts w:ascii="Times New Roman" w:hAnsi="Times New Roman" w:cs="Times New Roman"/>
                <w:color w:val="000000"/>
                <w:sz w:val="18"/>
                <w:szCs w:val="18"/>
                <w:lang w:bidi="ar"/>
              </w:rPr>
              <w:fldChar w:fldCharType="separate"/>
            </w:r>
            <w:r>
              <w:rPr>
                <w:rFonts w:ascii="Times New Roman" w:hAnsi="Times New Roman" w:cs="Times New Roman"/>
                <w:kern w:val="0"/>
                <w:sz w:val="18"/>
                <w:vertAlign w:val="superscript"/>
              </w:rPr>
              <w:t>15</w:t>
            </w:r>
            <w:r>
              <w:rPr>
                <w:rFonts w:ascii="Times New Roman" w:hAnsi="Times New Roman" w:cs="Times New Roman"/>
                <w:color w:val="000000"/>
                <w:sz w:val="18"/>
                <w:szCs w:val="18"/>
                <w:lang w:bidi="ar"/>
              </w:rPr>
              <w:fldChar w:fldCharType="end"/>
            </w:r>
          </w:p>
        </w:tc>
        <w:tc>
          <w:tcPr>
            <w:tcW w:w="654" w:type="pct"/>
            <w:shd w:val="clear" w:color="auto" w:fill="auto"/>
            <w:noWrap/>
            <w:vAlign w:val="center"/>
          </w:tcPr>
          <w:p w14:paraId="2B63053D">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222222"/>
                <w:sz w:val="18"/>
                <w:szCs w:val="18"/>
                <w:shd w:val="clear" w:color="auto" w:fill="FFFFFF"/>
                <w:lang w:bidi="ar"/>
              </w:rPr>
              <w:t>CLCD</w:t>
            </w:r>
          </w:p>
        </w:tc>
        <w:tc>
          <w:tcPr>
            <w:tcW w:w="573" w:type="pct"/>
            <w:shd w:val="clear" w:color="auto" w:fill="auto"/>
            <w:noWrap/>
            <w:vAlign w:val="center"/>
          </w:tcPr>
          <w:p w14:paraId="715AD693">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w:t>
            </w:r>
          </w:p>
        </w:tc>
        <w:tc>
          <w:tcPr>
            <w:tcW w:w="1126" w:type="pct"/>
            <w:shd w:val="clear" w:color="auto" w:fill="auto"/>
            <w:noWrap/>
            <w:vAlign w:val="center"/>
          </w:tcPr>
          <w:p w14:paraId="38A75F16">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land use trajectory method</w:t>
            </w:r>
          </w:p>
        </w:tc>
        <w:tc>
          <w:tcPr>
            <w:tcW w:w="694" w:type="pct"/>
            <w:shd w:val="clear" w:color="auto" w:fill="auto"/>
            <w:noWrap/>
            <w:vAlign w:val="center"/>
          </w:tcPr>
          <w:p w14:paraId="6C6D5562">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 xml:space="preserve">26.47 </w:t>
            </w:r>
            <w:r>
              <w:rPr>
                <w:rFonts w:hint="eastAsia" w:ascii="Times New Roman" w:hAnsi="Times New Roman" w:cs="Times New Roman"/>
                <w:color w:val="000000"/>
                <w:sz w:val="18"/>
                <w:szCs w:val="18"/>
                <w:lang w:bidi="ar"/>
              </w:rPr>
              <w:t>M</w:t>
            </w:r>
            <w:r>
              <w:rPr>
                <w:rFonts w:ascii="Times New Roman" w:hAnsi="Times New Roman" w:cs="Times New Roman"/>
                <w:color w:val="000000"/>
                <w:sz w:val="18"/>
                <w:szCs w:val="18"/>
                <w:lang w:bidi="ar"/>
              </w:rPr>
              <w:t>ha</w:t>
            </w:r>
          </w:p>
        </w:tc>
        <w:tc>
          <w:tcPr>
            <w:tcW w:w="598" w:type="pct"/>
            <w:shd w:val="clear" w:color="auto" w:fill="auto"/>
            <w:noWrap/>
            <w:vAlign w:val="center"/>
          </w:tcPr>
          <w:p w14:paraId="0DF270D9">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1991 to 2018</w:t>
            </w:r>
          </w:p>
        </w:tc>
        <w:tc>
          <w:tcPr>
            <w:tcW w:w="897" w:type="pct"/>
            <w:shd w:val="clear" w:color="auto" w:fill="auto"/>
            <w:noWrap/>
            <w:vAlign w:val="center"/>
          </w:tcPr>
          <w:p w14:paraId="272367E4">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4.59%</w:t>
            </w:r>
          </w:p>
        </w:tc>
      </w:tr>
      <w:tr w14:paraId="3BF7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5" w:type="pct"/>
            <w:shd w:val="clear" w:color="auto" w:fill="auto"/>
            <w:noWrap/>
            <w:vAlign w:val="center"/>
          </w:tcPr>
          <w:p w14:paraId="72AFFF54">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fldChar w:fldCharType="begin"/>
            </w:r>
            <w:r>
              <w:rPr>
                <w:rFonts w:ascii="Times New Roman" w:hAnsi="Times New Roman" w:cs="Times New Roman"/>
                <w:color w:val="000000"/>
                <w:sz w:val="18"/>
                <w:szCs w:val="18"/>
                <w:lang w:bidi="ar"/>
              </w:rPr>
              <w:instrText xml:space="preserve"> ADDIN ZOTERO_ITEM CSL_CITATION {"citationID":"3HwWnOFP","properties":{"formattedCitation":"\\super 16\\nosupersub{}","plainCitation":"16","noteIndex":0},"citationItems":[{"id":1117,"uris":["http://zotero.org/users/11120503/items/HFHK4MJN"],"itemData":{"id":1117,"type":"article-journal","abstract":"The abandonment phenomenon is familiar in China. It threatens food security and seriously affects the sustainable development of society, the economy, and the natural environment. However, monitoring and mapping abandoned cropland on a large scale remains a challenge because of its complex land-use change process. According to the World Food and Agriculture Organization, cropland not used for agricultural production for more than 5 years is deﬁned as abandoned cropland. This study uses the Landsat high-precision long-time series product to detect cropland nationwide from 1990 to 2019 by using the sliding window method on Google Earth Engine to proﬁle the spatial distribution, intensity, trend, frequency, and recultivation of abandoned cropland. Between 1992 and 2015, the results illustrate that the total area of abandoned cropland in China was 559,170.26 km2, 18.59 % of the cropland area. Excluding the recultivated cropland area, China's abandoned cropland area amounted to 392,156.24 km2, 13.03 % of the total cropland. Cropland abandonment is mainly distributed in the second terrain gradient in midwestern and southwestern regions such as Inner Mongolia and Gansu. It rarely happens in western and eastern coastal areas. A high abandonment rate area usually has high elevation and slope. The light index is negatively correlated with the abandonment rate in suburban areas. This study is the ﬁrst to map the spatiotemporal distribution of abandoned cropland in China with high precision at 30 m resolution. It provides an important basis for policies regarding the recultivation of abandoned cropland.","container-title":"Science of The Total Environment","DOI":"10.1016/j.scitotenv.2022.159591","ISSN":"00489697","journalAbbreviation":"Science of The Total Environment","language":"en","page":"159591","source":"DOI.org (Crossref)","title":"Reveal the severe spatial and temporal patterns of abandoned cropland in China over the past 30 years","volume":"857","author":[{"family":"Zhang","given":"Maoxin"},{"family":"Li","given":"Guangyu"},{"family":"He","given":"Tingting"},{"family":"Zhai","given":"Ge"},{"family":"Guo","given":"Andong"},{"family":"Chen","given":"Hang"},{"family":"Wu","given":"Cifang"}],"issued":{"date-parts":[["2023",1]]}}}],"schema":"https://github.com/citation-style-language/schema/raw/master/csl-citation.json"} </w:instrText>
            </w:r>
            <w:r>
              <w:rPr>
                <w:rFonts w:ascii="Times New Roman" w:hAnsi="Times New Roman" w:cs="Times New Roman"/>
                <w:color w:val="000000"/>
                <w:sz w:val="18"/>
                <w:szCs w:val="18"/>
                <w:lang w:bidi="ar"/>
              </w:rPr>
              <w:fldChar w:fldCharType="separate"/>
            </w:r>
            <w:r>
              <w:rPr>
                <w:rFonts w:ascii="Times New Roman" w:hAnsi="Times New Roman" w:cs="Times New Roman"/>
                <w:kern w:val="0"/>
                <w:sz w:val="18"/>
                <w:vertAlign w:val="superscript"/>
              </w:rPr>
              <w:t>16</w:t>
            </w:r>
            <w:r>
              <w:rPr>
                <w:rFonts w:ascii="Times New Roman" w:hAnsi="Times New Roman" w:cs="Times New Roman"/>
                <w:color w:val="000000"/>
                <w:sz w:val="18"/>
                <w:szCs w:val="18"/>
                <w:lang w:bidi="ar"/>
              </w:rPr>
              <w:fldChar w:fldCharType="end"/>
            </w:r>
          </w:p>
        </w:tc>
        <w:tc>
          <w:tcPr>
            <w:tcW w:w="654" w:type="pct"/>
            <w:shd w:val="clear" w:color="auto" w:fill="auto"/>
            <w:noWrap/>
            <w:vAlign w:val="center"/>
          </w:tcPr>
          <w:p w14:paraId="78B9FDC5">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CLCD</w:t>
            </w:r>
          </w:p>
        </w:tc>
        <w:tc>
          <w:tcPr>
            <w:tcW w:w="573" w:type="pct"/>
            <w:shd w:val="clear" w:color="auto" w:fill="auto"/>
            <w:noWrap/>
            <w:vAlign w:val="center"/>
          </w:tcPr>
          <w:p w14:paraId="7F2FE554">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30</w:t>
            </w:r>
          </w:p>
        </w:tc>
        <w:tc>
          <w:tcPr>
            <w:tcW w:w="1126" w:type="pct"/>
            <w:shd w:val="clear" w:color="auto" w:fill="auto"/>
            <w:noWrap/>
            <w:vAlign w:val="center"/>
          </w:tcPr>
          <w:p w14:paraId="2D715441">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land use trajectory method</w:t>
            </w:r>
          </w:p>
        </w:tc>
        <w:tc>
          <w:tcPr>
            <w:tcW w:w="694" w:type="pct"/>
            <w:shd w:val="clear" w:color="auto" w:fill="auto"/>
            <w:noWrap/>
            <w:vAlign w:val="center"/>
          </w:tcPr>
          <w:p w14:paraId="50EDAE44">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39</w:t>
            </w:r>
            <w:r>
              <w:rPr>
                <w:rFonts w:hint="eastAsia" w:ascii="Times New Roman" w:hAnsi="Times New Roman" w:cs="Times New Roman"/>
                <w:color w:val="000000"/>
                <w:sz w:val="18"/>
                <w:szCs w:val="18"/>
                <w:lang w:bidi="ar"/>
              </w:rPr>
              <w:t>.</w:t>
            </w:r>
            <w:r>
              <w:rPr>
                <w:rFonts w:ascii="Times New Roman" w:hAnsi="Times New Roman" w:cs="Times New Roman"/>
                <w:color w:val="000000"/>
                <w:sz w:val="18"/>
                <w:szCs w:val="18"/>
                <w:lang w:bidi="ar"/>
              </w:rPr>
              <w:t>2</w:t>
            </w:r>
            <w:r>
              <w:rPr>
                <w:rFonts w:hint="eastAsia" w:ascii="Times New Roman" w:hAnsi="Times New Roman" w:cs="Times New Roman"/>
                <w:color w:val="000000"/>
                <w:sz w:val="18"/>
                <w:szCs w:val="18"/>
                <w:lang w:bidi="ar"/>
              </w:rPr>
              <w:t xml:space="preserve"> Mha</w:t>
            </w:r>
          </w:p>
        </w:tc>
        <w:tc>
          <w:tcPr>
            <w:tcW w:w="598" w:type="pct"/>
            <w:shd w:val="clear" w:color="auto" w:fill="auto"/>
            <w:noWrap/>
            <w:vAlign w:val="center"/>
          </w:tcPr>
          <w:p w14:paraId="2EA31D0A">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1992-2015</w:t>
            </w:r>
          </w:p>
        </w:tc>
        <w:tc>
          <w:tcPr>
            <w:tcW w:w="897" w:type="pct"/>
            <w:shd w:val="clear" w:color="auto" w:fill="auto"/>
            <w:noWrap/>
            <w:vAlign w:val="center"/>
          </w:tcPr>
          <w:p w14:paraId="20AA6437">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13.03 %</w:t>
            </w:r>
          </w:p>
        </w:tc>
      </w:tr>
      <w:tr w14:paraId="2780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5" w:type="pct"/>
            <w:shd w:val="clear" w:color="auto" w:fill="auto"/>
            <w:noWrap/>
            <w:vAlign w:val="center"/>
          </w:tcPr>
          <w:p w14:paraId="2625959A">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fldChar w:fldCharType="begin"/>
            </w:r>
            <w:r>
              <w:rPr>
                <w:rFonts w:ascii="Times New Roman" w:hAnsi="Times New Roman" w:cs="Times New Roman"/>
                <w:color w:val="000000"/>
                <w:sz w:val="18"/>
                <w:szCs w:val="18"/>
                <w:lang w:bidi="ar"/>
              </w:rPr>
              <w:instrText xml:space="preserve"> ADDIN ZOTERO_ITEM CSL_CITATION {"citationID":"TgyclGDw","properties":{"formattedCitation":"\\super 17\\nosupersub{}","plainCitation":"17","noteIndex":0},"citationItems":[{"id":1118,"uris":["http://zotero.org/users/11120503/items/PWULV8RG"],"itemData":{"id":1118,"type":"article-journal","abstract":"Farmland abandonment is an important aspect of land cover land use (LCLU) that has both positive and negative effects on the environment. There is limited information regarding the spatial distribution of abandoned farmland in China. In this study, we 1) use a C5.0 decision tree classiﬁcation based on a 250 m spatial resolution Moderate-resolution Imaging Spectroradiometer (MODIS) Normalized Difference Vegetation Index (NDVI) time series to develop LCLU maps for the period 2000–2017; 2) produce time series maps of the abandoned farmland during the period 2002–2017 based on LCLU maps; and 3) analyze spatial distribution, intensity, trend, frequency, and recultivation in terms of farmland abandonment. The results show that the overall accuracy of the LCLU maps ranged from 85.45% to 90.56% over the study period (2002–2017). The average national rate of farmland abandonment was 5% over the period 2002–2017, with the lowest rate in 2002 and the highest in 2015. Approximately 60% of the 34 agricultural areas in China showed an increasing trend for abandonment including some of the main grain-producing areas such as the North China Plain and the middle and lower reaches of the Yangtze River. Abandoned farmland areas with an abandonment frequency of </w:instrText>
            </w:r>
            <w:r>
              <w:rPr>
                <w:rFonts w:hint="eastAsia" w:ascii="Times New Roman" w:hAnsi="Times New Roman" w:cs="Times New Roman"/>
                <w:color w:val="000000"/>
                <w:sz w:val="18"/>
                <w:szCs w:val="18"/>
                <w:lang w:bidi="ar"/>
              </w:rPr>
              <w:instrText xml:space="preserve">≤</w:instrText>
            </w:r>
            <w:r>
              <w:rPr>
                <w:rFonts w:ascii="Times New Roman" w:hAnsi="Times New Roman" w:cs="Times New Roman"/>
                <w:color w:val="000000"/>
                <w:sz w:val="18"/>
                <w:szCs w:val="18"/>
                <w:lang w:bidi="ar"/>
              </w:rPr>
              <w:instrText xml:space="preserve"> 3 y comprised 58.24% of the total area of abandoned farmland. The ﬁrst map detailing the distribution of the abandoned farmland across China was produced in this study, providing guidance for the development of a method of identifying abandoned farmland on a large spatial scale.","container-title":"Science of The Total Environment","DOI":"10.1016/j.scitotenv.2020.142651","ISSN":"00489697","journalAbbreviation":"Science of The Total Environment","language":"en","page":"142651","source":"DOI.org (Crossref)","title":"Mapping abandoned farmland in China using time series MODIS NDVI","volume":"755","author":[{"family":"Zhu","given":"Xiufang"},{"family":"Xiao","given":"Guofeng"},{"family":"Zhang","given":"Dujuan"},{"family":"Guo","given":"Lili"}],"issued":{"date-parts":[["2021",2]]}}}],"schema":"https://github.com/citation-style-language/schema/raw/master/csl-citation.json"} </w:instrText>
            </w:r>
            <w:r>
              <w:rPr>
                <w:rFonts w:ascii="Times New Roman" w:hAnsi="Times New Roman" w:cs="Times New Roman"/>
                <w:color w:val="000000"/>
                <w:sz w:val="18"/>
                <w:szCs w:val="18"/>
                <w:lang w:bidi="ar"/>
              </w:rPr>
              <w:fldChar w:fldCharType="separate"/>
            </w:r>
            <w:r>
              <w:rPr>
                <w:rFonts w:ascii="Times New Roman" w:hAnsi="Times New Roman" w:cs="Times New Roman"/>
                <w:kern w:val="0"/>
                <w:sz w:val="18"/>
                <w:vertAlign w:val="superscript"/>
              </w:rPr>
              <w:t>17</w:t>
            </w:r>
            <w:r>
              <w:rPr>
                <w:rFonts w:ascii="Times New Roman" w:hAnsi="Times New Roman" w:cs="Times New Roman"/>
                <w:color w:val="000000"/>
                <w:sz w:val="18"/>
                <w:szCs w:val="18"/>
                <w:lang w:bidi="ar"/>
              </w:rPr>
              <w:fldChar w:fldCharType="end"/>
            </w:r>
          </w:p>
        </w:tc>
        <w:tc>
          <w:tcPr>
            <w:tcW w:w="654" w:type="pct"/>
            <w:shd w:val="clear" w:color="auto" w:fill="auto"/>
            <w:noWrap/>
            <w:vAlign w:val="center"/>
          </w:tcPr>
          <w:p w14:paraId="0025FE19">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1F1F1F"/>
                <w:sz w:val="18"/>
                <w:szCs w:val="18"/>
                <w:lang w:bidi="ar"/>
              </w:rPr>
              <w:t>MODIS NDVI</w:t>
            </w:r>
          </w:p>
        </w:tc>
        <w:tc>
          <w:tcPr>
            <w:tcW w:w="573" w:type="pct"/>
            <w:shd w:val="clear" w:color="auto" w:fill="auto"/>
            <w:noWrap/>
            <w:vAlign w:val="center"/>
          </w:tcPr>
          <w:p w14:paraId="00A6664C">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250</w:t>
            </w:r>
          </w:p>
        </w:tc>
        <w:tc>
          <w:tcPr>
            <w:tcW w:w="1126" w:type="pct"/>
            <w:shd w:val="clear" w:color="auto" w:fill="auto"/>
            <w:noWrap/>
            <w:vAlign w:val="center"/>
          </w:tcPr>
          <w:p w14:paraId="19B25C3B">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land use trajectory method</w:t>
            </w:r>
          </w:p>
        </w:tc>
        <w:tc>
          <w:tcPr>
            <w:tcW w:w="694" w:type="pct"/>
            <w:shd w:val="clear" w:color="auto" w:fill="auto"/>
            <w:noWrap/>
            <w:vAlign w:val="center"/>
          </w:tcPr>
          <w:p w14:paraId="5C27F011">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8</w:t>
            </w:r>
            <w:r>
              <w:rPr>
                <w:rFonts w:hint="eastAsia" w:ascii="Times New Roman" w:hAnsi="Times New Roman" w:cs="Times New Roman"/>
                <w:color w:val="000000"/>
                <w:sz w:val="18"/>
                <w:szCs w:val="18"/>
                <w:lang w:bidi="ar"/>
              </w:rPr>
              <w:t>.</w:t>
            </w:r>
            <w:r>
              <w:rPr>
                <w:rFonts w:ascii="Times New Roman" w:hAnsi="Times New Roman" w:cs="Times New Roman"/>
                <w:color w:val="000000"/>
                <w:sz w:val="18"/>
                <w:szCs w:val="18"/>
                <w:lang w:bidi="ar"/>
              </w:rPr>
              <w:t>47</w:t>
            </w:r>
            <w:r>
              <w:rPr>
                <w:rFonts w:hint="eastAsia" w:ascii="Times New Roman" w:hAnsi="Times New Roman" w:cs="Times New Roman"/>
                <w:color w:val="000000"/>
                <w:sz w:val="18"/>
                <w:szCs w:val="18"/>
                <w:lang w:bidi="ar"/>
              </w:rPr>
              <w:t xml:space="preserve"> Mha</w:t>
            </w:r>
          </w:p>
        </w:tc>
        <w:tc>
          <w:tcPr>
            <w:tcW w:w="598" w:type="pct"/>
            <w:shd w:val="clear" w:color="auto" w:fill="auto"/>
            <w:noWrap/>
            <w:vAlign w:val="center"/>
          </w:tcPr>
          <w:p w14:paraId="093E9E9C">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2002–2017</w:t>
            </w:r>
          </w:p>
        </w:tc>
        <w:tc>
          <w:tcPr>
            <w:tcW w:w="897" w:type="pct"/>
            <w:shd w:val="clear" w:color="auto" w:fill="auto"/>
            <w:noWrap/>
            <w:vAlign w:val="center"/>
          </w:tcPr>
          <w:p w14:paraId="4FB04705">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1F1F1F"/>
                <w:sz w:val="18"/>
                <w:szCs w:val="18"/>
                <w:lang w:bidi="ar"/>
              </w:rPr>
              <w:t>5%</w:t>
            </w:r>
          </w:p>
        </w:tc>
      </w:tr>
      <w:tr w14:paraId="1D5C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5" w:type="pct"/>
            <w:shd w:val="clear" w:color="auto" w:fill="auto"/>
            <w:noWrap/>
            <w:vAlign w:val="center"/>
          </w:tcPr>
          <w:p w14:paraId="78015373">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fldChar w:fldCharType="begin"/>
            </w:r>
            <w:r>
              <w:rPr>
                <w:rFonts w:ascii="Times New Roman" w:hAnsi="Times New Roman" w:cs="Times New Roman"/>
                <w:color w:val="000000"/>
                <w:sz w:val="18"/>
                <w:szCs w:val="18"/>
                <w:lang w:bidi="ar"/>
              </w:rPr>
              <w:instrText xml:space="preserve"> ADDIN ZOTERO_ITEM CSL_CITATION {"citationID":"QAneWH23","properties":{"formattedCitation":"\\super 18\\nosupersub{}","plainCitation":"18","noteIndex":0},"citationItems":[{"id":7,"uris":["http://zotero.org/users/11120503/items/QDCPVNAJ"],"itemData":{"id":7,"type":"article-journal","abstract":"Farmland abandonment has substantial impacts on the environment, and its impacts vary with the duration of farmland abandonment. While consecutive and annual farmland abandonment (AFA) has been extensively studied, there is a need to investigate the spatiotemporal variation in seasonal farmland abandonment (SFA), particularly in areas where multiple-cropping practices are applied. In this study, we propose a method to monitor different types of farmland abandonment, such as SFA, AFA, and consecutive farmland abandonment (CFA), with time-series remote sensing data. The spatiotemporal pattern of farmland abandonment in mainland China from 2005 to 2019 was derived from time-series MODIS images. The overall accuracy for AFA maps was 79%–86% by comparing with MCD12Q1, and around 70% by comparing with China's Land Use/Cover Datasets. The results indicated that the total abandoned cultivable lands accounted for nearly 20% of the total cultivable lands and that SFA accounted for over 50% of the total abandoned cultivable lands in China. The total abandoned cultivable lands and total abandoned cultivable areas in mainland China did not change significantly across the study period. Moreover, the frequency of SFA gradually increased during the study period, and the frequency of CFA gradually decreased. Our study highlights that SFA accounts for a considerable proportion of the abandoned cultivable land in mainland China. SFA should be considered in related studies, as it could be a dominant type of farmland abandonment in areas where multiple cropping is practiced.","container-title":"Land Degradation &amp; Development","DOI":"10.1002/ldr.4233","ISSN":"1085-3278, 1099-145X","issue":"10","journalAbbreviation":"Land Degrad Dev","lang</w:instrText>
            </w:r>
            <w:r>
              <w:rPr>
                <w:rFonts w:hint="eastAsia" w:ascii="Times New Roman" w:hAnsi="Times New Roman" w:cs="Times New Roman"/>
                <w:color w:val="000000"/>
                <w:sz w:val="18"/>
                <w:szCs w:val="18"/>
                <w:lang w:bidi="ar"/>
              </w:rPr>
              <w:instrText xml:space="preserve">uage":"en","page":"1608-1625","source":"DOI.org (Crossref)","title":"Understanding the spatiotemporal patterns of seasonal, annual, and consecutive farmland abandonment in China with time‐series MODIS images during the period 2005–2019","volume":"33","aut</w:instrText>
            </w:r>
            <w:r>
              <w:rPr>
                <w:rFonts w:ascii="Times New Roman" w:hAnsi="Times New Roman" w:cs="Times New Roman"/>
                <w:color w:val="000000"/>
                <w:sz w:val="18"/>
                <w:szCs w:val="18"/>
                <w:lang w:bidi="ar"/>
              </w:rPr>
              <w:instrText xml:space="preserve">hor":[{"family":"Li","given":"Le"},{"family":"Pan","given":"Yaozhong"},{"family":"Zheng","given":"Rongbao"},{"family":"Liu","given":"Xiaoping"}],"issued":{"date-parts":[["2022",6]]}}}],"schema":"https://github.com/citation-style-language/schema/raw/master/csl-citation.json"} </w:instrText>
            </w:r>
            <w:r>
              <w:rPr>
                <w:rFonts w:ascii="Times New Roman" w:hAnsi="Times New Roman" w:cs="Times New Roman"/>
                <w:color w:val="000000"/>
                <w:sz w:val="18"/>
                <w:szCs w:val="18"/>
                <w:lang w:bidi="ar"/>
              </w:rPr>
              <w:fldChar w:fldCharType="separate"/>
            </w:r>
            <w:r>
              <w:rPr>
                <w:rFonts w:ascii="Times New Roman" w:hAnsi="Times New Roman" w:cs="Times New Roman"/>
                <w:kern w:val="0"/>
                <w:sz w:val="18"/>
                <w:vertAlign w:val="superscript"/>
              </w:rPr>
              <w:t>18</w:t>
            </w:r>
            <w:r>
              <w:rPr>
                <w:rFonts w:ascii="Times New Roman" w:hAnsi="Times New Roman" w:cs="Times New Roman"/>
                <w:color w:val="000000"/>
                <w:sz w:val="18"/>
                <w:szCs w:val="18"/>
                <w:lang w:bidi="ar"/>
              </w:rPr>
              <w:fldChar w:fldCharType="end"/>
            </w:r>
          </w:p>
        </w:tc>
        <w:tc>
          <w:tcPr>
            <w:tcW w:w="654" w:type="pct"/>
            <w:shd w:val="clear" w:color="auto" w:fill="auto"/>
            <w:noWrap/>
            <w:vAlign w:val="center"/>
          </w:tcPr>
          <w:p w14:paraId="5A5C7476">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MODIS images</w:t>
            </w:r>
          </w:p>
        </w:tc>
        <w:tc>
          <w:tcPr>
            <w:tcW w:w="573" w:type="pct"/>
            <w:shd w:val="clear" w:color="auto" w:fill="auto"/>
            <w:noWrap/>
            <w:vAlign w:val="center"/>
          </w:tcPr>
          <w:p w14:paraId="1F9CC09D">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500</w:t>
            </w:r>
          </w:p>
        </w:tc>
        <w:tc>
          <w:tcPr>
            <w:tcW w:w="1126" w:type="pct"/>
            <w:shd w:val="clear" w:color="auto" w:fill="auto"/>
            <w:noWrap/>
            <w:vAlign w:val="center"/>
          </w:tcPr>
          <w:p w14:paraId="10E70E18">
            <w:pPr>
              <w:adjustRightInd w:val="0"/>
              <w:snapToGrid w:val="0"/>
              <w:jc w:val="center"/>
              <w:rPr>
                <w:rFonts w:ascii="Times New Roman" w:hAnsi="Times New Roman" w:cs="Times New Roman"/>
                <w:color w:val="000000"/>
                <w:sz w:val="18"/>
                <w:szCs w:val="18"/>
                <w:lang w:bidi="ar"/>
              </w:rPr>
            </w:pPr>
            <w:r>
              <w:rPr>
                <w:rFonts w:hint="eastAsia" w:ascii="Times New Roman" w:hAnsi="Times New Roman" w:cs="Times New Roman"/>
                <w:color w:val="000000"/>
                <w:sz w:val="18"/>
                <w:szCs w:val="18"/>
                <w:lang w:bidi="ar"/>
              </w:rPr>
              <w:t>D</w:t>
            </w:r>
            <w:r>
              <w:rPr>
                <w:rFonts w:ascii="Times New Roman" w:hAnsi="Times New Roman" w:cs="Times New Roman"/>
                <w:color w:val="000000"/>
                <w:sz w:val="18"/>
                <w:szCs w:val="18"/>
                <w:lang w:bidi="ar"/>
              </w:rPr>
              <w:t>ecision tree</w:t>
            </w:r>
          </w:p>
        </w:tc>
        <w:tc>
          <w:tcPr>
            <w:tcW w:w="694" w:type="pct"/>
            <w:shd w:val="clear" w:color="auto" w:fill="auto"/>
            <w:noWrap/>
            <w:vAlign w:val="center"/>
          </w:tcPr>
          <w:p w14:paraId="2C6BB943">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w:t>
            </w:r>
          </w:p>
        </w:tc>
        <w:tc>
          <w:tcPr>
            <w:tcW w:w="598" w:type="pct"/>
            <w:shd w:val="clear" w:color="auto" w:fill="auto"/>
            <w:noWrap/>
            <w:vAlign w:val="center"/>
          </w:tcPr>
          <w:p w14:paraId="41E3BB8E">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2005–2019</w:t>
            </w:r>
          </w:p>
        </w:tc>
        <w:tc>
          <w:tcPr>
            <w:tcW w:w="897" w:type="pct"/>
            <w:shd w:val="clear" w:color="auto" w:fill="auto"/>
            <w:noWrap/>
            <w:vAlign w:val="center"/>
          </w:tcPr>
          <w:p w14:paraId="77D97E06">
            <w:pPr>
              <w:adjustRightInd w:val="0"/>
              <w:snapToGrid w:val="0"/>
              <w:jc w:val="center"/>
              <w:rPr>
                <w:rFonts w:ascii="Times New Roman" w:hAnsi="Times New Roman" w:cs="Times New Roman"/>
                <w:color w:val="000000"/>
                <w:sz w:val="18"/>
                <w:szCs w:val="18"/>
                <w:lang w:bidi="ar"/>
              </w:rPr>
            </w:pPr>
            <w:r>
              <w:rPr>
                <w:rFonts w:ascii="Times New Roman" w:hAnsi="Times New Roman" w:cs="Times New Roman"/>
                <w:color w:val="000000"/>
                <w:sz w:val="18"/>
                <w:szCs w:val="18"/>
                <w:lang w:bidi="ar"/>
              </w:rPr>
              <w:t>nearly 20%</w:t>
            </w:r>
          </w:p>
        </w:tc>
      </w:tr>
    </w:tbl>
    <w:p w14:paraId="166C1A07">
      <w:pPr>
        <w:pStyle w:val="10"/>
        <w:outlineLvl w:val="9"/>
      </w:pPr>
      <w:r>
        <w:t>References:</w:t>
      </w:r>
    </w:p>
    <w:p w14:paraId="27D2F117">
      <w:pPr>
        <w:pStyle w:val="12"/>
        <w:spacing w:line="240" w:lineRule="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ADDIN ZOTERO_BIBL {"uncited":[],"omitted":[],"custom":[]} CSL_BIBLIOGRAPHY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tab/>
      </w:r>
      <w:r>
        <w:rPr>
          <w:rFonts w:hint="default" w:ascii="Times New Roman" w:hAnsi="Times New Roman" w:cs="Times New Roman"/>
        </w:rPr>
        <w:t xml:space="preserve">Jeffrey, J. D. &amp; Dean, B. G. </w:t>
      </w:r>
      <w:r>
        <w:rPr>
          <w:rFonts w:hint="default" w:ascii="Times New Roman" w:hAnsi="Times New Roman" w:cs="Times New Roman"/>
          <w:i/>
          <w:iCs/>
        </w:rPr>
        <w:t>Global Multi-Resolution Terrain Elevation Data 2010</w:t>
      </w:r>
      <w:r>
        <w:rPr>
          <w:rFonts w:hint="default" w:ascii="Times New Roman" w:hAnsi="Times New Roman" w:cs="Times New Roman"/>
        </w:rPr>
        <w:t>. https://pubs.usgs.gov/publication/ofr20111073 (2011).</w:t>
      </w:r>
    </w:p>
    <w:p w14:paraId="6277CB1B">
      <w:pPr>
        <w:pStyle w:val="12"/>
        <w:spacing w:line="240" w:lineRule="auto"/>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rPr>
        <w:tab/>
      </w:r>
      <w:r>
        <w:rPr>
          <w:rFonts w:hint="default" w:ascii="Times New Roman" w:hAnsi="Times New Roman" w:cs="Times New Roman"/>
        </w:rPr>
        <w:t xml:space="preserve">Lamarque, J.-F. </w:t>
      </w:r>
      <w:r>
        <w:rPr>
          <w:rFonts w:hint="default" w:ascii="Times New Roman" w:hAnsi="Times New Roman" w:cs="Times New Roman"/>
          <w:i/>
          <w:iCs/>
        </w:rPr>
        <w:t>et al.</w:t>
      </w:r>
      <w:r>
        <w:rPr>
          <w:rFonts w:hint="default" w:ascii="Times New Roman" w:hAnsi="Times New Roman" w:cs="Times New Roman"/>
        </w:rPr>
        <w:t xml:space="preserve"> Historical (1850–2000) gridded anthropogenic and biomass burning emissions of reactive gases and aerosols: methodology and application. </w:t>
      </w:r>
      <w:r>
        <w:rPr>
          <w:rFonts w:hint="default" w:ascii="Times New Roman" w:hAnsi="Times New Roman" w:cs="Times New Roman"/>
          <w:i/>
          <w:iCs/>
        </w:rPr>
        <w:t>Atmos. Chem. Phys.</w:t>
      </w:r>
      <w:r>
        <w:rPr>
          <w:rFonts w:hint="default" w:ascii="Times New Roman" w:hAnsi="Times New Roman" w:cs="Times New Roman"/>
        </w:rPr>
        <w:t xml:space="preserve"> </w:t>
      </w:r>
      <w:r>
        <w:rPr>
          <w:rFonts w:hint="default" w:ascii="Times New Roman" w:hAnsi="Times New Roman" w:cs="Times New Roman"/>
          <w:b/>
          <w:bCs/>
        </w:rPr>
        <w:t>10</w:t>
      </w:r>
      <w:r>
        <w:rPr>
          <w:rFonts w:hint="default" w:ascii="Times New Roman" w:hAnsi="Times New Roman" w:cs="Times New Roman"/>
        </w:rPr>
        <w:t>, 7017–7039 (2010).</w:t>
      </w:r>
    </w:p>
    <w:p w14:paraId="28B7BD27">
      <w:pPr>
        <w:pStyle w:val="12"/>
        <w:spacing w:line="240" w:lineRule="auto"/>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rPr>
        <w:tab/>
      </w:r>
      <w:r>
        <w:rPr>
          <w:rFonts w:hint="default" w:ascii="Times New Roman" w:hAnsi="Times New Roman" w:cs="Times New Roman"/>
        </w:rPr>
        <w:t>Xinliang, X. Annual spatially interpolated dataset of meteorological elements in China. (2022).</w:t>
      </w:r>
    </w:p>
    <w:p w14:paraId="2BE03BB0">
      <w:pPr>
        <w:pStyle w:val="12"/>
        <w:spacing w:line="240" w:lineRule="auto"/>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rPr>
        <w:tab/>
      </w:r>
      <w:r>
        <w:rPr>
          <w:rFonts w:hint="default" w:ascii="Times New Roman" w:hAnsi="Times New Roman" w:cs="Times New Roman"/>
        </w:rPr>
        <w:t xml:space="preserve">Cheng, W. </w:t>
      </w:r>
      <w:r>
        <w:rPr>
          <w:rFonts w:hint="default" w:ascii="Times New Roman" w:hAnsi="Times New Roman" w:cs="Times New Roman"/>
          <w:i/>
          <w:iCs/>
        </w:rPr>
        <w:t>et al.</w:t>
      </w:r>
      <w:r>
        <w:rPr>
          <w:rFonts w:hint="default" w:ascii="Times New Roman" w:hAnsi="Times New Roman" w:cs="Times New Roman"/>
        </w:rPr>
        <w:t xml:space="preserve"> Global monthly gridded atmospheric carbon dioxide concentrations under the historical and future scenarios. </w:t>
      </w:r>
      <w:r>
        <w:rPr>
          <w:rFonts w:hint="default" w:ascii="Times New Roman" w:hAnsi="Times New Roman" w:cs="Times New Roman"/>
          <w:i/>
          <w:iCs/>
        </w:rPr>
        <w:t>Sci Data</w:t>
      </w:r>
      <w:r>
        <w:rPr>
          <w:rFonts w:hint="default" w:ascii="Times New Roman" w:hAnsi="Times New Roman" w:cs="Times New Roman"/>
        </w:rPr>
        <w:t xml:space="preserve"> </w:t>
      </w:r>
      <w:r>
        <w:rPr>
          <w:rFonts w:hint="default" w:ascii="Times New Roman" w:hAnsi="Times New Roman" w:cs="Times New Roman"/>
          <w:b/>
          <w:bCs/>
        </w:rPr>
        <w:t>9</w:t>
      </w:r>
      <w:r>
        <w:rPr>
          <w:rFonts w:hint="default" w:ascii="Times New Roman" w:hAnsi="Times New Roman" w:cs="Times New Roman"/>
        </w:rPr>
        <w:t>, 83 (2022).</w:t>
      </w:r>
    </w:p>
    <w:p w14:paraId="545EA375">
      <w:pPr>
        <w:pStyle w:val="12"/>
        <w:spacing w:line="240" w:lineRule="auto"/>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rPr>
        <w:tab/>
      </w:r>
      <w:r>
        <w:rPr>
          <w:rFonts w:hint="default" w:ascii="Times New Roman" w:hAnsi="Times New Roman" w:cs="Times New Roman"/>
        </w:rPr>
        <w:t>Tomislav, H. &amp; Surya, G. Soil water content (volumetric %) for 33kPa and 1500kPa suctions predicted at 6 standard depths (0, 10, 30, 60, 100 and 200 cm) at 250 m resolution. https://doi.org/10.5281/zenodo.2784001 (2019).</w:t>
      </w:r>
    </w:p>
    <w:p w14:paraId="4DB19525">
      <w:pPr>
        <w:pStyle w:val="12"/>
        <w:spacing w:line="240" w:lineRule="auto"/>
        <w:rPr>
          <w:rFonts w:hint="default" w:ascii="Times New Roman" w:hAnsi="Times New Roman" w:cs="Times New Roman"/>
        </w:rPr>
      </w:pPr>
      <w:r>
        <w:rPr>
          <w:rFonts w:hint="default" w:ascii="Times New Roman" w:hAnsi="Times New Roman" w:cs="Times New Roman"/>
        </w:rPr>
        <w:t>6.</w:t>
      </w:r>
      <w:r>
        <w:rPr>
          <w:rFonts w:hint="default" w:ascii="Times New Roman" w:hAnsi="Times New Roman" w:cs="Times New Roman"/>
        </w:rPr>
        <w:tab/>
      </w:r>
      <w:r>
        <w:rPr>
          <w:rFonts w:hint="default" w:ascii="Times New Roman" w:hAnsi="Times New Roman" w:cs="Times New Roman"/>
        </w:rPr>
        <w:t xml:space="preserve">Shi, X. Z. </w:t>
      </w:r>
      <w:r>
        <w:rPr>
          <w:rFonts w:hint="default" w:ascii="Times New Roman" w:hAnsi="Times New Roman" w:cs="Times New Roman"/>
          <w:i/>
          <w:iCs/>
        </w:rPr>
        <w:t>et al.</w:t>
      </w:r>
      <w:r>
        <w:rPr>
          <w:rFonts w:hint="default" w:ascii="Times New Roman" w:hAnsi="Times New Roman" w:cs="Times New Roman"/>
        </w:rPr>
        <w:t xml:space="preserve"> Cross‐Reference System for Translating Between Genetic Soil Classification of China and Soil Taxonomy. </w:t>
      </w:r>
      <w:r>
        <w:rPr>
          <w:rFonts w:hint="default" w:ascii="Times New Roman" w:hAnsi="Times New Roman" w:cs="Times New Roman"/>
          <w:i/>
          <w:iCs/>
        </w:rPr>
        <w:t>Soil Science Soc of Amer J</w:t>
      </w:r>
      <w:r>
        <w:rPr>
          <w:rFonts w:hint="default" w:ascii="Times New Roman" w:hAnsi="Times New Roman" w:cs="Times New Roman"/>
        </w:rPr>
        <w:t xml:space="preserve"> </w:t>
      </w:r>
      <w:r>
        <w:rPr>
          <w:rFonts w:hint="default" w:ascii="Times New Roman" w:hAnsi="Times New Roman" w:cs="Times New Roman"/>
          <w:b/>
          <w:bCs/>
        </w:rPr>
        <w:t>70</w:t>
      </w:r>
      <w:r>
        <w:rPr>
          <w:rFonts w:hint="default" w:ascii="Times New Roman" w:hAnsi="Times New Roman" w:cs="Times New Roman"/>
        </w:rPr>
        <w:t>, 78–83 (2006).</w:t>
      </w:r>
    </w:p>
    <w:p w14:paraId="30B39DE2">
      <w:pPr>
        <w:pStyle w:val="12"/>
        <w:spacing w:line="240" w:lineRule="auto"/>
        <w:rPr>
          <w:rFonts w:hint="default" w:ascii="Times New Roman" w:hAnsi="Times New Roman" w:cs="Times New Roman"/>
        </w:rPr>
      </w:pPr>
      <w:r>
        <w:rPr>
          <w:rFonts w:hint="default" w:ascii="Times New Roman" w:hAnsi="Times New Roman" w:cs="Times New Roman"/>
        </w:rPr>
        <w:t>7.</w:t>
      </w:r>
      <w:r>
        <w:rPr>
          <w:rFonts w:hint="default" w:ascii="Times New Roman" w:hAnsi="Times New Roman" w:cs="Times New Roman"/>
        </w:rPr>
        <w:tab/>
      </w:r>
      <w:r>
        <w:rPr>
          <w:rFonts w:hint="default" w:ascii="Times New Roman" w:hAnsi="Times New Roman" w:cs="Times New Roman"/>
        </w:rPr>
        <w:t xml:space="preserve">Yan, F., Shangguan, W., Zhang, J. &amp; Hu, B. Depth-to-bedrock map of China at a spatial resolution of 100 meters. </w:t>
      </w:r>
      <w:r>
        <w:rPr>
          <w:rFonts w:hint="default" w:ascii="Times New Roman" w:hAnsi="Times New Roman" w:cs="Times New Roman"/>
          <w:i/>
          <w:iCs/>
        </w:rPr>
        <w:t>Sci Data</w:t>
      </w:r>
      <w:r>
        <w:rPr>
          <w:rFonts w:hint="default" w:ascii="Times New Roman" w:hAnsi="Times New Roman" w:cs="Times New Roman"/>
        </w:rPr>
        <w:t xml:space="preserve"> </w:t>
      </w:r>
      <w:r>
        <w:rPr>
          <w:rFonts w:hint="default" w:ascii="Times New Roman" w:hAnsi="Times New Roman" w:cs="Times New Roman"/>
          <w:b/>
          <w:bCs/>
        </w:rPr>
        <w:t>7</w:t>
      </w:r>
      <w:r>
        <w:rPr>
          <w:rFonts w:hint="default" w:ascii="Times New Roman" w:hAnsi="Times New Roman" w:cs="Times New Roman"/>
        </w:rPr>
        <w:t>, 2 (2020).</w:t>
      </w:r>
    </w:p>
    <w:p w14:paraId="75BCC116">
      <w:pPr>
        <w:pStyle w:val="12"/>
        <w:spacing w:line="240" w:lineRule="auto"/>
        <w:rPr>
          <w:rFonts w:hint="default" w:ascii="Times New Roman" w:hAnsi="Times New Roman" w:cs="Times New Roman"/>
        </w:rPr>
      </w:pPr>
      <w:r>
        <w:rPr>
          <w:rFonts w:hint="default" w:ascii="Times New Roman" w:hAnsi="Times New Roman" w:cs="Times New Roman"/>
        </w:rPr>
        <w:t>8.</w:t>
      </w:r>
      <w:r>
        <w:rPr>
          <w:rFonts w:hint="default" w:ascii="Times New Roman" w:hAnsi="Times New Roman" w:cs="Times New Roman"/>
        </w:rPr>
        <w:tab/>
      </w:r>
      <w:r>
        <w:rPr>
          <w:rFonts w:hint="default" w:ascii="Times New Roman" w:hAnsi="Times New Roman" w:cs="Times New Roman"/>
        </w:rPr>
        <w:t xml:space="preserve">Zhou, J. </w:t>
      </w:r>
      <w:r>
        <w:rPr>
          <w:rFonts w:hint="default" w:ascii="Times New Roman" w:hAnsi="Times New Roman" w:cs="Times New Roman"/>
          <w:i/>
          <w:iCs/>
        </w:rPr>
        <w:t>et al.</w:t>
      </w:r>
      <w:r>
        <w:rPr>
          <w:rFonts w:hint="default" w:ascii="Times New Roman" w:hAnsi="Times New Roman" w:cs="Times New Roman"/>
        </w:rPr>
        <w:t xml:space="preserve"> Projection of China’s future runoff based on the CMIP6 mid-high warming scenarios. </w:t>
      </w:r>
      <w:r>
        <w:rPr>
          <w:rFonts w:hint="default" w:ascii="Times New Roman" w:hAnsi="Times New Roman" w:cs="Times New Roman"/>
          <w:i/>
          <w:iCs/>
        </w:rPr>
        <w:t>Sci. China Earth Sci.</w:t>
      </w:r>
      <w:r>
        <w:rPr>
          <w:rFonts w:hint="default" w:ascii="Times New Roman" w:hAnsi="Times New Roman" w:cs="Times New Roman"/>
        </w:rPr>
        <w:t xml:space="preserve"> </w:t>
      </w:r>
      <w:r>
        <w:rPr>
          <w:rFonts w:hint="default" w:ascii="Times New Roman" w:hAnsi="Times New Roman" w:cs="Times New Roman"/>
          <w:b/>
          <w:bCs/>
        </w:rPr>
        <w:t>66</w:t>
      </w:r>
      <w:r>
        <w:rPr>
          <w:rFonts w:hint="default" w:ascii="Times New Roman" w:hAnsi="Times New Roman" w:cs="Times New Roman"/>
        </w:rPr>
        <w:t>, 528–546 (2023).</w:t>
      </w:r>
    </w:p>
    <w:p w14:paraId="65486EF6">
      <w:pPr>
        <w:pStyle w:val="12"/>
        <w:spacing w:line="240" w:lineRule="auto"/>
        <w:rPr>
          <w:rFonts w:hint="default" w:ascii="Times New Roman" w:hAnsi="Times New Roman" w:cs="Times New Roman"/>
        </w:rPr>
      </w:pPr>
      <w:r>
        <w:rPr>
          <w:rFonts w:hint="default" w:ascii="Times New Roman" w:hAnsi="Times New Roman" w:cs="Times New Roman"/>
        </w:rPr>
        <w:t>9.</w:t>
      </w:r>
      <w:r>
        <w:rPr>
          <w:rFonts w:hint="default" w:ascii="Times New Roman" w:hAnsi="Times New Roman" w:cs="Times New Roman"/>
        </w:rPr>
        <w:tab/>
      </w:r>
      <w:r>
        <w:rPr>
          <w:rFonts w:hint="default" w:ascii="Times New Roman" w:hAnsi="Times New Roman" w:cs="Times New Roman"/>
        </w:rPr>
        <w:t xml:space="preserve">Du, Z., Yang, J., Ou, C. &amp; Zhang, T. Agricultural Land Abandonment and Retirement Mapping in the Northern China Crop-Pasture Band Using Temporal Consistency Check and Trajectory-Based Change Detection Approach. </w:t>
      </w:r>
      <w:r>
        <w:rPr>
          <w:rFonts w:hint="default" w:ascii="Times New Roman" w:hAnsi="Times New Roman" w:cs="Times New Roman"/>
          <w:i/>
          <w:iCs/>
        </w:rPr>
        <w:t>IEEE Trans. Geosci. Remote Sensing</w:t>
      </w:r>
      <w:r>
        <w:rPr>
          <w:rFonts w:hint="default" w:ascii="Times New Roman" w:hAnsi="Times New Roman" w:cs="Times New Roman"/>
        </w:rPr>
        <w:t xml:space="preserve"> </w:t>
      </w:r>
      <w:r>
        <w:rPr>
          <w:rFonts w:hint="default" w:ascii="Times New Roman" w:hAnsi="Times New Roman" w:cs="Times New Roman"/>
          <w:b/>
          <w:bCs/>
        </w:rPr>
        <w:t>60</w:t>
      </w:r>
      <w:r>
        <w:rPr>
          <w:rFonts w:hint="default" w:ascii="Times New Roman" w:hAnsi="Times New Roman" w:cs="Times New Roman"/>
        </w:rPr>
        <w:t>, 1–12 (2022).</w:t>
      </w:r>
    </w:p>
    <w:p w14:paraId="26D5CAE1">
      <w:pPr>
        <w:pStyle w:val="12"/>
        <w:spacing w:line="240" w:lineRule="auto"/>
        <w:rPr>
          <w:rFonts w:hint="default" w:ascii="Times New Roman" w:hAnsi="Times New Roman" w:cs="Times New Roman"/>
        </w:rPr>
      </w:pPr>
      <w:r>
        <w:rPr>
          <w:rFonts w:hint="default" w:ascii="Times New Roman" w:hAnsi="Times New Roman" w:cs="Times New Roman"/>
        </w:rPr>
        <w:t>10.</w:t>
      </w:r>
      <w:r>
        <w:rPr>
          <w:rFonts w:hint="default" w:ascii="Times New Roman" w:hAnsi="Times New Roman" w:cs="Times New Roman"/>
        </w:rPr>
        <w:tab/>
      </w:r>
      <w:r>
        <w:rPr>
          <w:rFonts w:hint="default" w:ascii="Times New Roman" w:hAnsi="Times New Roman" w:cs="Times New Roman"/>
        </w:rPr>
        <w:t xml:space="preserve">Hong, C., Prishchepov, A. V., Jin, X. &amp; Zhou, Y. Mapping cropland abandonment and distinguishing from intentional afforestation with Landsat time series. </w:t>
      </w:r>
      <w:r>
        <w:rPr>
          <w:rFonts w:hint="default" w:ascii="Times New Roman" w:hAnsi="Times New Roman" w:cs="Times New Roman"/>
          <w:i/>
          <w:iCs/>
        </w:rPr>
        <w:t>International Journal of Applied Earth Observation and Geoinformation</w:t>
      </w:r>
      <w:r>
        <w:rPr>
          <w:rFonts w:hint="default" w:ascii="Times New Roman" w:hAnsi="Times New Roman" w:cs="Times New Roman"/>
        </w:rPr>
        <w:t xml:space="preserve"> </w:t>
      </w:r>
      <w:r>
        <w:rPr>
          <w:rFonts w:hint="default" w:ascii="Times New Roman" w:hAnsi="Times New Roman" w:cs="Times New Roman"/>
          <w:b/>
          <w:bCs/>
        </w:rPr>
        <w:t>127</w:t>
      </w:r>
      <w:r>
        <w:rPr>
          <w:rFonts w:hint="default" w:ascii="Times New Roman" w:hAnsi="Times New Roman" w:cs="Times New Roman"/>
        </w:rPr>
        <w:t>, 103693 (2024).</w:t>
      </w:r>
    </w:p>
    <w:p w14:paraId="72D4E8B6">
      <w:pPr>
        <w:pStyle w:val="12"/>
        <w:spacing w:line="240" w:lineRule="auto"/>
        <w:rPr>
          <w:rFonts w:hint="default" w:ascii="Times New Roman" w:hAnsi="Times New Roman" w:cs="Times New Roman"/>
        </w:rPr>
      </w:pPr>
      <w:r>
        <w:rPr>
          <w:rFonts w:hint="default" w:ascii="Times New Roman" w:hAnsi="Times New Roman" w:cs="Times New Roman"/>
        </w:rPr>
        <w:t>11.</w:t>
      </w:r>
      <w:r>
        <w:rPr>
          <w:rFonts w:hint="default" w:ascii="Times New Roman" w:hAnsi="Times New Roman" w:cs="Times New Roman"/>
        </w:rPr>
        <w:tab/>
      </w:r>
      <w:r>
        <w:rPr>
          <w:rFonts w:hint="default" w:ascii="Times New Roman" w:hAnsi="Times New Roman" w:cs="Times New Roman"/>
        </w:rPr>
        <w:t>Ivanov, E., Manakos, I. &amp; Benayas, J. M. R. Remote sensing evaluation of afforestation versus natural revegetation on abandoned croplands in central Spain. (2007).</w:t>
      </w:r>
    </w:p>
    <w:p w14:paraId="6CF07930">
      <w:pPr>
        <w:pStyle w:val="12"/>
        <w:spacing w:line="240" w:lineRule="auto"/>
        <w:rPr>
          <w:rFonts w:hint="default" w:ascii="Times New Roman" w:hAnsi="Times New Roman" w:cs="Times New Roman"/>
        </w:rPr>
      </w:pPr>
      <w:r>
        <w:rPr>
          <w:rFonts w:hint="default" w:ascii="Times New Roman" w:hAnsi="Times New Roman" w:cs="Times New Roman"/>
        </w:rPr>
        <w:t>12.</w:t>
      </w:r>
      <w:r>
        <w:rPr>
          <w:rFonts w:hint="default" w:ascii="Times New Roman" w:hAnsi="Times New Roman" w:cs="Times New Roman"/>
        </w:rPr>
        <w:tab/>
      </w:r>
      <w:r>
        <w:rPr>
          <w:rFonts w:hint="default" w:ascii="Times New Roman" w:hAnsi="Times New Roman" w:cs="Times New Roman"/>
        </w:rPr>
        <w:t xml:space="preserve">Janus, J. &amp; Bozek, P. Using ALS data to estimate afforestation and secondary forest succession on agricultural areas: An approach to improve the understanding of land abandonment causes. </w:t>
      </w:r>
      <w:r>
        <w:rPr>
          <w:rFonts w:hint="default" w:ascii="Times New Roman" w:hAnsi="Times New Roman" w:cs="Times New Roman"/>
          <w:i/>
          <w:iCs/>
        </w:rPr>
        <w:t>Applied Geography</w:t>
      </w:r>
      <w:r>
        <w:rPr>
          <w:rFonts w:hint="default" w:ascii="Times New Roman" w:hAnsi="Times New Roman" w:cs="Times New Roman"/>
        </w:rPr>
        <w:t xml:space="preserve"> </w:t>
      </w:r>
      <w:r>
        <w:rPr>
          <w:rFonts w:hint="default" w:ascii="Times New Roman" w:hAnsi="Times New Roman" w:cs="Times New Roman"/>
          <w:b/>
          <w:bCs/>
        </w:rPr>
        <w:t>97</w:t>
      </w:r>
      <w:r>
        <w:rPr>
          <w:rFonts w:hint="default" w:ascii="Times New Roman" w:hAnsi="Times New Roman" w:cs="Times New Roman"/>
        </w:rPr>
        <w:t>, 128–141 (2018).</w:t>
      </w:r>
    </w:p>
    <w:p w14:paraId="60661601">
      <w:pPr>
        <w:pStyle w:val="12"/>
        <w:spacing w:line="240" w:lineRule="auto"/>
        <w:rPr>
          <w:rFonts w:hint="default" w:ascii="Times New Roman" w:hAnsi="Times New Roman" w:cs="Times New Roman"/>
        </w:rPr>
      </w:pPr>
      <w:r>
        <w:rPr>
          <w:rFonts w:hint="default" w:ascii="Times New Roman" w:hAnsi="Times New Roman" w:cs="Times New Roman"/>
        </w:rPr>
        <w:t>13.</w:t>
      </w:r>
      <w:r>
        <w:rPr>
          <w:rFonts w:hint="default" w:ascii="Times New Roman" w:hAnsi="Times New Roman" w:cs="Times New Roman"/>
        </w:rPr>
        <w:tab/>
      </w:r>
      <w:r>
        <w:rPr>
          <w:rFonts w:hint="default" w:ascii="Times New Roman" w:hAnsi="Times New Roman" w:cs="Times New Roman"/>
        </w:rPr>
        <w:t xml:space="preserve">Li, M., Cui, Y., Dong, J. &amp; Qin, Y. Abandoned cropland compensates the decrease in net ecosystem productivity of impervious surface expansion in China. </w:t>
      </w:r>
      <w:r>
        <w:rPr>
          <w:rFonts w:hint="default" w:ascii="Times New Roman" w:hAnsi="Times New Roman" w:cs="Times New Roman"/>
          <w:i/>
          <w:iCs/>
        </w:rPr>
        <w:t>Environmental Impact Assessment Review</w:t>
      </w:r>
      <w:r>
        <w:rPr>
          <w:rFonts w:hint="default" w:ascii="Times New Roman" w:hAnsi="Times New Roman" w:cs="Times New Roman"/>
        </w:rPr>
        <w:t xml:space="preserve"> </w:t>
      </w:r>
      <w:r>
        <w:rPr>
          <w:rFonts w:hint="default" w:ascii="Times New Roman" w:hAnsi="Times New Roman" w:cs="Times New Roman"/>
          <w:b/>
          <w:bCs/>
        </w:rPr>
        <w:t>104</w:t>
      </w:r>
      <w:r>
        <w:rPr>
          <w:rFonts w:hint="default" w:ascii="Times New Roman" w:hAnsi="Times New Roman" w:cs="Times New Roman"/>
        </w:rPr>
        <w:t>, 107363 (2024).</w:t>
      </w:r>
    </w:p>
    <w:p w14:paraId="47671009">
      <w:pPr>
        <w:pStyle w:val="12"/>
        <w:spacing w:line="240" w:lineRule="auto"/>
        <w:rPr>
          <w:rFonts w:hint="default" w:ascii="Times New Roman" w:hAnsi="Times New Roman" w:cs="Times New Roman"/>
        </w:rPr>
      </w:pPr>
      <w:r>
        <w:rPr>
          <w:rFonts w:hint="default" w:ascii="Times New Roman" w:hAnsi="Times New Roman" w:cs="Times New Roman"/>
        </w:rPr>
        <w:t>14.</w:t>
      </w:r>
      <w:r>
        <w:rPr>
          <w:rFonts w:hint="default" w:ascii="Times New Roman" w:hAnsi="Times New Roman" w:cs="Times New Roman"/>
        </w:rPr>
        <w:tab/>
      </w:r>
      <w:r>
        <w:rPr>
          <w:rFonts w:hint="default" w:ascii="Times New Roman" w:hAnsi="Times New Roman" w:cs="Times New Roman"/>
        </w:rPr>
        <w:t xml:space="preserve">Qiu, B. </w:t>
      </w:r>
      <w:r>
        <w:rPr>
          <w:rFonts w:hint="default" w:ascii="Times New Roman" w:hAnsi="Times New Roman" w:cs="Times New Roman"/>
          <w:i/>
          <w:iCs/>
        </w:rPr>
        <w:t>et al.</w:t>
      </w:r>
      <w:r>
        <w:rPr>
          <w:rFonts w:hint="default" w:ascii="Times New Roman" w:hAnsi="Times New Roman" w:cs="Times New Roman"/>
        </w:rPr>
        <w:t xml:space="preserve"> Urban expansion or poor productivity: Explaining regional differences in cropland abandonment in China during the early 21st century. </w:t>
      </w:r>
      <w:r>
        <w:rPr>
          <w:rFonts w:hint="default" w:ascii="Times New Roman" w:hAnsi="Times New Roman" w:cs="Times New Roman"/>
          <w:i/>
          <w:iCs/>
        </w:rPr>
        <w:t>Land Degrad Dev</w:t>
      </w:r>
      <w:r>
        <w:rPr>
          <w:rFonts w:hint="default" w:ascii="Times New Roman" w:hAnsi="Times New Roman" w:cs="Times New Roman"/>
        </w:rPr>
        <w:t xml:space="preserve"> </w:t>
      </w:r>
      <w:r>
        <w:rPr>
          <w:rFonts w:hint="default" w:ascii="Times New Roman" w:hAnsi="Times New Roman" w:cs="Times New Roman"/>
          <w:b/>
          <w:bCs/>
        </w:rPr>
        <w:t>31</w:t>
      </w:r>
      <w:r>
        <w:rPr>
          <w:rFonts w:hint="default" w:ascii="Times New Roman" w:hAnsi="Times New Roman" w:cs="Times New Roman"/>
        </w:rPr>
        <w:t>, 2540–2551 (2020).</w:t>
      </w:r>
    </w:p>
    <w:p w14:paraId="57DF03C8">
      <w:pPr>
        <w:pStyle w:val="12"/>
        <w:spacing w:line="240" w:lineRule="auto"/>
        <w:rPr>
          <w:rFonts w:hint="default" w:ascii="Times New Roman" w:hAnsi="Times New Roman" w:cs="Times New Roman"/>
        </w:rPr>
      </w:pPr>
      <w:r>
        <w:rPr>
          <w:rFonts w:hint="default" w:ascii="Times New Roman" w:hAnsi="Times New Roman" w:cs="Times New Roman"/>
        </w:rPr>
        <w:t>15.</w:t>
      </w:r>
      <w:r>
        <w:rPr>
          <w:rFonts w:hint="default" w:ascii="Times New Roman" w:hAnsi="Times New Roman" w:cs="Times New Roman"/>
        </w:rPr>
        <w:tab/>
      </w:r>
      <w:r>
        <w:rPr>
          <w:rFonts w:hint="default" w:ascii="Times New Roman" w:hAnsi="Times New Roman" w:cs="Times New Roman"/>
        </w:rPr>
        <w:t xml:space="preserve">Wang, H. </w:t>
      </w:r>
      <w:r>
        <w:rPr>
          <w:rFonts w:hint="default" w:ascii="Times New Roman" w:hAnsi="Times New Roman" w:cs="Times New Roman"/>
          <w:i/>
          <w:iCs/>
        </w:rPr>
        <w:t>et al.</w:t>
      </w:r>
      <w:r>
        <w:rPr>
          <w:rFonts w:hint="default" w:ascii="Times New Roman" w:hAnsi="Times New Roman" w:cs="Times New Roman"/>
        </w:rPr>
        <w:t xml:space="preserve"> Is Abandoned Cropland Continuously Growing in China? Quantitative Evidence and Enlightenment from Landsat-Derived Annual China Land Cover Dataset. </w:t>
      </w:r>
      <w:r>
        <w:rPr>
          <w:rFonts w:hint="default" w:ascii="Times New Roman" w:hAnsi="Times New Roman" w:cs="Times New Roman"/>
          <w:i/>
          <w:iCs/>
        </w:rPr>
        <w:t>Land</w:t>
      </w:r>
      <w:r>
        <w:rPr>
          <w:rFonts w:hint="default" w:ascii="Times New Roman" w:hAnsi="Times New Roman" w:cs="Times New Roman"/>
        </w:rPr>
        <w:t xml:space="preserve"> </w:t>
      </w:r>
      <w:r>
        <w:rPr>
          <w:rFonts w:hint="default" w:ascii="Times New Roman" w:hAnsi="Times New Roman" w:cs="Times New Roman"/>
          <w:b/>
          <w:bCs/>
        </w:rPr>
        <w:t>13</w:t>
      </w:r>
      <w:r>
        <w:rPr>
          <w:rFonts w:hint="default" w:ascii="Times New Roman" w:hAnsi="Times New Roman" w:cs="Times New Roman"/>
        </w:rPr>
        <w:t>, 45 (2023).</w:t>
      </w:r>
    </w:p>
    <w:p w14:paraId="21A0F9AF">
      <w:pPr>
        <w:pStyle w:val="12"/>
        <w:spacing w:line="240" w:lineRule="auto"/>
        <w:rPr>
          <w:rFonts w:hint="default" w:ascii="Times New Roman" w:hAnsi="Times New Roman" w:cs="Times New Roman"/>
        </w:rPr>
      </w:pPr>
      <w:r>
        <w:rPr>
          <w:rFonts w:hint="default" w:ascii="Times New Roman" w:hAnsi="Times New Roman" w:cs="Times New Roman"/>
        </w:rPr>
        <w:t>16.</w:t>
      </w:r>
      <w:r>
        <w:rPr>
          <w:rFonts w:hint="default" w:ascii="Times New Roman" w:hAnsi="Times New Roman" w:cs="Times New Roman"/>
        </w:rPr>
        <w:tab/>
      </w:r>
      <w:r>
        <w:rPr>
          <w:rFonts w:hint="default" w:ascii="Times New Roman" w:hAnsi="Times New Roman" w:cs="Times New Roman"/>
        </w:rPr>
        <w:t xml:space="preserve">Zhang, M. </w:t>
      </w:r>
      <w:r>
        <w:rPr>
          <w:rFonts w:hint="default" w:ascii="Times New Roman" w:hAnsi="Times New Roman" w:cs="Times New Roman"/>
          <w:i/>
          <w:iCs/>
        </w:rPr>
        <w:t>et al.</w:t>
      </w:r>
      <w:r>
        <w:rPr>
          <w:rFonts w:hint="default" w:ascii="Times New Roman" w:hAnsi="Times New Roman" w:cs="Times New Roman"/>
        </w:rPr>
        <w:t xml:space="preserve"> Reveal the severe spatial and temporal patterns of abandoned cropland in China over the past 30 years. </w:t>
      </w:r>
      <w:r>
        <w:rPr>
          <w:rFonts w:hint="default" w:ascii="Times New Roman" w:hAnsi="Times New Roman" w:cs="Times New Roman"/>
          <w:i/>
          <w:iCs/>
        </w:rPr>
        <w:t>Science of The Total Environment</w:t>
      </w:r>
      <w:r>
        <w:rPr>
          <w:rFonts w:hint="default" w:ascii="Times New Roman" w:hAnsi="Times New Roman" w:cs="Times New Roman"/>
        </w:rPr>
        <w:t xml:space="preserve"> </w:t>
      </w:r>
      <w:r>
        <w:rPr>
          <w:rFonts w:hint="default" w:ascii="Times New Roman" w:hAnsi="Times New Roman" w:cs="Times New Roman"/>
          <w:b/>
          <w:bCs/>
        </w:rPr>
        <w:t>857</w:t>
      </w:r>
      <w:r>
        <w:rPr>
          <w:rFonts w:hint="default" w:ascii="Times New Roman" w:hAnsi="Times New Roman" w:cs="Times New Roman"/>
        </w:rPr>
        <w:t>, 159591 (2023).</w:t>
      </w:r>
    </w:p>
    <w:p w14:paraId="379762E0">
      <w:pPr>
        <w:pStyle w:val="12"/>
        <w:spacing w:line="240" w:lineRule="auto"/>
        <w:rPr>
          <w:rFonts w:hint="default" w:ascii="Times New Roman" w:hAnsi="Times New Roman" w:cs="Times New Roman"/>
        </w:rPr>
      </w:pPr>
      <w:r>
        <w:rPr>
          <w:rFonts w:hint="default" w:ascii="Times New Roman" w:hAnsi="Times New Roman" w:cs="Times New Roman"/>
        </w:rPr>
        <w:t>17.</w:t>
      </w:r>
      <w:r>
        <w:rPr>
          <w:rFonts w:hint="default" w:ascii="Times New Roman" w:hAnsi="Times New Roman" w:cs="Times New Roman"/>
        </w:rPr>
        <w:tab/>
      </w:r>
      <w:r>
        <w:rPr>
          <w:rFonts w:hint="default" w:ascii="Times New Roman" w:hAnsi="Times New Roman" w:cs="Times New Roman"/>
        </w:rPr>
        <w:t xml:space="preserve">Zhu, X., Xiao, G., Zhang, D. &amp; Guo, L. Mapping abandoned farmland in China using time series MODIS NDVI. </w:t>
      </w:r>
      <w:r>
        <w:rPr>
          <w:rFonts w:hint="default" w:ascii="Times New Roman" w:hAnsi="Times New Roman" w:cs="Times New Roman"/>
          <w:i/>
          <w:iCs/>
        </w:rPr>
        <w:t>Science of The Total Environment</w:t>
      </w:r>
      <w:r>
        <w:rPr>
          <w:rFonts w:hint="default" w:ascii="Times New Roman" w:hAnsi="Times New Roman" w:cs="Times New Roman"/>
        </w:rPr>
        <w:t xml:space="preserve"> </w:t>
      </w:r>
      <w:r>
        <w:rPr>
          <w:rFonts w:hint="default" w:ascii="Times New Roman" w:hAnsi="Times New Roman" w:cs="Times New Roman"/>
          <w:b/>
          <w:bCs/>
        </w:rPr>
        <w:t>755</w:t>
      </w:r>
      <w:r>
        <w:rPr>
          <w:rFonts w:hint="default" w:ascii="Times New Roman" w:hAnsi="Times New Roman" w:cs="Times New Roman"/>
        </w:rPr>
        <w:t>, 142651 (2021).</w:t>
      </w:r>
    </w:p>
    <w:p w14:paraId="45B8FCF9">
      <w:pPr>
        <w:pStyle w:val="12"/>
        <w:spacing w:line="240" w:lineRule="auto"/>
        <w:rPr>
          <w:rFonts w:hint="default" w:ascii="Times New Roman" w:hAnsi="Times New Roman" w:cs="Times New Roman"/>
        </w:rPr>
      </w:pPr>
      <w:r>
        <w:rPr>
          <w:rFonts w:hint="default" w:ascii="Times New Roman" w:hAnsi="Times New Roman" w:cs="Times New Roman"/>
        </w:rPr>
        <w:t>18.</w:t>
      </w:r>
      <w:r>
        <w:rPr>
          <w:rFonts w:hint="default" w:ascii="Times New Roman" w:hAnsi="Times New Roman" w:cs="Times New Roman"/>
        </w:rPr>
        <w:tab/>
      </w:r>
      <w:r>
        <w:rPr>
          <w:rFonts w:hint="default" w:ascii="Times New Roman" w:hAnsi="Times New Roman" w:cs="Times New Roman"/>
        </w:rPr>
        <w:t xml:space="preserve">Li, L., Pan, Y., Zheng, R. &amp; Liu, X. Understanding the spatiotemporal patterns of seasonal, annual, and consecutive farmland abandonment in China with time‐series MODIS images during the period 2005–2019. </w:t>
      </w:r>
      <w:r>
        <w:rPr>
          <w:rFonts w:hint="default" w:ascii="Times New Roman" w:hAnsi="Times New Roman" w:cs="Times New Roman"/>
          <w:i/>
          <w:iCs/>
        </w:rPr>
        <w:t>Land Degrad Dev</w:t>
      </w:r>
      <w:r>
        <w:rPr>
          <w:rFonts w:hint="default" w:ascii="Times New Roman" w:hAnsi="Times New Roman" w:cs="Times New Roman"/>
        </w:rPr>
        <w:t xml:space="preserve"> </w:t>
      </w:r>
      <w:r>
        <w:rPr>
          <w:rFonts w:hint="default" w:ascii="Times New Roman" w:hAnsi="Times New Roman" w:cs="Times New Roman"/>
          <w:b/>
          <w:bCs/>
        </w:rPr>
        <w:t>33</w:t>
      </w:r>
      <w:r>
        <w:rPr>
          <w:rFonts w:hint="default" w:ascii="Times New Roman" w:hAnsi="Times New Roman" w:cs="Times New Roman"/>
        </w:rPr>
        <w:t>, 1608–1625 (2022).</w:t>
      </w:r>
    </w:p>
    <w:p w14:paraId="59EE8C59">
      <w:pPr>
        <w:spacing w:line="240" w:lineRule="auto"/>
      </w:pPr>
      <w:r>
        <w:rPr>
          <w:rFonts w:hint="default" w:ascii="Times New Roman" w:hAnsi="Times New Roman" w:cs="Times New Roman"/>
        </w:rPr>
        <w:fldChar w:fldCharType="end"/>
      </w: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95D"/>
    <w:rsid w:val="002C6964"/>
    <w:rsid w:val="00313F56"/>
    <w:rsid w:val="00402242"/>
    <w:rsid w:val="00420575"/>
    <w:rsid w:val="005D773E"/>
    <w:rsid w:val="005E495D"/>
    <w:rsid w:val="0060236B"/>
    <w:rsid w:val="00604AEA"/>
    <w:rsid w:val="006659FF"/>
    <w:rsid w:val="007D10A7"/>
    <w:rsid w:val="008B1549"/>
    <w:rsid w:val="00AF4BF2"/>
    <w:rsid w:val="00E23C26"/>
    <w:rsid w:val="00E44E2D"/>
    <w:rsid w:val="00E4637E"/>
    <w:rsid w:val="01213882"/>
    <w:rsid w:val="061439B5"/>
    <w:rsid w:val="090C438D"/>
    <w:rsid w:val="0A756021"/>
    <w:rsid w:val="151C4634"/>
    <w:rsid w:val="20937EA1"/>
    <w:rsid w:val="27421C25"/>
    <w:rsid w:val="28A702B3"/>
    <w:rsid w:val="2EB55610"/>
    <w:rsid w:val="31334BE0"/>
    <w:rsid w:val="3200022C"/>
    <w:rsid w:val="37144D14"/>
    <w:rsid w:val="382B67B9"/>
    <w:rsid w:val="3CD84F74"/>
    <w:rsid w:val="426113AB"/>
    <w:rsid w:val="455F5504"/>
    <w:rsid w:val="4CD608CB"/>
    <w:rsid w:val="4E102281"/>
    <w:rsid w:val="4F011C0D"/>
    <w:rsid w:val="52D11624"/>
    <w:rsid w:val="54743BAD"/>
    <w:rsid w:val="5A950C25"/>
    <w:rsid w:val="5A9E15E4"/>
    <w:rsid w:val="5B5C091F"/>
    <w:rsid w:val="642A08BF"/>
    <w:rsid w:val="69B558D9"/>
    <w:rsid w:val="6D4319ED"/>
    <w:rsid w:val="6D9A4D34"/>
    <w:rsid w:val="6DFA6F7F"/>
    <w:rsid w:val="70DF09D9"/>
    <w:rsid w:val="713D7475"/>
    <w:rsid w:val="758B45A3"/>
    <w:rsid w:val="7B467923"/>
    <w:rsid w:val="7EFC06EE"/>
    <w:rsid w:val="7F58120E"/>
    <w:rsid w:val="7FFC7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
    <w:qFormat/>
    <w:uiPriority w:val="0"/>
    <w:pPr>
      <w:adjustRightInd w:val="0"/>
      <w:snapToGrid w:val="0"/>
      <w:spacing w:beforeAutospacing="1" w:afterAutospacing="1" w:line="480" w:lineRule="auto"/>
      <w:ind w:firstLine="420" w:firstLineChars="200"/>
      <w:jc w:val="left"/>
      <w:outlineLvl w:val="0"/>
    </w:pPr>
    <w:rPr>
      <w:rFonts w:hint="eastAsia" w:ascii="宋体" w:hAnsi="宋体" w:eastAsia="宋体" w:cs="Times New Roman"/>
      <w:b/>
      <w:bCs/>
      <w:kern w:val="44"/>
      <w:sz w:val="48"/>
      <w:szCs w:val="48"/>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1"/>
    <w:qFormat/>
    <w:uiPriority w:val="0"/>
    <w:pPr>
      <w:adjustRightInd w:val="0"/>
      <w:snapToGrid w:val="0"/>
      <w:spacing w:before="120" w:after="120" w:line="480" w:lineRule="auto"/>
      <w:ind w:firstLine="420" w:firstLineChars="200"/>
      <w:jc w:val="left"/>
    </w:pPr>
    <w:rPr>
      <w:rFonts w:ascii="Calibri" w:hAnsi="Calibri" w:eastAsia="宋体" w:cs="Times New Roman"/>
    </w:rPr>
  </w:style>
  <w:style w:type="character" w:styleId="6">
    <w:name w:val="line number"/>
    <w:basedOn w:val="5"/>
    <w:qFormat/>
    <w:uiPriority w:val="0"/>
  </w:style>
  <w:style w:type="character" w:styleId="7">
    <w:name w:val="Hyperlink"/>
    <w:basedOn w:val="5"/>
    <w:qFormat/>
    <w:uiPriority w:val="0"/>
    <w:rPr>
      <w:color w:val="0000FF"/>
      <w:u w:val="single"/>
    </w:rPr>
  </w:style>
  <w:style w:type="character" w:styleId="8">
    <w:name w:val="annotation reference"/>
    <w:basedOn w:val="5"/>
    <w:uiPriority w:val="0"/>
    <w:rPr>
      <w:sz w:val="21"/>
      <w:szCs w:val="21"/>
    </w:rPr>
  </w:style>
  <w:style w:type="character" w:customStyle="1" w:styleId="9">
    <w:name w:val="标题 1 字符"/>
    <w:basedOn w:val="5"/>
    <w:link w:val="2"/>
    <w:qFormat/>
    <w:uiPriority w:val="0"/>
    <w:rPr>
      <w:rFonts w:hint="eastAsia" w:ascii="宋体" w:hAnsi="宋体" w:eastAsia="宋体" w:cs="宋体"/>
      <w:b/>
      <w:bCs/>
      <w:kern w:val="44"/>
      <w:sz w:val="48"/>
      <w:szCs w:val="48"/>
    </w:rPr>
  </w:style>
  <w:style w:type="paragraph" w:customStyle="1" w:styleId="10">
    <w:name w:val="MDPI_2.2_heading2"/>
    <w:basedOn w:val="1"/>
    <w:qFormat/>
    <w:uiPriority w:val="0"/>
    <w:pPr>
      <w:widowControl/>
      <w:kinsoku w:val="0"/>
      <w:overflowPunct w:val="0"/>
      <w:autoSpaceDE w:val="0"/>
      <w:autoSpaceDN w:val="0"/>
      <w:adjustRightInd w:val="0"/>
      <w:snapToGrid w:val="0"/>
      <w:spacing w:before="240" w:after="120" w:line="260" w:lineRule="atLeast"/>
      <w:jc w:val="left"/>
      <w:outlineLvl w:val="1"/>
    </w:pPr>
    <w:rPr>
      <w:rFonts w:ascii="Times New Roman" w:hAnsi="Times New Roman" w:eastAsia="宋体" w:cs="Times New Roman"/>
      <w:b/>
      <w:bCs/>
      <w:iCs/>
      <w:color w:val="000000"/>
      <w:kern w:val="0"/>
    </w:rPr>
  </w:style>
  <w:style w:type="character" w:customStyle="1" w:styleId="11">
    <w:name w:val="批注文字 字符"/>
    <w:basedOn w:val="5"/>
    <w:link w:val="3"/>
    <w:qFormat/>
    <w:uiPriority w:val="0"/>
    <w:rPr>
      <w:rFonts w:hint="default" w:ascii="Calibri" w:hAnsi="Calibri" w:eastAsia="宋体" w:cs="Calibri"/>
      <w:kern w:val="2"/>
      <w:sz w:val="21"/>
      <w:szCs w:val="24"/>
    </w:rPr>
  </w:style>
  <w:style w:type="paragraph" w:customStyle="1" w:styleId="12">
    <w:name w:val="Bibliography"/>
    <w:basedOn w:val="1"/>
    <w:next w:val="1"/>
    <w:unhideWhenUsed/>
    <w:qFormat/>
    <w:uiPriority w:val="37"/>
    <w:pPr>
      <w:tabs>
        <w:tab w:val="left" w:pos="384"/>
      </w:tabs>
      <w:spacing w:line="480" w:lineRule="auto"/>
      <w:ind w:left="384" w:hanging="384"/>
    </w:p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554</Words>
  <Characters>3267</Characters>
  <Lines>388</Lines>
  <Paragraphs>109</Paragraphs>
  <TotalTime>7</TotalTime>
  <ScaleCrop>false</ScaleCrop>
  <LinksUpToDate>false</LinksUpToDate>
  <CharactersWithSpaces>3753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2024-12-30T02:37:00Z</dcterms:created>
  <dc:creator>WIN</dc:creator>
  <cp:lastModifiedBy>Taoliu</cp:lastModifiedBy>
  <dcterms:modified xsi:type="dcterms:W3CDTF">2025-02-11T07:24:16Z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eyJoZGlkIjoiMjI3YThkMzMzZmFmZTY3MmUwNTVmM2Y5NGI0YWVmZjMiLCJ1c2VySWQiOiI0MTE0NjA4MzEifQ==</vt:lpwstr>
  </property>
  <property fmtid="{D5CDD505-2E9C-101B-9397-08002B2CF9AE}" pid="4" name="ICV">
    <vt:lpwstr>B453EEB77D32447591EEC6955F9936B3_12</vt:lpwstr>
  </property>
  <property fmtid="{D5CDD505-2E9C-101B-9397-08002B2CF9AE}" pid="5" name="ZOTERO_PREF_1">
    <vt:lpwstr>&lt;data data-version="3" zotero-version="7.0.11"&gt;&lt;session id="QLsVEPcd"/&gt;&lt;style id="http://www.zotero.org/styles/nature" hasBibliography="1" bibliographyStyleHasBeenSet="1"/&gt;&lt;prefs&gt;&lt;pref name="fieldType" value="Field"/&gt;&lt;/prefs&gt;&lt;/data&gt;</vt:lpwstr>
  </property>
</Properties>
</file>