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8B4585" w14:textId="77777777" w:rsidR="00645614" w:rsidRDefault="00645614" w:rsidP="00645614">
      <w:pPr>
        <w:rPr>
          <w:rFonts w:cs="Times New Roman"/>
          <w:b/>
          <w:bCs/>
        </w:rPr>
      </w:pPr>
      <w:r>
        <w:rPr>
          <w:rFonts w:cs="Times New Roman" w:hint="eastAsia"/>
          <w:b/>
          <w:bCs/>
        </w:rPr>
        <w:t>Supplyment Figures Legends</w:t>
      </w:r>
    </w:p>
    <w:p w14:paraId="51F6C107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S1. Differentially expressed genes between CD8_CM and other cell types.</w:t>
      </w:r>
    </w:p>
    <w:p w14:paraId="02580EDA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S2. Reverse MR results between SRSF7, TUBA1B, DEK, PCNA, ANP32E genes and breast cancer.</w:t>
      </w:r>
    </w:p>
    <w:p w14:paraId="073E647E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S3. MR analysis reveal no causal relationships between the genes and breast cancer.</w:t>
      </w:r>
    </w:p>
    <w:p w14:paraId="7FA1D817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S4 - Figure S8. Bayesian colocalization analysis between 59 genes and breast cancer.</w:t>
      </w:r>
    </w:p>
    <w:p w14:paraId="7EEBE287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S9. Bayesian colocalization analysis between three genes (ITGAE, PTTG1, CKS1B) and both breast cancer and CRC.</w:t>
      </w:r>
    </w:p>
    <w:p w14:paraId="3A5E5399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S10. The interactions between these target genes within CD8_CM and other clustered cells in breast cancer.</w:t>
      </w:r>
    </w:p>
    <w:p w14:paraId="4FB9E67A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Fgure S11. The interactions between these target genes within CD8_CM and other clustered cells through the MIF- (CD74+CXCR4), MIF- (CD74+CD44) pathways in CRC.</w:t>
      </w:r>
    </w:p>
    <w:p w14:paraId="29CBC49E" w14:textId="77777777" w:rsidR="00645614" w:rsidRDefault="00645614" w:rsidP="00645614">
      <w:pPr>
        <w:rPr>
          <w:rFonts w:cs="Times New Roman"/>
        </w:rPr>
      </w:pPr>
      <w:r>
        <w:rPr>
          <w:rFonts w:cs="Times New Roman"/>
        </w:rPr>
        <w:t>Figure S12. The average scores for cysteine and methionine metabolism pathways.</w:t>
      </w:r>
    </w:p>
    <w:p w14:paraId="74E8B442" w14:textId="0942A344" w:rsidR="008C374B" w:rsidRDefault="00645614" w:rsidP="00645614">
      <w:r>
        <w:rPr>
          <w:rFonts w:cs="Times New Roman"/>
        </w:rPr>
        <w:t>Figure S13. PPI analysis among these four genes (ZFP36L2, CKS1B, ITGAE, and PPTG1) interactions .</w:t>
      </w:r>
    </w:p>
    <w:sectPr w:rsidR="008C3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614"/>
    <w:rsid w:val="002A5090"/>
    <w:rsid w:val="003F36CB"/>
    <w:rsid w:val="005C6F5D"/>
    <w:rsid w:val="00645614"/>
    <w:rsid w:val="007620B2"/>
    <w:rsid w:val="00787B7D"/>
    <w:rsid w:val="008C374B"/>
    <w:rsid w:val="00954821"/>
    <w:rsid w:val="00A35E64"/>
    <w:rsid w:val="00A800EA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E4CF9"/>
  <w15:chartTrackingRefBased/>
  <w15:docId w15:val="{92989C89-3296-4461-ADD7-2EE1910395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5614"/>
    <w:pPr>
      <w:widowControl w:val="0"/>
      <w:spacing w:after="0" w:line="240" w:lineRule="auto"/>
      <w:jc w:val="both"/>
    </w:pPr>
    <w:rPr>
      <w:rFonts w:ascii="Times New Roman" w:eastAsiaTheme="minorEastAsia" w:hAnsi="Times New Roman"/>
      <w:color w:val="000000" w:themeColor="text1"/>
      <w:sz w:val="21"/>
      <w:szCs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614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5614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5614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5614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5614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5614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5614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5614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5614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56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56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56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56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56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56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56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56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56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5614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56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5614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56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5614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56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5614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color w:val="auto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56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614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6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56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813</Characters>
  <Application>Microsoft Office Word</Application>
  <DocSecurity>0</DocSecurity>
  <Lines>6</Lines>
  <Paragraphs>1</Paragraphs>
  <ScaleCrop>false</ScaleCrop>
  <Company>Springer Nature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2025-05-26T08:28:00Z</dcterms:created>
  <dcterms:modified xsi:type="dcterms:W3CDTF">2025-05-26T08:28:00Z</dcterms:modified>
</cp:coreProperties>
</file>