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8D3F3" w14:textId="77777777" w:rsidR="00867DCD" w:rsidRPr="00CE7091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</w:rPr>
      </w:pPr>
      <w:r w:rsidRPr="00CE7091">
        <w:rPr>
          <w:rFonts w:ascii="Times New Roman" w:hAnsi="Times New Roman"/>
          <w:sz w:val="21"/>
          <w:szCs w:val="21"/>
        </w:rPr>
        <w:t>Table 1: Protocol Characteristics</w:t>
      </w:r>
    </w:p>
    <w:tbl>
      <w:tblPr>
        <w:tblW w:w="1413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7"/>
        <w:gridCol w:w="2805"/>
        <w:gridCol w:w="3659"/>
        <w:gridCol w:w="3466"/>
        <w:gridCol w:w="2725"/>
      </w:tblGrid>
      <w:tr w:rsidR="00867DCD" w:rsidRPr="009D584B" w14:paraId="51E09CDA" w14:textId="77777777" w:rsidTr="002374F1">
        <w:trPr>
          <w:trHeight w:val="134"/>
        </w:trPr>
        <w:tc>
          <w:tcPr>
            <w:tcW w:w="1477" w:type="dxa"/>
            <w:vAlign w:val="center"/>
          </w:tcPr>
          <w:p w14:paraId="31F7D709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First Author</w:t>
            </w:r>
          </w:p>
        </w:tc>
        <w:tc>
          <w:tcPr>
            <w:tcW w:w="2805" w:type="dxa"/>
          </w:tcPr>
          <w:p w14:paraId="0C01523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141413"/>
                <w:kern w:val="2"/>
                <w:sz w:val="20"/>
                <w:szCs w:val="20"/>
                <w:lang w:val="el-GR"/>
              </w:rPr>
              <w:t>Agulto-Mercadal</w:t>
            </w:r>
            <w:r w:rsidRPr="009D584B">
              <w:rPr>
                <w:rFonts w:ascii="Times New Roman" w:eastAsia="Times New Roman" w:hAnsi="Times New Roman"/>
                <w:color w:val="141413"/>
                <w:kern w:val="2"/>
                <w:sz w:val="20"/>
                <w:szCs w:val="20"/>
                <w:lang w:val="en-US"/>
              </w:rPr>
              <w:t xml:space="preserve"> et al. 2020</w:t>
            </w:r>
          </w:p>
        </w:tc>
        <w:tc>
          <w:tcPr>
            <w:tcW w:w="3659" w:type="dxa"/>
          </w:tcPr>
          <w:p w14:paraId="29BC72B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141413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Birge, Φ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 et al. 2022</w:t>
            </w:r>
          </w:p>
        </w:tc>
        <w:tc>
          <w:tcPr>
            <w:tcW w:w="3466" w:type="dxa"/>
          </w:tcPr>
          <w:p w14:paraId="3D8A4CD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Ghalleb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, M et al. 2019</w:t>
            </w:r>
          </w:p>
        </w:tc>
        <w:tc>
          <w:tcPr>
            <w:tcW w:w="2725" w:type="dxa"/>
          </w:tcPr>
          <w:p w14:paraId="7DB2DD4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Chen, J et al. 2020</w:t>
            </w:r>
          </w:p>
        </w:tc>
      </w:tr>
      <w:tr w:rsidR="00867DCD" w:rsidRPr="009D584B" w14:paraId="67C58D78" w14:textId="77777777" w:rsidTr="002374F1">
        <w:trPr>
          <w:trHeight w:val="55"/>
        </w:trPr>
        <w:tc>
          <w:tcPr>
            <w:tcW w:w="1477" w:type="dxa"/>
            <w:vAlign w:val="center"/>
          </w:tcPr>
          <w:p w14:paraId="30EE34EF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Country</w:t>
            </w:r>
          </w:p>
        </w:tc>
        <w:tc>
          <w:tcPr>
            <w:tcW w:w="2805" w:type="dxa"/>
          </w:tcPr>
          <w:p w14:paraId="3D71713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Philippines</w:t>
            </w:r>
          </w:p>
        </w:tc>
        <w:tc>
          <w:tcPr>
            <w:tcW w:w="3659" w:type="dxa"/>
          </w:tcPr>
          <w:p w14:paraId="4411344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Turkey</w:t>
            </w:r>
          </w:p>
        </w:tc>
        <w:tc>
          <w:tcPr>
            <w:tcW w:w="3466" w:type="dxa"/>
          </w:tcPr>
          <w:p w14:paraId="630E835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Tun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isia</w:t>
            </w:r>
          </w:p>
        </w:tc>
        <w:tc>
          <w:tcPr>
            <w:tcW w:w="2725" w:type="dxa"/>
          </w:tcPr>
          <w:p w14:paraId="3ED0B53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China</w:t>
            </w:r>
          </w:p>
        </w:tc>
      </w:tr>
      <w:tr w:rsidR="00867DCD" w:rsidRPr="009D584B" w14:paraId="67BE8926" w14:textId="77777777" w:rsidTr="002374F1">
        <w:trPr>
          <w:trHeight w:val="204"/>
        </w:trPr>
        <w:tc>
          <w:tcPr>
            <w:tcW w:w="1477" w:type="dxa"/>
            <w:vAlign w:val="center"/>
          </w:tcPr>
          <w:p w14:paraId="20D12A29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Study Design</w:t>
            </w:r>
          </w:p>
        </w:tc>
        <w:tc>
          <w:tcPr>
            <w:tcW w:w="2805" w:type="dxa"/>
          </w:tcPr>
          <w:p w14:paraId="134B1A26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141413"/>
                <w:kern w:val="2"/>
                <w:sz w:val="20"/>
                <w:szCs w:val="20"/>
                <w:lang w:val="el-GR"/>
              </w:rPr>
              <w:t>Retrospe-ctive cohort</w:t>
            </w:r>
          </w:p>
        </w:tc>
        <w:tc>
          <w:tcPr>
            <w:tcW w:w="3659" w:type="dxa"/>
          </w:tcPr>
          <w:p w14:paraId="4336E092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141413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Retrospective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 cohort</w:t>
            </w:r>
          </w:p>
        </w:tc>
        <w:tc>
          <w:tcPr>
            <w:tcW w:w="3466" w:type="dxa"/>
          </w:tcPr>
          <w:p w14:paraId="2B5226C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Case series</w:t>
            </w:r>
          </w:p>
        </w:tc>
        <w:tc>
          <w:tcPr>
            <w:tcW w:w="2725" w:type="dxa"/>
          </w:tcPr>
          <w:p w14:paraId="09A706D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Multicenter Retrospective</w:t>
            </w:r>
          </w:p>
        </w:tc>
      </w:tr>
      <w:tr w:rsidR="00867DCD" w:rsidRPr="009D584B" w14:paraId="2C473DC9" w14:textId="77777777" w:rsidTr="002374F1">
        <w:trPr>
          <w:trHeight w:val="426"/>
        </w:trPr>
        <w:tc>
          <w:tcPr>
            <w:tcW w:w="1477" w:type="dxa"/>
            <w:vAlign w:val="center"/>
          </w:tcPr>
          <w:p w14:paraId="13A05A3D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Number of patients</w:t>
            </w:r>
          </w:p>
        </w:tc>
        <w:tc>
          <w:tcPr>
            <w:tcW w:w="2805" w:type="dxa"/>
          </w:tcPr>
          <w:p w14:paraId="09B28B1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34</w:t>
            </w:r>
          </w:p>
        </w:tc>
        <w:tc>
          <w:tcPr>
            <w:tcW w:w="3659" w:type="dxa"/>
          </w:tcPr>
          <w:p w14:paraId="218DA16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66</w:t>
            </w:r>
          </w:p>
        </w:tc>
        <w:tc>
          <w:tcPr>
            <w:tcW w:w="3466" w:type="dxa"/>
          </w:tcPr>
          <w:p w14:paraId="5176D0C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8</w:t>
            </w:r>
          </w:p>
        </w:tc>
        <w:tc>
          <w:tcPr>
            <w:tcW w:w="2725" w:type="dxa"/>
          </w:tcPr>
          <w:p w14:paraId="563437A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87</w:t>
            </w:r>
          </w:p>
        </w:tc>
      </w:tr>
      <w:tr w:rsidR="00867DCD" w:rsidRPr="009D584B" w14:paraId="761B12CE" w14:textId="77777777" w:rsidTr="002374F1">
        <w:trPr>
          <w:trHeight w:val="204"/>
        </w:trPr>
        <w:tc>
          <w:tcPr>
            <w:tcW w:w="1477" w:type="dxa"/>
            <w:vAlign w:val="center"/>
          </w:tcPr>
          <w:p w14:paraId="441A0C21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Mean Age years)</w:t>
            </w:r>
          </w:p>
        </w:tc>
        <w:tc>
          <w:tcPr>
            <w:tcW w:w="2805" w:type="dxa"/>
          </w:tcPr>
          <w:p w14:paraId="36502C1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 xml:space="preserve">23.71 ± 5.57 </w:t>
            </w:r>
          </w:p>
        </w:tc>
        <w:tc>
          <w:tcPr>
            <w:tcW w:w="3659" w:type="dxa"/>
          </w:tcPr>
          <w:p w14:paraId="3CB89A5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32.6 ± 6.76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 </w:t>
            </w:r>
          </w:p>
        </w:tc>
        <w:tc>
          <w:tcPr>
            <w:tcW w:w="3466" w:type="dxa"/>
          </w:tcPr>
          <w:p w14:paraId="1104EA1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27 (range: 18–42)</w:t>
            </w:r>
          </w:p>
        </w:tc>
        <w:tc>
          <w:tcPr>
            <w:tcW w:w="2725" w:type="dxa"/>
          </w:tcPr>
          <w:p w14:paraId="04957E4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27.4 ± 5.1</w:t>
            </w:r>
          </w:p>
        </w:tc>
      </w:tr>
      <w:tr w:rsidR="00867DCD" w:rsidRPr="009D584B" w14:paraId="68ABAEFB" w14:textId="77777777" w:rsidTr="002374F1">
        <w:trPr>
          <w:trHeight w:val="426"/>
        </w:trPr>
        <w:tc>
          <w:tcPr>
            <w:tcW w:w="1477" w:type="dxa"/>
            <w:vAlign w:val="center"/>
          </w:tcPr>
          <w:p w14:paraId="07AD69F1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Age of menarche</w:t>
            </w:r>
          </w:p>
          <w:p w14:paraId="22C5F4D4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(years)</w:t>
            </w:r>
          </w:p>
        </w:tc>
        <w:tc>
          <w:tcPr>
            <w:tcW w:w="2805" w:type="dxa"/>
          </w:tcPr>
          <w:p w14:paraId="1F4E3E4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 xml:space="preserve">12.29 ± 1.36 </w:t>
            </w:r>
          </w:p>
        </w:tc>
        <w:tc>
          <w:tcPr>
            <w:tcW w:w="3659" w:type="dxa"/>
          </w:tcPr>
          <w:p w14:paraId="17B8451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466" w:type="dxa"/>
          </w:tcPr>
          <w:p w14:paraId="13407E7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2725" w:type="dxa"/>
          </w:tcPr>
          <w:p w14:paraId="2C41858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9D584B" w14:paraId="64FE6249" w14:textId="77777777" w:rsidTr="002374F1">
        <w:trPr>
          <w:trHeight w:val="220"/>
        </w:trPr>
        <w:tc>
          <w:tcPr>
            <w:tcW w:w="1477" w:type="dxa"/>
            <w:vAlign w:val="center"/>
          </w:tcPr>
          <w:p w14:paraId="1D64BC76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Tumor size (mm)</w:t>
            </w:r>
          </w:p>
        </w:tc>
        <w:tc>
          <w:tcPr>
            <w:tcW w:w="2805" w:type="dxa"/>
          </w:tcPr>
          <w:p w14:paraId="3C9EB636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659" w:type="dxa"/>
          </w:tcPr>
          <w:p w14:paraId="2FC10A1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466" w:type="dxa"/>
          </w:tcPr>
          <w:p w14:paraId="1BABD67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100 (range:60-220)</w:t>
            </w:r>
          </w:p>
        </w:tc>
        <w:tc>
          <w:tcPr>
            <w:tcW w:w="2725" w:type="dxa"/>
          </w:tcPr>
          <w:p w14:paraId="2A50489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  <w:t>Mean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11.6 cm (range: 3.2–21.7 cm)</w:t>
            </w:r>
          </w:p>
        </w:tc>
      </w:tr>
      <w:tr w:rsidR="00867DCD" w:rsidRPr="009D584B" w14:paraId="661FD136" w14:textId="77777777" w:rsidTr="002374F1">
        <w:trPr>
          <w:trHeight w:val="610"/>
        </w:trPr>
        <w:tc>
          <w:tcPr>
            <w:tcW w:w="1477" w:type="dxa"/>
            <w:vAlign w:val="center"/>
          </w:tcPr>
          <w:p w14:paraId="0E0D6DA7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Gynaecological Cancer</w:t>
            </w:r>
          </w:p>
          <w:p w14:paraId="34345F0F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History</w:t>
            </w:r>
          </w:p>
        </w:tc>
        <w:tc>
          <w:tcPr>
            <w:tcW w:w="2805" w:type="dxa"/>
          </w:tcPr>
          <w:p w14:paraId="582F8F8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10 patients (29.41%):</w:t>
            </w:r>
          </w:p>
          <w:p w14:paraId="33A2EA8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7 breast cancer 3 ovarian cancer</w:t>
            </w:r>
          </w:p>
        </w:tc>
        <w:tc>
          <w:tcPr>
            <w:tcW w:w="3659" w:type="dxa"/>
          </w:tcPr>
          <w:p w14:paraId="0C0C9391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eastAsia="等? Light"/>
                <w:kern w:val="2"/>
                <w:sz w:val="20"/>
                <w:szCs w:val="20"/>
              </w:rPr>
              <w:t>N</w:t>
            </w:r>
            <w:r w:rsidRPr="009D584B">
              <w:rPr>
                <w:rStyle w:val="Strong"/>
                <w:rFonts w:eastAsia="等? Light"/>
                <w:kern w:val="2"/>
                <w:sz w:val="20"/>
                <w:szCs w:val="20"/>
                <w:lang w:val="en-US"/>
              </w:rPr>
              <w:t>/</w:t>
            </w:r>
            <w:r w:rsidRPr="009D584B">
              <w:rPr>
                <w:rStyle w:val="Strong"/>
                <w:rFonts w:eastAsia="等? Light"/>
                <w:kern w:val="2"/>
                <w:sz w:val="20"/>
                <w:szCs w:val="20"/>
              </w:rPr>
              <w:t>A</w:t>
            </w:r>
          </w:p>
          <w:p w14:paraId="5985D69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l-GR"/>
              </w:rPr>
            </w:pPr>
          </w:p>
        </w:tc>
        <w:tc>
          <w:tcPr>
            <w:tcW w:w="3466" w:type="dxa"/>
          </w:tcPr>
          <w:p w14:paraId="7E85A861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rStyle w:val="Strong"/>
                <w:rFonts w:eastAsia="等? Light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eastAsia="等? Light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2725" w:type="dxa"/>
          </w:tcPr>
          <w:p w14:paraId="68998F6A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rStyle w:val="Strong"/>
                <w:rFonts w:eastAsia="等? Light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</w:rPr>
              <w:t>14 out of 87 (16.1%</w:t>
            </w:r>
            <w:r w:rsidRPr="009D584B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)</w:t>
            </w:r>
          </w:p>
        </w:tc>
      </w:tr>
      <w:tr w:rsidR="00867DCD" w:rsidRPr="009D584B" w14:paraId="12938F4A" w14:textId="77777777" w:rsidTr="002374F1">
        <w:trPr>
          <w:trHeight w:val="852"/>
        </w:trPr>
        <w:tc>
          <w:tcPr>
            <w:tcW w:w="1477" w:type="dxa"/>
            <w:vAlign w:val="center"/>
          </w:tcPr>
          <w:p w14:paraId="6DAA008C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FIGO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staging for FSS</w:t>
            </w:r>
          </w:p>
        </w:tc>
        <w:tc>
          <w:tcPr>
            <w:tcW w:w="2805" w:type="dxa"/>
          </w:tcPr>
          <w:p w14:paraId="2DE3E55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Stage IA: 23 patients (67.65%)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br/>
              <w:t>Stage IC: 11 patients (32.35%)</w:t>
            </w:r>
          </w:p>
        </w:tc>
        <w:tc>
          <w:tcPr>
            <w:tcW w:w="3659" w:type="dxa"/>
          </w:tcPr>
          <w:p w14:paraId="1AE1CC1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145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IA: 11 (16.7%)</w:t>
            </w:r>
          </w:p>
          <w:p w14:paraId="635E680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145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IC: 5 (7.5%)</w:t>
            </w:r>
          </w:p>
          <w:p w14:paraId="37C9320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145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 Stage IB cases</w:t>
            </w:r>
          </w:p>
          <w:p w14:paraId="3C900DF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3466" w:type="dxa"/>
          </w:tcPr>
          <w:p w14:paraId="7D742F5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IC1: 3 patients</w:t>
            </w:r>
          </w:p>
          <w:p w14:paraId="6D4822E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IC2: 5 patients</w:t>
            </w:r>
          </w:p>
        </w:tc>
        <w:tc>
          <w:tcPr>
            <w:tcW w:w="2725" w:type="dxa"/>
          </w:tcPr>
          <w:p w14:paraId="0370922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  Stage IA: 49 (59.8%)</w:t>
            </w:r>
          </w:p>
          <w:p w14:paraId="10A4851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  Stage IC: 33 (40.2%)</w:t>
            </w:r>
          </w:p>
        </w:tc>
      </w:tr>
      <w:tr w:rsidR="00867DCD" w:rsidRPr="009D584B" w14:paraId="3839FB10" w14:textId="77777777" w:rsidTr="002374F1">
        <w:trPr>
          <w:trHeight w:val="3681"/>
        </w:trPr>
        <w:tc>
          <w:tcPr>
            <w:tcW w:w="1477" w:type="dxa"/>
            <w:vAlign w:val="center"/>
          </w:tcPr>
          <w:p w14:paraId="41ECD6FC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Histology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&amp; Grading</w:t>
            </w:r>
          </w:p>
        </w:tc>
        <w:tc>
          <w:tcPr>
            <w:tcW w:w="2805" w:type="dxa"/>
          </w:tcPr>
          <w:p w14:paraId="360057D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Epithelial tumors: 16 (47.06%)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</w:p>
          <w:p w14:paraId="46379CB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Mucinous: 11 (68.75%)</w:t>
            </w:r>
          </w:p>
          <w:p w14:paraId="5E83F3B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Serous: 4 (25%)</w:t>
            </w:r>
          </w:p>
          <w:p w14:paraId="072AA302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Endometrioid: 1 (6.25%)</w:t>
            </w:r>
          </w:p>
          <w:p w14:paraId="09BC352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1450FB0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Non-epithelial tumors: 18 (52.94%)</w:t>
            </w:r>
          </w:p>
          <w:p w14:paraId="01BC1DA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Dysgerminoma: 5 (27.78%)</w:t>
            </w:r>
          </w:p>
          <w:p w14:paraId="28CA7A2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Sertoli Leydig: 4 (22.22%)</w:t>
            </w:r>
          </w:p>
          <w:p w14:paraId="7ABC953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Immature Teratoma: 4 (22.22%)</w:t>
            </w:r>
          </w:p>
          <w:p w14:paraId="2FB448A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Endodermal Sinus: 3 (16.67%)</w:t>
            </w:r>
          </w:p>
          <w:p w14:paraId="3254E09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Granulosa Cell: 2 (11.11%)</w:t>
            </w:r>
          </w:p>
          <w:p w14:paraId="7D393FE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1856219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Tumor grade:</w:t>
            </w:r>
          </w:p>
          <w:p w14:paraId="3B547EF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- Grade 1: 15 (44.12%)</w:t>
            </w:r>
          </w:p>
          <w:p w14:paraId="3398B2E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-Grade 2: 3 (8.82%)</w:t>
            </w:r>
          </w:p>
          <w:p w14:paraId="0413756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-Grade 3: 5 (14.71%)</w:t>
            </w:r>
          </w:p>
          <w:p w14:paraId="798C8A9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-Not indicated: 11 (32.35%)</w:t>
            </w:r>
          </w:p>
        </w:tc>
        <w:tc>
          <w:tcPr>
            <w:tcW w:w="3659" w:type="dxa"/>
          </w:tcPr>
          <w:p w14:paraId="1FADEBA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 (FSS group):</w:t>
            </w:r>
          </w:p>
          <w:p w14:paraId="6E36E21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-Endometrioid:11 (68.75%)</w:t>
            </w:r>
          </w:p>
          <w:p w14:paraId="4A8CD74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-Mucinous: 3 (18.75%)</w:t>
            </w:r>
          </w:p>
          <w:p w14:paraId="182AFAB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-Clear cell:2 (12.5%)</w:t>
            </w:r>
          </w:p>
          <w:p w14:paraId="43DFE12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7ECD0C8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 (FSS group):</w:t>
            </w:r>
          </w:p>
          <w:p w14:paraId="1B675B56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I:9 (56.25%)</w:t>
            </w:r>
          </w:p>
          <w:p w14:paraId="6727AB1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-Grade II:4 (25%)</w:t>
            </w:r>
          </w:p>
          <w:p w14:paraId="77DC4C3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-Grade III: 3 (18.75%)</w:t>
            </w:r>
          </w:p>
        </w:tc>
        <w:tc>
          <w:tcPr>
            <w:tcW w:w="3466" w:type="dxa"/>
          </w:tcPr>
          <w:p w14:paraId="59644A7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7789C6D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-Immature Teratoma: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4 (50%)</w:t>
            </w:r>
          </w:p>
          <w:p w14:paraId="7B9F145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-Serous Cystadenocarcinoma: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 (37.5%)</w:t>
            </w:r>
          </w:p>
          <w:p w14:paraId="20DCBB8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-Sertoli-Leydig Tumor: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(12.5%)</w:t>
            </w:r>
          </w:p>
          <w:p w14:paraId="4F12129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0360E73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37928B62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-Grade 1: 2 (25%)</w:t>
            </w:r>
          </w:p>
          <w:p w14:paraId="0BFA121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-Grade 3: 3 (37.5%)</w:t>
            </w:r>
          </w:p>
          <w:p w14:paraId="1395780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-Not specified: 3 (37.5%)</w:t>
            </w:r>
          </w:p>
          <w:p w14:paraId="682AF67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2725" w:type="dxa"/>
          </w:tcPr>
          <w:p w14:paraId="533F17F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3687308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-Serous: 35 (42.7%)</w:t>
            </w:r>
          </w:p>
          <w:p w14:paraId="7B5E788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-Mucinous: 28 (34.1%)</w:t>
            </w:r>
          </w:p>
          <w:p w14:paraId="72437F3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-Endometrioid: 11 (13.4%)</w:t>
            </w:r>
          </w:p>
          <w:p w14:paraId="2273E0E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-Clear cell: 8 (9.8%)</w:t>
            </w:r>
          </w:p>
          <w:p w14:paraId="5287F73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52448D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1C0AE846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-Grade 1: 42 (51.2%)</w:t>
            </w:r>
          </w:p>
          <w:p w14:paraId="697D978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Grade 2: 25 (30.5%)</w:t>
            </w:r>
          </w:p>
          <w:p w14:paraId="122BD91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Grade 3: 15 (18.3%)</w:t>
            </w:r>
          </w:p>
          <w:p w14:paraId="3732F05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</w:p>
        </w:tc>
      </w:tr>
      <w:tr w:rsidR="00867DCD" w:rsidRPr="009D584B" w14:paraId="212CF7FF" w14:textId="77777777" w:rsidTr="002374F1">
        <w:trPr>
          <w:trHeight w:val="1074"/>
        </w:trPr>
        <w:tc>
          <w:tcPr>
            <w:tcW w:w="1477" w:type="dxa"/>
            <w:vAlign w:val="center"/>
          </w:tcPr>
          <w:p w14:paraId="23617206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Reproductive Outcomes</w:t>
            </w:r>
          </w:p>
        </w:tc>
        <w:tc>
          <w:tcPr>
            <w:tcW w:w="2805" w:type="dxa"/>
          </w:tcPr>
          <w:p w14:paraId="6C60288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C</w:t>
            </w: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onceived after surgery: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9 out of 34 (26.47%)</w:t>
            </w:r>
          </w:p>
          <w:p w14:paraId="3FFF561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Time to first conception: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18 ± 14.18 months from surgery</w:t>
            </w:r>
          </w:p>
          <w:p w14:paraId="4195F62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T</w:t>
            </w: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otal pregnancies: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9</w:t>
            </w:r>
          </w:p>
          <w:p w14:paraId="3110716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Live birth rate: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7 out of 34 (20.59%)</w:t>
            </w:r>
          </w:p>
          <w:p w14:paraId="5EDAA02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Total live births: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8</w:t>
            </w:r>
          </w:p>
          <w:p w14:paraId="043FEDE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Mode of delivery for live births:</w:t>
            </w:r>
          </w:p>
          <w:p w14:paraId="2396DE62" w14:textId="77777777" w:rsidR="00867DCD" w:rsidRPr="009D584B" w:rsidRDefault="00867DCD" w:rsidP="00867DCD">
            <w:pPr>
              <w:pStyle w:val="ListParagraph"/>
              <w:numPr>
                <w:ilvl w:val="0"/>
                <w:numId w:val="1"/>
              </w:numPr>
              <w:tabs>
                <w:tab w:val="right" w:pos="4395"/>
                <w:tab w:val="right" w:pos="9781"/>
              </w:tabs>
              <w:spacing w:after="0" w:line="240" w:lineRule="auto"/>
              <w:ind w:left="473"/>
              <w:rPr>
                <w:color w:val="000000"/>
                <w:kern w:val="2"/>
                <w:sz w:val="20"/>
                <w:szCs w:val="20"/>
              </w:rPr>
            </w:pPr>
            <w:r w:rsidRPr="009D584B">
              <w:rPr>
                <w:color w:val="000000"/>
                <w:kern w:val="2"/>
                <w:sz w:val="20"/>
                <w:szCs w:val="20"/>
              </w:rPr>
              <w:t>vaginal deliveries</w:t>
            </w:r>
          </w:p>
          <w:p w14:paraId="6DDE2E2A" w14:textId="77777777" w:rsidR="00867DCD" w:rsidRPr="009D584B" w:rsidRDefault="00867DCD" w:rsidP="00867DCD">
            <w:pPr>
              <w:pStyle w:val="ListParagraph"/>
              <w:numPr>
                <w:ilvl w:val="0"/>
                <w:numId w:val="1"/>
              </w:numPr>
              <w:tabs>
                <w:tab w:val="right" w:pos="4395"/>
                <w:tab w:val="right" w:pos="9781"/>
              </w:tabs>
              <w:spacing w:after="0" w:line="240" w:lineRule="auto"/>
              <w:ind w:left="473"/>
              <w:rPr>
                <w:color w:val="000000"/>
                <w:kern w:val="2"/>
                <w:sz w:val="20"/>
                <w:szCs w:val="20"/>
              </w:rPr>
            </w:pPr>
            <w:r w:rsidRPr="009D584B">
              <w:rPr>
                <w:color w:val="000000"/>
                <w:kern w:val="2"/>
                <w:sz w:val="20"/>
                <w:szCs w:val="20"/>
              </w:rPr>
              <w:t>2 C-section</w:t>
            </w:r>
          </w:p>
          <w:p w14:paraId="7F9DF5E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Preterm birth: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 patients delivered preterm at 30 and 32 weeks</w:t>
            </w:r>
          </w:p>
          <w:p w14:paraId="69F0318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Spontaneous abortions: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 (from 7 patients who conceived)</w:t>
            </w:r>
          </w:p>
          <w:p w14:paraId="3EA8FD4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Time to first live birth: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30.43 ± 9.74 months from surgery</w:t>
            </w:r>
          </w:p>
          <w:p w14:paraId="740A7D7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 and later conceived: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3</w:t>
            </w:r>
          </w:p>
          <w:p w14:paraId="517B254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Healthy children born: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8</w:t>
            </w:r>
          </w:p>
          <w:p w14:paraId="7C52DF4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Miscarriage rate: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 out of 9 pregnancies</w:t>
            </w:r>
          </w:p>
        </w:tc>
        <w:tc>
          <w:tcPr>
            <w:tcW w:w="3659" w:type="dxa"/>
          </w:tcPr>
          <w:p w14:paraId="124D6F22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4 out of 16 (25%)</w:t>
            </w:r>
          </w:p>
          <w:p w14:paraId="3FAD1D0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4</w:t>
            </w:r>
          </w:p>
          <w:p w14:paraId="6F3F7FC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3 out of 16 (18.75%) had successful live births 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Mode of delivery for live births: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Not specified</w:t>
            </w:r>
          </w:p>
          <w:p w14:paraId="721657F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out of 4 pregnancies (25%)</w:t>
            </w:r>
          </w:p>
          <w:p w14:paraId="5E38F0F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Time to conception:</w:t>
            </w:r>
          </w:p>
          <w:p w14:paraId="498074DE" w14:textId="77777777" w:rsidR="00867DCD" w:rsidRPr="009D584B" w:rsidRDefault="00867DCD" w:rsidP="00867DCD">
            <w:pPr>
              <w:pStyle w:val="ListParagraph"/>
              <w:numPr>
                <w:ilvl w:val="0"/>
                <w:numId w:val="2"/>
              </w:numPr>
              <w:tabs>
                <w:tab w:val="right" w:pos="4395"/>
                <w:tab w:val="right" w:pos="9781"/>
              </w:tabs>
              <w:spacing w:after="0" w:line="240" w:lineRule="auto"/>
              <w:ind w:left="428"/>
              <w:rPr>
                <w:kern w:val="2"/>
                <w:sz w:val="20"/>
                <w:szCs w:val="20"/>
                <w:lang w:val="en-US"/>
              </w:rPr>
            </w:pPr>
            <w:r w:rsidRPr="009D584B">
              <w:rPr>
                <w:kern w:val="2"/>
                <w:sz w:val="20"/>
                <w:szCs w:val="20"/>
                <w:lang w:val="en-US"/>
              </w:rPr>
              <w:t>months after chemotherapy (one patient)</w:t>
            </w:r>
          </w:p>
          <w:p w14:paraId="60103346" w14:textId="77777777" w:rsidR="00867DCD" w:rsidRPr="009D584B" w:rsidRDefault="00867DCD" w:rsidP="00867DCD">
            <w:pPr>
              <w:pStyle w:val="ListParagraph"/>
              <w:numPr>
                <w:ilvl w:val="0"/>
                <w:numId w:val="2"/>
              </w:numPr>
              <w:tabs>
                <w:tab w:val="right" w:pos="4395"/>
                <w:tab w:val="right" w:pos="9781"/>
              </w:tabs>
              <w:spacing w:after="0" w:line="240" w:lineRule="auto"/>
              <w:ind w:left="428"/>
              <w:rPr>
                <w:kern w:val="2"/>
                <w:sz w:val="20"/>
                <w:szCs w:val="20"/>
                <w:lang w:val="en-US"/>
              </w:rPr>
            </w:pPr>
            <w:r w:rsidRPr="009D584B">
              <w:rPr>
                <w:kern w:val="2"/>
                <w:sz w:val="20"/>
                <w:szCs w:val="20"/>
                <w:lang w:val="en-US"/>
              </w:rPr>
              <w:t>21, 30, and 43 months in other cases</w:t>
            </w:r>
          </w:p>
          <w:p w14:paraId="688C015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ART use (IVF/ET):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 patients conceived through in vitro fertilization and embryo transfer, 1 conceived spontaneously</w:t>
            </w:r>
          </w:p>
          <w:p w14:paraId="5E1C1236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Not specified</w:t>
            </w:r>
          </w:p>
          <w:p w14:paraId="75F396E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Infertile patients post-FSS: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Not explicitly mentioned</w:t>
            </w:r>
          </w:p>
        </w:tc>
        <w:tc>
          <w:tcPr>
            <w:tcW w:w="3466" w:type="dxa"/>
          </w:tcPr>
          <w:p w14:paraId="1CF019D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2 out of 8 (25%)</w:t>
            </w:r>
          </w:p>
          <w:p w14:paraId="421C40B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360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natural conception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→ resulted in a full-term viable birth</w:t>
            </w:r>
          </w:p>
          <w:p w14:paraId="50EBB71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 xml:space="preserve">         1 ART attempt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→ resulted in a miscarriage at 16 weeks</w:t>
            </w:r>
          </w:p>
          <w:p w14:paraId="7DDC154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7F28D41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2</w:t>
            </w:r>
          </w:p>
          <w:p w14:paraId="5C5CDF3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out of 8 (12.5%)</w:t>
            </w:r>
          </w:p>
          <w:p w14:paraId="71EBA2E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out of 2 pregnancies (50%)</w:t>
            </w:r>
          </w:p>
          <w:p w14:paraId="77D68AE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ART use (IVF):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patient attempted ART, but the pregnancy was not viable</w:t>
            </w:r>
          </w:p>
          <w:p w14:paraId="7C9AD4D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Not explicitly mentioned</w:t>
            </w:r>
          </w:p>
          <w:p w14:paraId="5AE44D1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Infertile patients post-FSS: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2725" w:type="dxa"/>
          </w:tcPr>
          <w:p w14:paraId="036E577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37 out of 87 (42.5%)</w:t>
            </w:r>
          </w:p>
          <w:p w14:paraId="3B1EC14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32 out of 87 (36.8%)</w:t>
            </w:r>
          </w:p>
          <w:p w14:paraId="25E9B87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40</w:t>
            </w:r>
          </w:p>
          <w:p w14:paraId="1256170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29 out of 40 (72.5%)</w:t>
            </w:r>
          </w:p>
          <w:p w14:paraId="0BBF308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Preterm birth: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 cases (20.7% of live births)</w:t>
            </w:r>
          </w:p>
          <w:p w14:paraId="40B6817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 out of 40 (20%)</w:t>
            </w:r>
          </w:p>
          <w:p w14:paraId="34918FD1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Healthy children born: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29</w:t>
            </w:r>
          </w:p>
          <w:p w14:paraId="4F4719B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ART use (IVF):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reported</w:t>
            </w:r>
          </w:p>
          <w:p w14:paraId="75B37F8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detailed</w:t>
            </w:r>
          </w:p>
          <w:p w14:paraId="0230B21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Infertile patients post-FSS: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specified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br/>
            </w:r>
          </w:p>
        </w:tc>
      </w:tr>
      <w:tr w:rsidR="00867DCD" w:rsidRPr="009D584B" w14:paraId="3A4B39D1" w14:textId="77777777" w:rsidTr="002374F1">
        <w:trPr>
          <w:trHeight w:val="1144"/>
        </w:trPr>
        <w:tc>
          <w:tcPr>
            <w:tcW w:w="1477" w:type="dxa"/>
          </w:tcPr>
          <w:p w14:paraId="5532AABC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13CCC883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323517BE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Surgical Approach</w:t>
            </w:r>
          </w:p>
        </w:tc>
        <w:tc>
          <w:tcPr>
            <w:tcW w:w="2805" w:type="dxa"/>
          </w:tcPr>
          <w:p w14:paraId="39DC98C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Unilateral salpingooophorectomy (USO), with or without complete surgical staging</w:t>
            </w:r>
          </w:p>
        </w:tc>
        <w:tc>
          <w:tcPr>
            <w:tcW w:w="3659" w:type="dxa"/>
          </w:tcPr>
          <w:p w14:paraId="5EDF0D4C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rStyle w:val="Strong"/>
                <w:rFonts w:eastAsia="等? Light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eastAsia="等? Light"/>
                <w:kern w:val="2"/>
                <w:sz w:val="20"/>
                <w:szCs w:val="20"/>
                <w:lang w:val="en-US"/>
              </w:rPr>
              <w:t>Unilateral Salpingo-Oophorectomy (USO)</w:t>
            </w:r>
          </w:p>
          <w:p w14:paraId="2E0DFD1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3466" w:type="dxa"/>
          </w:tcPr>
          <w:p w14:paraId="69B43FF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 patients (37.5%)</w:t>
            </w:r>
          </w:p>
          <w:p w14:paraId="4305C47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Conservative staging (USO + staging surgery):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5 patients (62.5%)</w:t>
            </w:r>
          </w:p>
          <w:p w14:paraId="4F4DC5E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Lymphadenectomy:</w:t>
            </w:r>
          </w:p>
          <w:p w14:paraId="75ADA76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Pelvic lymphadenectomy: 4 patients (50%)</w:t>
            </w:r>
          </w:p>
          <w:p w14:paraId="21FCD42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Para-aortic lymphadenectomy: 4 patients (50%)</w:t>
            </w:r>
          </w:p>
          <w:p w14:paraId="7B63574B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</w:tc>
        <w:tc>
          <w:tcPr>
            <w:tcW w:w="2725" w:type="dxa"/>
          </w:tcPr>
          <w:p w14:paraId="2D18DFD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Surgical approach:</w:t>
            </w:r>
          </w:p>
          <w:p w14:paraId="2E5118C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Majority of cases</w:t>
            </w:r>
          </w:p>
          <w:p w14:paraId="7831191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Performed in all cases</w:t>
            </w:r>
          </w:p>
          <w:p w14:paraId="0E9C25B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Conducted in all cases</w:t>
            </w:r>
          </w:p>
          <w:p w14:paraId="175F3399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</w:tr>
      <w:tr w:rsidR="00867DCD" w:rsidRPr="009D584B" w14:paraId="5B045019" w14:textId="77777777" w:rsidTr="002374F1">
        <w:trPr>
          <w:trHeight w:val="3017"/>
        </w:trPr>
        <w:tc>
          <w:tcPr>
            <w:tcW w:w="1477" w:type="dxa"/>
            <w:vAlign w:val="center"/>
          </w:tcPr>
          <w:p w14:paraId="72F5DA78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Oncological outcomes</w:t>
            </w:r>
          </w:p>
        </w:tc>
        <w:tc>
          <w:tcPr>
            <w:tcW w:w="2805" w:type="dxa"/>
          </w:tcPr>
          <w:p w14:paraId="5CCB1BB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Mean follow-up duration: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31.5 months</w:t>
            </w:r>
          </w:p>
          <w:p w14:paraId="76F3FC1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Recurrence rate: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5 out of 34 (14.71%)</w:t>
            </w:r>
          </w:p>
          <w:p w14:paraId="091B2E24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Survival rate: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31 out of 34 (91.18%)</w:t>
            </w:r>
          </w:p>
          <w:p w14:paraId="72C5D3A5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16 out of 34 (47.06%)</w:t>
            </w:r>
          </w:p>
          <w:p w14:paraId="2A55667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adjuvant chemotherapy: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14 (41.18%)</w:t>
            </w:r>
          </w:p>
          <w:p w14:paraId="2948B115" w14:textId="77777777" w:rsidR="00867DCD" w:rsidRPr="009D584B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9D584B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 patient (2.94%) had malignant peritoneal fluid cytology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br/>
            </w: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adjuvant chemotherapy:</w:t>
            </w:r>
            <w:r w:rsidRPr="009D584B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14 (41.18%)</w:t>
            </w:r>
          </w:p>
        </w:tc>
        <w:tc>
          <w:tcPr>
            <w:tcW w:w="3659" w:type="dxa"/>
          </w:tcPr>
          <w:p w14:paraId="64BE41E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93.9 months</w:t>
            </w:r>
          </w:p>
          <w:p w14:paraId="71F31B7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 out of 16 (4.5%) in the FSS group )</w:t>
            </w:r>
          </w:p>
          <w:p w14:paraId="1672DC8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15 out of 16 (93.75%) in the FSS group</w:t>
            </w:r>
          </w:p>
          <w:p w14:paraId="4F824D5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Progression-free survival (PFS):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146 months for FSS group vs. 144 months for radical surgery group</w:t>
            </w:r>
          </w:p>
          <w:p w14:paraId="54DE65A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Overall survival (OS):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173 months for FSS group vs. 158 months for radical surgery group</w:t>
            </w:r>
          </w:p>
          <w:p w14:paraId="72EE064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37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Mortality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patient in the FSS group vs. 7 in the radical surgery group</w:t>
            </w:r>
          </w:p>
          <w:p w14:paraId="30742A30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ind w:left="37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adjuvant chemotherapy (FSS group):</w:t>
            </w:r>
            <w:r w:rsidRPr="009D584B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7 out of 16 (43.75%)</w:t>
            </w:r>
          </w:p>
        </w:tc>
        <w:tc>
          <w:tcPr>
            <w:tcW w:w="3466" w:type="dxa"/>
          </w:tcPr>
          <w:p w14:paraId="73833D1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55 months (range: 13–199 months)</w:t>
            </w:r>
          </w:p>
          <w:p w14:paraId="0CCB8A6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 out of 8 (12.5%)</w:t>
            </w:r>
          </w:p>
          <w:p w14:paraId="77894C62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No deaths reported</w:t>
            </w:r>
          </w:p>
          <w:p w14:paraId="694449EE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Time to recurrence: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14 months</w:t>
            </w:r>
          </w:p>
          <w:p w14:paraId="7BD512E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Location of recurrence: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Contralateral ovary</w:t>
            </w:r>
          </w:p>
          <w:p w14:paraId="3842901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Treatment for recurrence: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Radical surgery + chemotherapy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br/>
            </w: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9D584B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4 out of 8 (50%)</w:t>
            </w:r>
          </w:p>
          <w:p w14:paraId="6C9EA57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725" w:type="dxa"/>
          </w:tcPr>
          <w:p w14:paraId="1D3F6BCD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62.5 months</w:t>
            </w:r>
          </w:p>
          <w:p w14:paraId="251764BA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8 out of 87 (9.2%)</w:t>
            </w:r>
          </w:p>
          <w:p w14:paraId="0D7FF177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9D584B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98.8%</w:t>
            </w:r>
          </w:p>
          <w:p w14:paraId="005F170F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9D584B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28 out of 87 (32.2%)</w:t>
            </w:r>
          </w:p>
        </w:tc>
      </w:tr>
      <w:tr w:rsidR="00867DCD" w:rsidRPr="009D584B" w14:paraId="29FAE445" w14:textId="77777777" w:rsidTr="002374F1">
        <w:trPr>
          <w:trHeight w:val="52"/>
        </w:trPr>
        <w:tc>
          <w:tcPr>
            <w:tcW w:w="1477" w:type="dxa"/>
            <w:vAlign w:val="center"/>
          </w:tcPr>
          <w:p w14:paraId="4F81AB05" w14:textId="77777777" w:rsidR="00867DCD" w:rsidRPr="009D584B" w:rsidRDefault="00867DCD" w:rsidP="005B61D3">
            <w:pPr>
              <w:tabs>
                <w:tab w:val="right" w:pos="1736"/>
                <w:tab w:val="right" w:pos="1878"/>
                <w:tab w:val="right" w:pos="202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9D584B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Main Outcome</w:t>
            </w:r>
          </w:p>
        </w:tc>
        <w:tc>
          <w:tcPr>
            <w:tcW w:w="2805" w:type="dxa"/>
          </w:tcPr>
          <w:p w14:paraId="3C8AC22C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does not negatively impact oncological outcomes (recurrence and survival) and allows for successful pregnancies in a proportion of patients with early-stage ovarian cancer.</w:t>
            </w:r>
          </w:p>
        </w:tc>
        <w:tc>
          <w:tcPr>
            <w:tcW w:w="3659" w:type="dxa"/>
          </w:tcPr>
          <w:p w14:paraId="3247E648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in early-stage ovarian cancer offers similar survival and recurrence rates to radical surgery. Pregnancy occurred in 25% of patients, mostly resulting in live births. Long-term follow-up supports its safety for select cases.</w:t>
            </w:r>
          </w:p>
        </w:tc>
        <w:tc>
          <w:tcPr>
            <w:tcW w:w="3466" w:type="dxa"/>
          </w:tcPr>
          <w:p w14:paraId="0B5A18E6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</w:rPr>
            </w:pPr>
            <w:r w:rsidRPr="009D584B">
              <w:rPr>
                <w:color w:val="000000"/>
                <w:kern w:val="2"/>
                <w:sz w:val="20"/>
                <w:szCs w:val="20"/>
                <w:lang w:val="en-US"/>
              </w:rPr>
              <w:t xml:space="preserve">Fertility-sparing surgery is feasible for stage IC ovarian cancer, but a 12.5% recurrence rate calls for cautious patient selection. </w:t>
            </w:r>
            <w:r w:rsidRPr="009D584B">
              <w:rPr>
                <w:color w:val="000000"/>
                <w:kern w:val="2"/>
                <w:sz w:val="20"/>
                <w:szCs w:val="20"/>
              </w:rPr>
              <w:t>More studies are needed to confirm its safety.</w:t>
            </w:r>
          </w:p>
          <w:p w14:paraId="1A79E0A3" w14:textId="77777777" w:rsidR="00867DCD" w:rsidRPr="009D584B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2725" w:type="dxa"/>
          </w:tcPr>
          <w:p w14:paraId="50AB7FB7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9D584B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 in early-stage ovarian cancer offers</w:t>
            </w:r>
            <w:r w:rsidRPr="009D584B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comparable survival rates to radical surgery (98.8%)</w:t>
            </w:r>
            <w:r w:rsidRPr="009D584B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color w:val="000000"/>
                <w:kern w:val="2"/>
                <w:sz w:val="20"/>
                <w:szCs w:val="20"/>
                <w:lang w:val="en-US"/>
              </w:rPr>
              <w:t>while allowing for</w:t>
            </w:r>
            <w:r w:rsidRPr="009D584B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a 39% pregnancy rate with an 80% live birth success rate</w:t>
            </w:r>
            <w:r w:rsidRPr="009D584B">
              <w:rPr>
                <w:color w:val="000000"/>
                <w:kern w:val="2"/>
                <w:sz w:val="20"/>
                <w:szCs w:val="20"/>
                <w:lang w:val="en-US"/>
              </w:rPr>
              <w:t>. The</w:t>
            </w:r>
            <w:r w:rsidRPr="009D584B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9D584B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recurrence rate was 9.8%</w:t>
            </w:r>
            <w:r w:rsidRPr="009D584B">
              <w:rPr>
                <w:color w:val="000000"/>
                <w:kern w:val="2"/>
                <w:sz w:val="20"/>
                <w:szCs w:val="20"/>
                <w:lang w:val="en-US"/>
              </w:rPr>
              <w:t>, indicating the need for careful patient selection.</w:t>
            </w:r>
          </w:p>
          <w:p w14:paraId="5E4F79A7" w14:textId="77777777" w:rsidR="00867DCD" w:rsidRPr="009D584B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</w:tc>
      </w:tr>
    </w:tbl>
    <w:p w14:paraId="1913F46D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2D94A668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tbl>
      <w:tblPr>
        <w:tblW w:w="14026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1"/>
        <w:gridCol w:w="2778"/>
        <w:gridCol w:w="3622"/>
        <w:gridCol w:w="3378"/>
        <w:gridCol w:w="2777"/>
      </w:tblGrid>
      <w:tr w:rsidR="00867DCD" w:rsidRPr="00FD0319" w14:paraId="309F915B" w14:textId="77777777" w:rsidTr="00125148">
        <w:trPr>
          <w:trHeight w:val="55"/>
        </w:trPr>
        <w:tc>
          <w:tcPr>
            <w:tcW w:w="1462" w:type="dxa"/>
            <w:vAlign w:val="center"/>
          </w:tcPr>
          <w:p w14:paraId="3AC0AF1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First Author</w:t>
            </w:r>
          </w:p>
        </w:tc>
        <w:tc>
          <w:tcPr>
            <w:tcW w:w="2779" w:type="dxa"/>
          </w:tcPr>
          <w:p w14:paraId="0D09A78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Gouy, S et al 2017</w:t>
            </w:r>
          </w:p>
        </w:tc>
        <w:tc>
          <w:tcPr>
            <w:tcW w:w="3625" w:type="dxa"/>
          </w:tcPr>
          <w:p w14:paraId="466C92E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Nitecki, R. et al 2021</w:t>
            </w:r>
          </w:p>
        </w:tc>
        <w:tc>
          <w:tcPr>
            <w:tcW w:w="3381" w:type="dxa"/>
          </w:tcPr>
          <w:p w14:paraId="4E4D605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Jiang, X et al 2017</w:t>
            </w:r>
          </w:p>
        </w:tc>
        <w:tc>
          <w:tcPr>
            <w:tcW w:w="2779" w:type="dxa"/>
          </w:tcPr>
          <w:p w14:paraId="0976E0E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Johansen, G. et, 2019 </w:t>
            </w:r>
          </w:p>
        </w:tc>
      </w:tr>
      <w:tr w:rsidR="00867DCD" w:rsidRPr="00FD0319" w14:paraId="18CD9930" w14:textId="77777777" w:rsidTr="00125148">
        <w:trPr>
          <w:trHeight w:val="58"/>
        </w:trPr>
        <w:tc>
          <w:tcPr>
            <w:tcW w:w="1462" w:type="dxa"/>
            <w:vAlign w:val="center"/>
          </w:tcPr>
          <w:p w14:paraId="74981EC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Country</w:t>
            </w:r>
          </w:p>
        </w:tc>
        <w:tc>
          <w:tcPr>
            <w:tcW w:w="2779" w:type="dxa"/>
          </w:tcPr>
          <w:p w14:paraId="0AE2C15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France</w:t>
            </w:r>
          </w:p>
        </w:tc>
        <w:tc>
          <w:tcPr>
            <w:tcW w:w="3625" w:type="dxa"/>
          </w:tcPr>
          <w:p w14:paraId="382108C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United States</w:t>
            </w:r>
          </w:p>
        </w:tc>
        <w:tc>
          <w:tcPr>
            <w:tcW w:w="3381" w:type="dxa"/>
          </w:tcPr>
          <w:p w14:paraId="665B1ED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China</w:t>
            </w:r>
          </w:p>
        </w:tc>
        <w:tc>
          <w:tcPr>
            <w:tcW w:w="2779" w:type="dxa"/>
          </w:tcPr>
          <w:p w14:paraId="50BA5EA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Sweden</w:t>
            </w:r>
          </w:p>
        </w:tc>
      </w:tr>
      <w:tr w:rsidR="00867DCD" w:rsidRPr="00FD0319" w14:paraId="7F822996" w14:textId="77777777" w:rsidTr="00125148">
        <w:trPr>
          <w:trHeight w:val="211"/>
        </w:trPr>
        <w:tc>
          <w:tcPr>
            <w:tcW w:w="1462" w:type="dxa"/>
            <w:vAlign w:val="center"/>
          </w:tcPr>
          <w:p w14:paraId="227A979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Study Design</w:t>
            </w:r>
          </w:p>
        </w:tc>
        <w:tc>
          <w:tcPr>
            <w:tcW w:w="2779" w:type="dxa"/>
          </w:tcPr>
          <w:p w14:paraId="5416247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Case report</w:t>
            </w:r>
          </w:p>
        </w:tc>
        <w:tc>
          <w:tcPr>
            <w:tcW w:w="3625" w:type="dxa"/>
          </w:tcPr>
          <w:p w14:paraId="7081D44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  <w:tc>
          <w:tcPr>
            <w:tcW w:w="3381" w:type="dxa"/>
          </w:tcPr>
          <w:p w14:paraId="3FBA7D7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 xml:space="preserve">Retrospective 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Cohort</w:t>
            </w:r>
          </w:p>
        </w:tc>
        <w:tc>
          <w:tcPr>
            <w:tcW w:w="2779" w:type="dxa"/>
          </w:tcPr>
          <w:p w14:paraId="706C22D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Prospective nationwide cohort</w:t>
            </w:r>
          </w:p>
        </w:tc>
      </w:tr>
      <w:tr w:rsidR="00867DCD" w:rsidRPr="00FD0319" w14:paraId="297A56FE" w14:textId="77777777" w:rsidTr="00125148">
        <w:trPr>
          <w:trHeight w:val="437"/>
        </w:trPr>
        <w:tc>
          <w:tcPr>
            <w:tcW w:w="1462" w:type="dxa"/>
            <w:vAlign w:val="center"/>
          </w:tcPr>
          <w:p w14:paraId="3F824D6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Number of patients</w:t>
            </w:r>
          </w:p>
        </w:tc>
        <w:tc>
          <w:tcPr>
            <w:tcW w:w="2779" w:type="dxa"/>
          </w:tcPr>
          <w:p w14:paraId="04E0A0F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6</w:t>
            </w:r>
          </w:p>
        </w:tc>
        <w:tc>
          <w:tcPr>
            <w:tcW w:w="3625" w:type="dxa"/>
          </w:tcPr>
          <w:p w14:paraId="388C0C2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153</w:t>
            </w:r>
          </w:p>
        </w:tc>
        <w:tc>
          <w:tcPr>
            <w:tcW w:w="3381" w:type="dxa"/>
          </w:tcPr>
          <w:p w14:paraId="6FBC227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108</w:t>
            </w:r>
          </w:p>
        </w:tc>
        <w:tc>
          <w:tcPr>
            <w:tcW w:w="2779" w:type="dxa"/>
          </w:tcPr>
          <w:p w14:paraId="1F84173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73</w:t>
            </w:r>
          </w:p>
        </w:tc>
      </w:tr>
      <w:tr w:rsidR="00867DCD" w:rsidRPr="00FD0319" w14:paraId="4E3A95AB" w14:textId="77777777" w:rsidTr="00125148">
        <w:trPr>
          <w:trHeight w:val="211"/>
        </w:trPr>
        <w:tc>
          <w:tcPr>
            <w:tcW w:w="1462" w:type="dxa"/>
            <w:vAlign w:val="center"/>
          </w:tcPr>
          <w:p w14:paraId="55681DD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Mean Age years)</w:t>
            </w:r>
          </w:p>
        </w:tc>
        <w:tc>
          <w:tcPr>
            <w:tcW w:w="2779" w:type="dxa"/>
          </w:tcPr>
          <w:p w14:paraId="164DE3E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28.2 (range: 16–35)</w:t>
            </w:r>
          </w:p>
        </w:tc>
        <w:tc>
          <w:tcPr>
            <w:tcW w:w="3625" w:type="dxa"/>
          </w:tcPr>
          <w:p w14:paraId="452DC99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381" w:type="dxa"/>
          </w:tcPr>
          <w:p w14:paraId="089CC06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30 (range: 16–40)</w:t>
            </w:r>
          </w:p>
        </w:tc>
        <w:tc>
          <w:tcPr>
            <w:tcW w:w="2779" w:type="dxa"/>
          </w:tcPr>
          <w:p w14:paraId="008D77D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29 (range: 19–40)</w:t>
            </w:r>
          </w:p>
        </w:tc>
      </w:tr>
      <w:tr w:rsidR="00867DCD" w:rsidRPr="00FD0319" w14:paraId="3E70C1D0" w14:textId="77777777" w:rsidTr="00125148">
        <w:trPr>
          <w:trHeight w:val="211"/>
        </w:trPr>
        <w:tc>
          <w:tcPr>
            <w:tcW w:w="1462" w:type="dxa"/>
            <w:vAlign w:val="center"/>
          </w:tcPr>
          <w:p w14:paraId="388CADE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Age of menarche</w:t>
            </w:r>
          </w:p>
          <w:p w14:paraId="07F8EBC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(years)</w:t>
            </w:r>
          </w:p>
        </w:tc>
        <w:tc>
          <w:tcPr>
            <w:tcW w:w="2779" w:type="dxa"/>
          </w:tcPr>
          <w:p w14:paraId="737A489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625" w:type="dxa"/>
          </w:tcPr>
          <w:p w14:paraId="353EFEF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381" w:type="dxa"/>
          </w:tcPr>
          <w:p w14:paraId="4CC8931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2779" w:type="dxa"/>
          </w:tcPr>
          <w:p w14:paraId="45BEA94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3DA8E649" w14:textId="77777777" w:rsidTr="00125148">
        <w:trPr>
          <w:trHeight w:val="139"/>
        </w:trPr>
        <w:tc>
          <w:tcPr>
            <w:tcW w:w="1462" w:type="dxa"/>
            <w:vAlign w:val="center"/>
          </w:tcPr>
          <w:p w14:paraId="06C82B2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Tumor size (mm)</w:t>
            </w:r>
          </w:p>
        </w:tc>
        <w:tc>
          <w:tcPr>
            <w:tcW w:w="2779" w:type="dxa"/>
          </w:tcPr>
          <w:p w14:paraId="482CEBF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60-150</w:t>
            </w:r>
          </w:p>
        </w:tc>
        <w:tc>
          <w:tcPr>
            <w:tcW w:w="3625" w:type="dxa"/>
          </w:tcPr>
          <w:p w14:paraId="7E64FFF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381" w:type="dxa"/>
          </w:tcPr>
          <w:p w14:paraId="03BC0757" w14:textId="77777777" w:rsidR="00867DCD" w:rsidRPr="00FD0319" w:rsidRDefault="00867DCD" w:rsidP="005B61D3">
            <w:pPr>
              <w:tabs>
                <w:tab w:val="center" w:pos="1400"/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Median 12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0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 xml:space="preserve"> (range: 30–40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0)</w:t>
            </w:r>
          </w:p>
        </w:tc>
        <w:tc>
          <w:tcPr>
            <w:tcW w:w="2779" w:type="dxa"/>
          </w:tcPr>
          <w:p w14:paraId="5F724409" w14:textId="77777777" w:rsidR="00867DCD" w:rsidRPr="00FD0319" w:rsidRDefault="00867DCD" w:rsidP="005B61D3">
            <w:pPr>
              <w:tabs>
                <w:tab w:val="center" w:pos="1400"/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5870588C" w14:textId="77777777" w:rsidTr="00125148">
        <w:trPr>
          <w:trHeight w:val="628"/>
        </w:trPr>
        <w:tc>
          <w:tcPr>
            <w:tcW w:w="1462" w:type="dxa"/>
            <w:vAlign w:val="center"/>
          </w:tcPr>
          <w:p w14:paraId="1397504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Gynaecological Cancer</w:t>
            </w:r>
          </w:p>
          <w:p w14:paraId="2EEF211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History</w:t>
            </w:r>
          </w:p>
        </w:tc>
        <w:tc>
          <w:tcPr>
            <w:tcW w:w="2779" w:type="dxa"/>
          </w:tcPr>
          <w:p w14:paraId="26D42CE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625" w:type="dxa"/>
          </w:tcPr>
          <w:p w14:paraId="34CBFF8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3381" w:type="dxa"/>
          </w:tcPr>
          <w:p w14:paraId="111599F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2779" w:type="dxa"/>
          </w:tcPr>
          <w:p w14:paraId="04C0184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1121A414" w14:textId="77777777" w:rsidTr="00125148">
        <w:trPr>
          <w:trHeight w:val="674"/>
        </w:trPr>
        <w:tc>
          <w:tcPr>
            <w:tcW w:w="1462" w:type="dxa"/>
            <w:vAlign w:val="center"/>
          </w:tcPr>
          <w:p w14:paraId="6901DD4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FIGO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staging FSS</w:t>
            </w:r>
          </w:p>
        </w:tc>
        <w:tc>
          <w:tcPr>
            <w:tcW w:w="2779" w:type="dxa"/>
          </w:tcPr>
          <w:p w14:paraId="0792041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patients</w:t>
            </w:r>
          </w:p>
          <w:p w14:paraId="07B4D64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patient</w:t>
            </w:r>
          </w:p>
          <w:p w14:paraId="3F8C4FE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patients</w:t>
            </w:r>
          </w:p>
          <w:p w14:paraId="04E25E6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Stage IC3: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patient</w:t>
            </w:r>
          </w:p>
        </w:tc>
        <w:tc>
          <w:tcPr>
            <w:tcW w:w="3625" w:type="dxa"/>
          </w:tcPr>
          <w:p w14:paraId="7B4BAD0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IA and IC cases only0</w:t>
            </w:r>
          </w:p>
        </w:tc>
        <w:tc>
          <w:tcPr>
            <w:tcW w:w="3381" w:type="dxa"/>
          </w:tcPr>
          <w:p w14:paraId="213A57D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IA–B: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36 (33.3%)</w:t>
            </w:r>
          </w:p>
          <w:p w14:paraId="56497D3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IC1: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55 (50.9%)</w:t>
            </w:r>
          </w:p>
          <w:p w14:paraId="5C56AA0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IC2–3: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17 (15.7%)</w:t>
            </w:r>
          </w:p>
        </w:tc>
        <w:tc>
          <w:tcPr>
            <w:tcW w:w="2779" w:type="dxa"/>
          </w:tcPr>
          <w:p w14:paraId="03C6E8E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before="100" w:beforeAutospacing="1" w:after="100" w:afterAutospacing="1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41 out of 57 (72%)</w:t>
            </w:r>
          </w:p>
          <w:p w14:paraId="00E2A00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before="100" w:beforeAutospacing="1" w:after="100" w:afterAutospacing="1" w:line="240" w:lineRule="auto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16 out of 57 (28%)</w:t>
            </w:r>
          </w:p>
        </w:tc>
      </w:tr>
      <w:tr w:rsidR="00867DCD" w:rsidRPr="00FD0319" w14:paraId="25C154C1" w14:textId="77777777" w:rsidTr="00125148">
        <w:trPr>
          <w:trHeight w:val="1473"/>
        </w:trPr>
        <w:tc>
          <w:tcPr>
            <w:tcW w:w="1462" w:type="dxa"/>
            <w:vAlign w:val="center"/>
          </w:tcPr>
          <w:p w14:paraId="52A058F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Histology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&amp; Grading</w:t>
            </w:r>
          </w:p>
        </w:tc>
        <w:tc>
          <w:tcPr>
            <w:tcW w:w="2779" w:type="dxa"/>
          </w:tcPr>
          <w:p w14:paraId="6C8144C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All cases were infiltrative mucinous ovarian carcinoma</w:t>
            </w:r>
          </w:p>
        </w:tc>
        <w:tc>
          <w:tcPr>
            <w:tcW w:w="3625" w:type="dxa"/>
          </w:tcPr>
          <w:p w14:paraId="36381DA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21D71CB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-Epithelial: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54.9%</w:t>
            </w:r>
          </w:p>
          <w:p w14:paraId="54763C8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-Germ-cell: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37.3%</w:t>
            </w:r>
          </w:p>
          <w:p w14:paraId="56FDC86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-Sex-cord stromal: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7%</w:t>
            </w:r>
          </w:p>
          <w:p w14:paraId="60FE402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14F01A7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19.6%</w:t>
            </w:r>
          </w:p>
          <w:p w14:paraId="5A34429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Unknown grade: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55.6%</w:t>
            </w:r>
          </w:p>
          <w:p w14:paraId="21EA676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3381" w:type="dxa"/>
          </w:tcPr>
          <w:p w14:paraId="388DB32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2F1DFB9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52 (48.2%)</w:t>
            </w:r>
          </w:p>
          <w:p w14:paraId="2C499A5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Serous: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 (8.3%)</w:t>
            </w:r>
          </w:p>
          <w:p w14:paraId="1EB29DD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27 (25%)</w:t>
            </w:r>
          </w:p>
          <w:p w14:paraId="455E680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Clear cell carcinoma (CCC):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20 (18.5%)</w:t>
            </w:r>
          </w:p>
          <w:p w14:paraId="51CA628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5C32005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054532F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72 (66.7%)</w:t>
            </w:r>
          </w:p>
          <w:p w14:paraId="4AC15AF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12 (11.1%)</w:t>
            </w:r>
          </w:p>
          <w:p w14:paraId="76CB8DC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(3.7%)</w:t>
            </w:r>
          </w:p>
          <w:p w14:paraId="7A0AA8D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Clear cell carcinoma: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20 (18.5%)</w:t>
            </w:r>
          </w:p>
        </w:tc>
        <w:tc>
          <w:tcPr>
            <w:tcW w:w="2779" w:type="dxa"/>
          </w:tcPr>
          <w:p w14:paraId="05FB234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0E85546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-Immature Teratoma: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16 (28%)</w:t>
            </w:r>
          </w:p>
          <w:p w14:paraId="2C03C5B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-Dysgerminoma: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(12%)</w:t>
            </w:r>
          </w:p>
          <w:p w14:paraId="27C3DBB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-Granulosa Cell Tumor: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19 (33%)</w:t>
            </w:r>
          </w:p>
          <w:p w14:paraId="1FD0A8B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-Yolk Sac Tumor: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(5%)</w:t>
            </w:r>
          </w:p>
          <w:p w14:paraId="22E6296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-Sertoli-Leydig Tumor: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(12%)</w:t>
            </w:r>
          </w:p>
          <w:p w14:paraId="72CF774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-Carcinoma Struma Ovarii: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(5%)</w:t>
            </w:r>
          </w:p>
          <w:p w14:paraId="1C210D8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-Other rare types: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(4%)</w:t>
            </w:r>
          </w:p>
          <w:p w14:paraId="3B11E42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386B087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7D304B3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 patients</w:t>
            </w:r>
          </w:p>
          <w:p w14:paraId="40C3621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patients</w:t>
            </w:r>
          </w:p>
          <w:p w14:paraId="2296DAC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patients</w:t>
            </w:r>
          </w:p>
          <w:p w14:paraId="1054F17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</w:tr>
      <w:tr w:rsidR="00867DCD" w:rsidRPr="00FD0319" w14:paraId="69855472" w14:textId="77777777" w:rsidTr="00125148">
        <w:trPr>
          <w:trHeight w:val="3789"/>
        </w:trPr>
        <w:tc>
          <w:tcPr>
            <w:tcW w:w="1462" w:type="dxa"/>
            <w:vAlign w:val="center"/>
          </w:tcPr>
          <w:p w14:paraId="04DD2BC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Reproductive Outcomes</w:t>
            </w:r>
          </w:p>
        </w:tc>
        <w:tc>
          <w:tcPr>
            <w:tcW w:w="2779" w:type="dxa"/>
          </w:tcPr>
          <w:p w14:paraId="33E47B6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6 (33.3%)</w:t>
            </w:r>
          </w:p>
          <w:p w14:paraId="5F600F8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</w:t>
            </w:r>
          </w:p>
          <w:p w14:paraId="03400BA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2 (100%)</w:t>
            </w:r>
          </w:p>
          <w:p w14:paraId="4B0BD13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Oocyte donation (both cases)</w:t>
            </w:r>
          </w:p>
          <w:p w14:paraId="1F65489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Not reported</w:t>
            </w:r>
          </w:p>
        </w:tc>
        <w:tc>
          <w:tcPr>
            <w:tcW w:w="3625" w:type="dxa"/>
          </w:tcPr>
          <w:p w14:paraId="0B9F19D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153 out of 1,618 patients diagnosed with stage IA or IC ovarian cancer (9.5%)</w:t>
            </w:r>
          </w:p>
          <w:p w14:paraId="71AECAB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153 (only first pregnancy after cancer was analyzed)</w:t>
            </w:r>
          </w:p>
          <w:p w14:paraId="59A362C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mentioned, but most pregnancies resulted in live births</w:t>
            </w:r>
          </w:p>
          <w:p w14:paraId="6C119B8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Preterm birth rate (&lt;37 weeks):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13.7% in ovarian cancer patients vs. 11.4% in controls (not statistically significant, OR 1.23, 95% CI 0.69–2.20)</w:t>
            </w:r>
          </w:p>
          <w:p w14:paraId="7A89449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Small for gestational age births (&lt;10th percentile):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11.8% vs. 12.7% (not statistically significant, OR 0.91, 95% CI 0.50–1.66)</w:t>
            </w:r>
          </w:p>
          <w:p w14:paraId="7F19431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Neonatal morbidity: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5.9% (no significant difference compared to controls, OR 1.00, 95% CI 0.44–2.28)</w:t>
            </w:r>
          </w:p>
          <w:p w14:paraId="072F113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Severe maternal morbidity: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2.6% in ovarian cancer patients vs. 1.3% in controls (not statistically significant, OR 2.03, 95% CI 0.50–8.25)</w:t>
            </w:r>
          </w:p>
        </w:tc>
        <w:tc>
          <w:tcPr>
            <w:tcW w:w="3381" w:type="dxa"/>
          </w:tcPr>
          <w:p w14:paraId="33B502D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23AB5F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61649A7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6B8725E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34 out of 52 (65.4%)</w:t>
            </w:r>
          </w:p>
          <w:p w14:paraId="3AC67BE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28 out of 52 (53.8%)</w:t>
            </w:r>
          </w:p>
          <w:p w14:paraId="6B8CAE3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32</w:t>
            </w:r>
          </w:p>
          <w:p w14:paraId="0F04C85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28 out of 32 (87.5%)</w:t>
            </w:r>
          </w:p>
          <w:p w14:paraId="45860FA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32 (6.25%)</w:t>
            </w:r>
          </w:p>
          <w:p w14:paraId="4313BBB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Induced abortion: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case</w:t>
            </w:r>
          </w:p>
          <w:p w14:paraId="6715E00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Intrauterine fetal death: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case</w:t>
            </w:r>
          </w:p>
          <w:p w14:paraId="4D3F75D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specified</w:t>
            </w:r>
          </w:p>
        </w:tc>
        <w:tc>
          <w:tcPr>
            <w:tcW w:w="2779" w:type="dxa"/>
          </w:tcPr>
          <w:p w14:paraId="1699373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gave birth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11 out of 57 (19%)</w:t>
            </w:r>
          </w:p>
          <w:p w14:paraId="0EE7041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children born: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13</w:t>
            </w:r>
          </w:p>
          <w:p w14:paraId="4F95473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 (all pregnancies resulted in full-term births)</w:t>
            </w:r>
          </w:p>
          <w:p w14:paraId="2CD9E6C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natural conceptions</w:t>
            </w:r>
          </w:p>
          <w:p w14:paraId="3E77BD1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required ART (IVF):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out of 57 (12%)</w:t>
            </w:r>
          </w:p>
          <w:p w14:paraId="129E99F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None reported</w:t>
            </w:r>
          </w:p>
        </w:tc>
      </w:tr>
      <w:tr w:rsidR="00867DCD" w:rsidRPr="00FD0319" w14:paraId="7057D6BF" w14:textId="77777777" w:rsidTr="00125148">
        <w:trPr>
          <w:trHeight w:val="1176"/>
        </w:trPr>
        <w:tc>
          <w:tcPr>
            <w:tcW w:w="1462" w:type="dxa"/>
          </w:tcPr>
          <w:p w14:paraId="3B0590B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5F8D037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3FCA96F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Surgical Approach</w:t>
            </w:r>
          </w:p>
        </w:tc>
        <w:tc>
          <w:tcPr>
            <w:tcW w:w="2779" w:type="dxa"/>
          </w:tcPr>
          <w:p w14:paraId="5A0D638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4EB12DC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-Bilateral salpingo-oophorectomy with uterine preservation</w:t>
            </w:r>
          </w:p>
          <w:p w14:paraId="7E361A6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-Peritoneal staging performed in 5 out of 6 cases</w:t>
            </w:r>
          </w:p>
          <w:p w14:paraId="7CA0164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Lymph node staging performed in 4 out of 6 cases</w:t>
            </w:r>
          </w:p>
        </w:tc>
        <w:tc>
          <w:tcPr>
            <w:tcW w:w="3625" w:type="dxa"/>
          </w:tcPr>
          <w:p w14:paraId="248427A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(uterus and at least one ovary preserved)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br/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Not explicitly mentioned</w:t>
            </w:r>
          </w:p>
        </w:tc>
        <w:tc>
          <w:tcPr>
            <w:tcW w:w="3381" w:type="dxa"/>
          </w:tcPr>
          <w:p w14:paraId="7CF29EA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(FSS):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52 (48.1%)</w:t>
            </w:r>
          </w:p>
          <w:p w14:paraId="02BDCDE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Radical Surgery (RS):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56 (51.9%)</w:t>
            </w:r>
          </w:p>
          <w:p w14:paraId="4690F15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Laparoscopy (LPS):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5 (4.6%)</w:t>
            </w:r>
          </w:p>
          <w:p w14:paraId="4188131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Laparotomy (LPT):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103 (95.4%)</w:t>
            </w:r>
          </w:p>
          <w:p w14:paraId="1C52355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before="100" w:beforeAutospacing="1" w:after="100" w:afterAutospacing="1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</w:tc>
        <w:tc>
          <w:tcPr>
            <w:tcW w:w="2779" w:type="dxa"/>
          </w:tcPr>
          <w:p w14:paraId="18D4795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Surgical approach:</w:t>
            </w:r>
          </w:p>
          <w:p w14:paraId="2A3EA27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(FSS):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57 (78%)</w:t>
            </w:r>
          </w:p>
          <w:p w14:paraId="3FEB961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Radical Surgery (RS):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16 (22%)</w:t>
            </w:r>
          </w:p>
          <w:p w14:paraId="4BEA72B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Laparoscopic approach: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33%</w:t>
            </w:r>
          </w:p>
          <w:p w14:paraId="7C3F6EF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Open surgery: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67%</w:t>
            </w:r>
          </w:p>
          <w:p w14:paraId="28917C3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before="100" w:beforeAutospacing="1" w:after="100" w:afterAutospacing="1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</w:tc>
      </w:tr>
      <w:tr w:rsidR="00867DCD" w:rsidRPr="00FD0319" w14:paraId="3A440AAA" w14:textId="77777777" w:rsidTr="00125148">
        <w:trPr>
          <w:trHeight w:val="139"/>
        </w:trPr>
        <w:tc>
          <w:tcPr>
            <w:tcW w:w="1462" w:type="dxa"/>
            <w:vAlign w:val="center"/>
          </w:tcPr>
          <w:p w14:paraId="74D64C2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Oncological outcomes</w:t>
            </w:r>
          </w:p>
        </w:tc>
        <w:tc>
          <w:tcPr>
            <w:tcW w:w="2779" w:type="dxa"/>
          </w:tcPr>
          <w:p w14:paraId="5C3379C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97 months (range: 27–262 months)</w:t>
            </w:r>
          </w:p>
          <w:p w14:paraId="3DD4E2B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6 (33.3%)</w:t>
            </w:r>
          </w:p>
          <w:p w14:paraId="2B0ABBF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6 patients survived (one patient died from recurrence)</w:t>
            </w:r>
          </w:p>
          <w:p w14:paraId="55D97D4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Recurrence location:</w:t>
            </w:r>
          </w:p>
          <w:p w14:paraId="13A8978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-Pelvic peritoneum (1 case)</w:t>
            </w:r>
          </w:p>
          <w:p w14:paraId="45CA552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-Uterine serosa with nodal involvement (1 case, fatal)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 out of 6 (16.7%)</w:t>
            </w:r>
          </w:p>
          <w:p w14:paraId="7E32D3E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3625" w:type="dxa"/>
          </w:tcPr>
          <w:p w14:paraId="7EF8FB7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reported</w:t>
            </w:r>
          </w:p>
          <w:p w14:paraId="30D50D3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mentioned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26.1% (majority did not receive chemotherapy)</w:t>
            </w:r>
          </w:p>
        </w:tc>
        <w:tc>
          <w:tcPr>
            <w:tcW w:w="3381" w:type="dxa"/>
          </w:tcPr>
          <w:p w14:paraId="78695F0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83 months (range: 9–216 months)</w:t>
            </w:r>
          </w:p>
          <w:p w14:paraId="7D6FA47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14 out of 108 (13%)</w:t>
            </w:r>
          </w:p>
          <w:p w14:paraId="3F06A03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92.6%</w:t>
            </w:r>
          </w:p>
          <w:p w14:paraId="7C3E00A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lastRenderedPageBreak/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83 out of 108 (76.9%)</w:t>
            </w:r>
          </w:p>
        </w:tc>
        <w:tc>
          <w:tcPr>
            <w:tcW w:w="2779" w:type="dxa"/>
          </w:tcPr>
          <w:p w14:paraId="71AAEA5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65 months (range: 20–111 months)</w:t>
            </w:r>
          </w:p>
          <w:p w14:paraId="44EDF5E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out of 73 (5%)</w:t>
            </w:r>
          </w:p>
          <w:p w14:paraId="77FEC1E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lastRenderedPageBreak/>
              <w:t xml:space="preserve">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FSS group: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57 (3.5%)</w:t>
            </w:r>
          </w:p>
          <w:p w14:paraId="0362B7B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Radical surgery (RS) group: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16       (12.5%)</w:t>
            </w:r>
          </w:p>
          <w:p w14:paraId="7D2E521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98% (5-year OS rate)</w:t>
            </w:r>
          </w:p>
          <w:p w14:paraId="7511786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18 out of 57 (32%)</w:t>
            </w:r>
          </w:p>
        </w:tc>
      </w:tr>
      <w:tr w:rsidR="00867DCD" w:rsidRPr="00FD0319" w14:paraId="3B22EEE0" w14:textId="77777777" w:rsidTr="00125148">
        <w:trPr>
          <w:trHeight w:val="55"/>
        </w:trPr>
        <w:tc>
          <w:tcPr>
            <w:tcW w:w="1462" w:type="dxa"/>
            <w:vAlign w:val="center"/>
          </w:tcPr>
          <w:p w14:paraId="5F59E51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Main Outcome</w:t>
            </w:r>
          </w:p>
        </w:tc>
        <w:tc>
          <w:tcPr>
            <w:tcW w:w="2779" w:type="dxa"/>
          </w:tcPr>
          <w:p w14:paraId="16B75CB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Uterine preservation with bilateral salpingo-oophorectomy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allowed pregnancy through oocyte donation but carried a high recurrence risk (33.3%)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, with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one recurrence proving fatal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 This raises concerns about the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oncological safety of this approach in infiltrative mucinous ovarian cancer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</w:tc>
        <w:tc>
          <w:tcPr>
            <w:tcW w:w="3625" w:type="dxa"/>
          </w:tcPr>
          <w:p w14:paraId="136C570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Pregnancy after fertility-sparing surgery in stage IA or IC ovarian cancer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does not increase the risk of adverse obstetric outcomes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, including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preterm birth, neonatal morbidity, or severe maternal morbidity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, compared to matched controls. These findings provide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reassurance that pregnancy is safe following fertility-preserving treatment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</w:tc>
        <w:tc>
          <w:tcPr>
            <w:tcW w:w="3381" w:type="dxa"/>
          </w:tcPr>
          <w:p w14:paraId="3E54A2FB" w14:textId="77777777" w:rsidR="00867DCD" w:rsidRPr="00FD0319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is a safe option for young patients with early-stage epithelial ovarian cancer (EOC), providing similar survival rates (92.6%) to radical surgery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Over half (53.8%) of FSS patients conceived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and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87.5% of pregnancies resulted in live births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indicating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strong reproductive potential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after treatment. However, the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13% recurrence rate highlights the need for cautious patient selection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  <w:p w14:paraId="4FFD4A6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2779" w:type="dxa"/>
          </w:tcPr>
          <w:p w14:paraId="431D303B" w14:textId="77777777" w:rsidR="00867DCD" w:rsidRPr="00FD0319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provides excellent survival outcomes (98%) and a low recurrence rate (3.5%)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making it a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safe and viable option for young women with early-stage non-epithelial ovarian cancer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Natural fertility was preserved, with 19% of patients successfully giving birth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and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only 12% required ART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  <w:p w14:paraId="51D03235" w14:textId="77777777" w:rsidR="00867DCD" w:rsidRPr="00FD0319" w:rsidRDefault="00867DCD" w:rsidP="005B61D3">
            <w:pPr>
              <w:pStyle w:val="NormalWeb"/>
              <w:tabs>
                <w:tab w:val="right" w:pos="4395"/>
                <w:tab w:val="right" w:pos="9781"/>
              </w:tabs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</w:tc>
      </w:tr>
    </w:tbl>
    <w:p w14:paraId="4632D620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274D5FCB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5E60C43D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tbl>
      <w:tblPr>
        <w:tblW w:w="6533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1"/>
        <w:gridCol w:w="1866"/>
        <w:gridCol w:w="1955"/>
        <w:gridCol w:w="2072"/>
        <w:gridCol w:w="2151"/>
      </w:tblGrid>
      <w:tr w:rsidR="00867DCD" w:rsidRPr="00FD0319" w14:paraId="3E07C9B8" w14:textId="77777777" w:rsidTr="00125148">
        <w:trPr>
          <w:trHeight w:val="204"/>
        </w:trPr>
        <w:tc>
          <w:tcPr>
            <w:tcW w:w="680" w:type="dxa"/>
            <w:vAlign w:val="center"/>
          </w:tcPr>
          <w:p w14:paraId="41553BA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First Author</w:t>
            </w:r>
          </w:p>
        </w:tc>
        <w:tc>
          <w:tcPr>
            <w:tcW w:w="1325" w:type="dxa"/>
          </w:tcPr>
          <w:p w14:paraId="7DDECAF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Park, J. et al 2016</w:t>
            </w:r>
          </w:p>
        </w:tc>
        <w:tc>
          <w:tcPr>
            <w:tcW w:w="1655" w:type="dxa"/>
          </w:tcPr>
          <w:p w14:paraId="671E2AC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Watanabe, T. et al 2020</w:t>
            </w:r>
          </w:p>
        </w:tc>
        <w:tc>
          <w:tcPr>
            <w:tcW w:w="1662" w:type="dxa"/>
          </w:tcPr>
          <w:p w14:paraId="0B5B9FE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Ko, Mu-En et al 2023</w:t>
            </w:r>
          </w:p>
        </w:tc>
        <w:tc>
          <w:tcPr>
            <w:tcW w:w="1211" w:type="dxa"/>
          </w:tcPr>
          <w:p w14:paraId="5512670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Abdelsalam, M et al 022</w:t>
            </w:r>
          </w:p>
        </w:tc>
      </w:tr>
      <w:tr w:rsidR="00867DCD" w:rsidRPr="00FD0319" w14:paraId="30C112E0" w14:textId="77777777" w:rsidTr="00125148">
        <w:trPr>
          <w:trHeight w:val="220"/>
        </w:trPr>
        <w:tc>
          <w:tcPr>
            <w:tcW w:w="680" w:type="dxa"/>
            <w:vAlign w:val="center"/>
          </w:tcPr>
          <w:p w14:paraId="4BD25E9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Country</w:t>
            </w:r>
          </w:p>
        </w:tc>
        <w:tc>
          <w:tcPr>
            <w:tcW w:w="1325" w:type="dxa"/>
          </w:tcPr>
          <w:p w14:paraId="6083193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Korea</w:t>
            </w:r>
          </w:p>
        </w:tc>
        <w:tc>
          <w:tcPr>
            <w:tcW w:w="1655" w:type="dxa"/>
          </w:tcPr>
          <w:p w14:paraId="206B882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Japan </w:t>
            </w:r>
          </w:p>
        </w:tc>
        <w:tc>
          <w:tcPr>
            <w:tcW w:w="1662" w:type="dxa"/>
          </w:tcPr>
          <w:p w14:paraId="5853485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Taiwan</w:t>
            </w:r>
          </w:p>
        </w:tc>
        <w:tc>
          <w:tcPr>
            <w:tcW w:w="1211" w:type="dxa"/>
          </w:tcPr>
          <w:p w14:paraId="0E0A007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Egypt</w:t>
            </w:r>
          </w:p>
        </w:tc>
      </w:tr>
      <w:tr w:rsidR="00867DCD" w:rsidRPr="00FD0319" w14:paraId="3480DEF2" w14:textId="77777777" w:rsidTr="00125148">
        <w:trPr>
          <w:trHeight w:val="204"/>
        </w:trPr>
        <w:tc>
          <w:tcPr>
            <w:tcW w:w="680" w:type="dxa"/>
            <w:vAlign w:val="center"/>
          </w:tcPr>
          <w:p w14:paraId="79FDEAF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Study Design</w:t>
            </w:r>
          </w:p>
        </w:tc>
        <w:tc>
          <w:tcPr>
            <w:tcW w:w="1325" w:type="dxa"/>
          </w:tcPr>
          <w:p w14:paraId="1D2B425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  <w:tc>
          <w:tcPr>
            <w:tcW w:w="1655" w:type="dxa"/>
          </w:tcPr>
          <w:p w14:paraId="1F9E051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  <w:tc>
          <w:tcPr>
            <w:tcW w:w="1662" w:type="dxa"/>
          </w:tcPr>
          <w:p w14:paraId="0C36F1C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  <w:tc>
          <w:tcPr>
            <w:tcW w:w="1211" w:type="dxa"/>
          </w:tcPr>
          <w:p w14:paraId="32E5C9F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Prospective cohort</w:t>
            </w:r>
          </w:p>
        </w:tc>
      </w:tr>
      <w:tr w:rsidR="00867DCD" w:rsidRPr="00FD0319" w14:paraId="7695F14E" w14:textId="77777777" w:rsidTr="00125148">
        <w:trPr>
          <w:trHeight w:val="425"/>
        </w:trPr>
        <w:tc>
          <w:tcPr>
            <w:tcW w:w="680" w:type="dxa"/>
            <w:vAlign w:val="center"/>
          </w:tcPr>
          <w:p w14:paraId="4EF5ACD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Number of patients</w:t>
            </w:r>
          </w:p>
        </w:tc>
        <w:tc>
          <w:tcPr>
            <w:tcW w:w="1325" w:type="dxa"/>
          </w:tcPr>
          <w:p w14:paraId="41F3FC5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18</w:t>
            </w:r>
          </w:p>
        </w:tc>
        <w:tc>
          <w:tcPr>
            <w:tcW w:w="1655" w:type="dxa"/>
          </w:tcPr>
          <w:p w14:paraId="482529D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29</w:t>
            </w:r>
          </w:p>
        </w:tc>
        <w:tc>
          <w:tcPr>
            <w:tcW w:w="1662" w:type="dxa"/>
          </w:tcPr>
          <w:p w14:paraId="54C3F85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33 (EOC group only)</w:t>
            </w:r>
          </w:p>
        </w:tc>
        <w:tc>
          <w:tcPr>
            <w:tcW w:w="1211" w:type="dxa"/>
          </w:tcPr>
          <w:p w14:paraId="7D1A575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60</w:t>
            </w:r>
          </w:p>
        </w:tc>
      </w:tr>
      <w:tr w:rsidR="00867DCD" w:rsidRPr="00FD0319" w14:paraId="5592D5CF" w14:textId="77777777" w:rsidTr="00125148">
        <w:trPr>
          <w:trHeight w:val="631"/>
        </w:trPr>
        <w:tc>
          <w:tcPr>
            <w:tcW w:w="680" w:type="dxa"/>
            <w:vAlign w:val="center"/>
          </w:tcPr>
          <w:p w14:paraId="715746D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Mean Age years)</w:t>
            </w:r>
          </w:p>
        </w:tc>
        <w:tc>
          <w:tcPr>
            <w:tcW w:w="1325" w:type="dxa"/>
          </w:tcPr>
          <w:p w14:paraId="3C4518D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33.5 (range: 14–40)</w:t>
            </w:r>
          </w:p>
        </w:tc>
        <w:tc>
          <w:tcPr>
            <w:tcW w:w="1655" w:type="dxa"/>
          </w:tcPr>
          <w:p w14:paraId="41D6EA9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27.2 (range: 12–39)</w:t>
            </w:r>
          </w:p>
        </w:tc>
        <w:tc>
          <w:tcPr>
            <w:tcW w:w="1662" w:type="dxa"/>
          </w:tcPr>
          <w:p w14:paraId="6CF3623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34 (range: 22–42) years</w:t>
            </w:r>
          </w:p>
        </w:tc>
        <w:tc>
          <w:tcPr>
            <w:tcW w:w="1211" w:type="dxa"/>
          </w:tcPr>
          <w:p w14:paraId="500B1E3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30 ± 4 (Fertility-Sparing Surgery group) vs. 35 ± 5 (Radical Surgery group)</w:t>
            </w:r>
          </w:p>
        </w:tc>
      </w:tr>
      <w:tr w:rsidR="00867DCD" w:rsidRPr="00FD0319" w14:paraId="40FFB890" w14:textId="77777777" w:rsidTr="00125148">
        <w:trPr>
          <w:trHeight w:val="274"/>
        </w:trPr>
        <w:tc>
          <w:tcPr>
            <w:tcW w:w="680" w:type="dxa"/>
            <w:vAlign w:val="center"/>
          </w:tcPr>
          <w:p w14:paraId="7D21380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Age of menarche</w:t>
            </w:r>
          </w:p>
          <w:p w14:paraId="7E6EFF2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(years)</w:t>
            </w:r>
          </w:p>
        </w:tc>
        <w:tc>
          <w:tcPr>
            <w:tcW w:w="1325" w:type="dxa"/>
            <w:vAlign w:val="center"/>
          </w:tcPr>
          <w:p w14:paraId="033EF48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/A</w:t>
            </w:r>
          </w:p>
        </w:tc>
        <w:tc>
          <w:tcPr>
            <w:tcW w:w="1655" w:type="dxa"/>
            <w:vAlign w:val="center"/>
          </w:tcPr>
          <w:p w14:paraId="2136A60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62" w:type="dxa"/>
            <w:vAlign w:val="center"/>
          </w:tcPr>
          <w:p w14:paraId="488CE22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211" w:type="dxa"/>
            <w:vAlign w:val="center"/>
          </w:tcPr>
          <w:p w14:paraId="5FCC705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23CE6A9E" w14:textId="77777777" w:rsidTr="00125148">
        <w:trPr>
          <w:trHeight w:val="647"/>
        </w:trPr>
        <w:tc>
          <w:tcPr>
            <w:tcW w:w="680" w:type="dxa"/>
            <w:vAlign w:val="center"/>
          </w:tcPr>
          <w:p w14:paraId="2D58542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Tumor size (mm)</w:t>
            </w:r>
          </w:p>
        </w:tc>
        <w:tc>
          <w:tcPr>
            <w:tcW w:w="1325" w:type="dxa"/>
          </w:tcPr>
          <w:p w14:paraId="30A19FA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/A</w:t>
            </w:r>
          </w:p>
        </w:tc>
        <w:tc>
          <w:tcPr>
            <w:tcW w:w="1655" w:type="dxa"/>
          </w:tcPr>
          <w:p w14:paraId="4376C60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62" w:type="dxa"/>
          </w:tcPr>
          <w:p w14:paraId="3E98A84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Median 160 (range: 30–400)</w:t>
            </w:r>
          </w:p>
        </w:tc>
        <w:tc>
          <w:tcPr>
            <w:tcW w:w="1211" w:type="dxa"/>
          </w:tcPr>
          <w:p w14:paraId="017C978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Mean 34 ± 13 cm (FSS group) vs. 60 ± 26  (Radical Surgery group)</w:t>
            </w:r>
          </w:p>
        </w:tc>
      </w:tr>
      <w:tr w:rsidR="00867DCD" w:rsidRPr="00FD0319" w14:paraId="33623338" w14:textId="77777777" w:rsidTr="00125148">
        <w:trPr>
          <w:trHeight w:val="631"/>
        </w:trPr>
        <w:tc>
          <w:tcPr>
            <w:tcW w:w="680" w:type="dxa"/>
            <w:vAlign w:val="center"/>
          </w:tcPr>
          <w:p w14:paraId="40DCEEF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Gynaecological Cancer</w:t>
            </w:r>
          </w:p>
          <w:p w14:paraId="76C753B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History</w:t>
            </w:r>
          </w:p>
        </w:tc>
        <w:tc>
          <w:tcPr>
            <w:tcW w:w="1325" w:type="dxa"/>
          </w:tcPr>
          <w:p w14:paraId="57E3E35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/A</w:t>
            </w:r>
          </w:p>
        </w:tc>
        <w:tc>
          <w:tcPr>
            <w:tcW w:w="1655" w:type="dxa"/>
          </w:tcPr>
          <w:p w14:paraId="5C9508E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62" w:type="dxa"/>
          </w:tcPr>
          <w:p w14:paraId="5C8425C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211" w:type="dxa"/>
          </w:tcPr>
          <w:p w14:paraId="54AAB15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4B11BE47" w14:textId="77777777" w:rsidTr="00125148">
        <w:trPr>
          <w:trHeight w:val="1294"/>
        </w:trPr>
        <w:tc>
          <w:tcPr>
            <w:tcW w:w="680" w:type="dxa"/>
            <w:vAlign w:val="center"/>
          </w:tcPr>
          <w:p w14:paraId="5953B24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FIGO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staging FSS</w:t>
            </w:r>
          </w:p>
        </w:tc>
        <w:tc>
          <w:tcPr>
            <w:tcW w:w="1325" w:type="dxa"/>
          </w:tcPr>
          <w:p w14:paraId="7AEC0E5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IA: 6 patients (33.3%)</w:t>
            </w:r>
          </w:p>
          <w:p w14:paraId="4CEED554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12 patients (66.7%)</w:t>
            </w:r>
          </w:p>
          <w:p w14:paraId="017ADA8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Upstaged to IIIA1: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patients after complete staging</w:t>
            </w:r>
          </w:p>
        </w:tc>
        <w:tc>
          <w:tcPr>
            <w:tcW w:w="1655" w:type="dxa"/>
          </w:tcPr>
          <w:p w14:paraId="611D11F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14 (48.3%)</w:t>
            </w:r>
          </w:p>
          <w:p w14:paraId="334692F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IC1: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6 (20.7%)</w:t>
            </w:r>
          </w:p>
          <w:p w14:paraId="3581AE9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IC3: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9 (31.0%)</w:t>
            </w:r>
          </w:p>
        </w:tc>
        <w:tc>
          <w:tcPr>
            <w:tcW w:w="1662" w:type="dxa"/>
          </w:tcPr>
          <w:p w14:paraId="4B13463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15 (45.5%)</w:t>
            </w:r>
          </w:p>
          <w:p w14:paraId="3D79C61C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Stage 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18 (54.5%)</w:t>
            </w:r>
          </w:p>
        </w:tc>
        <w:tc>
          <w:tcPr>
            <w:tcW w:w="1211" w:type="dxa"/>
          </w:tcPr>
          <w:p w14:paraId="03B1EC0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FSS group: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</w:p>
          <w:p w14:paraId="5BB78EF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 (40%)</w:t>
            </w:r>
          </w:p>
          <w:p w14:paraId="2BF3B6AD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Stage IB: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 (36%)</w:t>
            </w:r>
          </w:p>
          <w:p w14:paraId="3FB3DFB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Stage 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(8%)</w:t>
            </w:r>
          </w:p>
          <w:p w14:paraId="729B4E24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Other Stage I subtypes: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(16%)</w:t>
            </w:r>
          </w:p>
        </w:tc>
      </w:tr>
      <w:tr w:rsidR="00867DCD" w:rsidRPr="00FD0319" w14:paraId="5FB3D61C" w14:textId="77777777" w:rsidTr="00125148">
        <w:trPr>
          <w:trHeight w:val="2384"/>
        </w:trPr>
        <w:tc>
          <w:tcPr>
            <w:tcW w:w="680" w:type="dxa"/>
            <w:vAlign w:val="center"/>
          </w:tcPr>
          <w:p w14:paraId="02BD85B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Histology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&amp; Grading</w:t>
            </w:r>
          </w:p>
        </w:tc>
        <w:tc>
          <w:tcPr>
            <w:tcW w:w="1325" w:type="dxa"/>
          </w:tcPr>
          <w:p w14:paraId="3BC02BE7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56611602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(38.9%)</w:t>
            </w:r>
          </w:p>
          <w:p w14:paraId="65963A71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(27.8%)</w:t>
            </w:r>
          </w:p>
          <w:p w14:paraId="4F4CFA9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-Clear cell: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(16.7%)</w:t>
            </w:r>
          </w:p>
          <w:p w14:paraId="573617C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(16.7%)</w:t>
            </w:r>
          </w:p>
          <w:p w14:paraId="513BB5A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7AB427D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 (50%)</w:t>
            </w:r>
          </w:p>
          <w:p w14:paraId="6C689BE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(22.2%)</w:t>
            </w:r>
          </w:p>
          <w:p w14:paraId="043297A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(27.8%)</w:t>
            </w:r>
          </w:p>
          <w:p w14:paraId="23F0E9A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55" w:type="dxa"/>
          </w:tcPr>
          <w:p w14:paraId="6C40EC3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</w:p>
          <w:p w14:paraId="11B38C9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16 (55.2%)</w:t>
            </w:r>
          </w:p>
          <w:p w14:paraId="3025721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Serous: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(17.2%)</w:t>
            </w:r>
          </w:p>
          <w:p w14:paraId="2797CD01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(17.2%)</w:t>
            </w:r>
          </w:p>
          <w:p w14:paraId="05A06C9E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Clear cell: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(10.4%)</w:t>
            </w:r>
          </w:p>
          <w:p w14:paraId="7673A749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DE59D12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</w:p>
          <w:p w14:paraId="7CC7979F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13 (44.8%)</w:t>
            </w:r>
          </w:p>
          <w:p w14:paraId="1010B809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10 (34.5%)</w:t>
            </w:r>
          </w:p>
          <w:p w14:paraId="6C70DBC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6 (20.7%)</w:t>
            </w:r>
          </w:p>
        </w:tc>
        <w:tc>
          <w:tcPr>
            <w:tcW w:w="1662" w:type="dxa"/>
          </w:tcPr>
          <w:p w14:paraId="40AB549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 (EOC group):</w:t>
            </w:r>
          </w:p>
          <w:p w14:paraId="07D8871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45.5%</w:t>
            </w:r>
          </w:p>
          <w:p w14:paraId="18C412B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3%</w:t>
            </w:r>
          </w:p>
          <w:p w14:paraId="350FC72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-Clear cell: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30.3%</w:t>
            </w:r>
          </w:p>
          <w:p w14:paraId="39574176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21.2%</w:t>
            </w:r>
          </w:p>
          <w:p w14:paraId="63772B19" w14:textId="77777777" w:rsidR="00867DCD" w:rsidRPr="00FD0319" w:rsidRDefault="00867DCD" w:rsidP="005B61D3">
            <w:pPr>
              <w:spacing w:after="0" w:line="240" w:lineRule="auto"/>
              <w:ind w:left="720" w:hanging="720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6DBD591D" w14:textId="77777777" w:rsidR="00867DCD" w:rsidRPr="00FD0319" w:rsidRDefault="00867DCD" w:rsidP="005B61D3">
            <w:pPr>
              <w:spacing w:after="0" w:line="240" w:lineRule="auto"/>
              <w:ind w:left="720" w:hanging="720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 (EOC group):</w:t>
            </w:r>
          </w:p>
          <w:p w14:paraId="1410911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 (27.3%)</w:t>
            </w:r>
          </w:p>
          <w:p w14:paraId="5A9BEEC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13 (39.4%)</w:t>
            </w:r>
          </w:p>
          <w:p w14:paraId="2B255CE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11 (33.3%)</w:t>
            </w:r>
          </w:p>
          <w:p w14:paraId="536A04B9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</w:pPr>
          </w:p>
        </w:tc>
        <w:tc>
          <w:tcPr>
            <w:tcW w:w="1211" w:type="dxa"/>
          </w:tcPr>
          <w:p w14:paraId="2544223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 (FSS group):</w:t>
            </w:r>
          </w:p>
          <w:p w14:paraId="41E29A1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-Serous: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15 (60%)</w:t>
            </w:r>
          </w:p>
          <w:p w14:paraId="2D3E179C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(28%)</w:t>
            </w:r>
          </w:p>
          <w:p w14:paraId="421C7870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-Endometrioid: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(12%)</w:t>
            </w:r>
          </w:p>
          <w:p w14:paraId="5945467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</w:p>
          <w:p w14:paraId="51AC2A27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 (FSS group):</w:t>
            </w:r>
          </w:p>
          <w:p w14:paraId="54D9F07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Low Grade: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19 (76%)</w:t>
            </w:r>
          </w:p>
          <w:p w14:paraId="47EBA87A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High Grade: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6 (24%)</w:t>
            </w:r>
          </w:p>
          <w:p w14:paraId="36AB2B9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</w:tr>
      <w:tr w:rsidR="00867DCD" w:rsidRPr="00FD0319" w14:paraId="057425AF" w14:textId="77777777" w:rsidTr="00125148">
        <w:trPr>
          <w:trHeight w:val="3032"/>
        </w:trPr>
        <w:tc>
          <w:tcPr>
            <w:tcW w:w="680" w:type="dxa"/>
            <w:vAlign w:val="center"/>
          </w:tcPr>
          <w:p w14:paraId="1129C7F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Reproductive Outcomes</w:t>
            </w:r>
          </w:p>
        </w:tc>
        <w:tc>
          <w:tcPr>
            <w:tcW w:w="1325" w:type="dxa"/>
          </w:tcPr>
          <w:p w14:paraId="0AEA0A4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out of 18 (22.2%)</w:t>
            </w:r>
          </w:p>
          <w:p w14:paraId="4F98352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</w:t>
            </w:r>
          </w:p>
          <w:p w14:paraId="1D3D103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out of 4 (75%)</w:t>
            </w:r>
          </w:p>
          <w:p w14:paraId="4AA2B92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Ongoing pregnancy at time of study: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patient</w:t>
            </w:r>
          </w:p>
          <w:p w14:paraId="5FA71F4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spontaneous, 2 IVF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detailed</w:t>
            </w:r>
          </w:p>
        </w:tc>
        <w:tc>
          <w:tcPr>
            <w:tcW w:w="1655" w:type="dxa"/>
          </w:tcPr>
          <w:p w14:paraId="2968EE5F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398D6FB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29 (17.2%)</w:t>
            </w:r>
          </w:p>
          <w:p w14:paraId="02041BC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</w:t>
            </w:r>
          </w:p>
          <w:p w14:paraId="72AA2F4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 out of 7 (85.7%)</w:t>
            </w:r>
          </w:p>
          <w:p w14:paraId="05E59BE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None reported</w:t>
            </w:r>
          </w:p>
          <w:p w14:paraId="549AD24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received chemotherapy and later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out of 5 (80%)</w:t>
            </w:r>
          </w:p>
          <w:p w14:paraId="52827E3B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Healthy children born: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6</w:t>
            </w:r>
          </w:p>
        </w:tc>
        <w:tc>
          <w:tcPr>
            <w:tcW w:w="1662" w:type="dxa"/>
          </w:tcPr>
          <w:p w14:paraId="7331885A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Patients who conceived after surgery:</w:t>
            </w:r>
          </w:p>
          <w:p w14:paraId="4E48EC9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12 out of 14 married patients (85.7%)</w:t>
            </w:r>
          </w:p>
          <w:p w14:paraId="5EAA300E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42026DF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Total pregnancies:</w:t>
            </w:r>
          </w:p>
          <w:p w14:paraId="72407CC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15</w:t>
            </w:r>
          </w:p>
          <w:p w14:paraId="2EFEFFE2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07AB600A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Live birth rate:</w:t>
            </w:r>
          </w:p>
          <w:p w14:paraId="5490186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93.3% (14 out of 15 pregnancies resulted in live births)</w:t>
            </w:r>
          </w:p>
          <w:p w14:paraId="370601AA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7C7A981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Spontaneous abortions:</w:t>
            </w:r>
          </w:p>
          <w:p w14:paraId="0629B98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 case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</w:p>
          <w:p w14:paraId="09BFE7D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222DA428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Preterm births:</w:t>
            </w:r>
          </w:p>
          <w:p w14:paraId="4BFF5AD6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2 cases (both twin pregnancies, delivered at 31 and 34 weeks)</w:t>
            </w:r>
          </w:p>
          <w:p w14:paraId="1E4CA87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7DE6FC0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ART use (IVF):</w:t>
            </w:r>
          </w:p>
          <w:p w14:paraId="2160420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3 patients required ART</w:t>
            </w:r>
          </w:p>
          <w:p w14:paraId="04D12511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</w:tcPr>
          <w:p w14:paraId="6687A49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18 out of 25 (72%)</w:t>
            </w:r>
          </w:p>
          <w:p w14:paraId="7CC1FD2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15 out of 18 (83%)</w:t>
            </w:r>
          </w:p>
          <w:p w14:paraId="3919F29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15</w:t>
            </w:r>
          </w:p>
          <w:p w14:paraId="337CB63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13 out of 15 (86.7%)</w:t>
            </w:r>
          </w:p>
          <w:p w14:paraId="526745A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(6.7%)</w:t>
            </w:r>
          </w:p>
          <w:p w14:paraId="5EE70FA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Intrauterine fetal death: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(6.7%)</w:t>
            </w:r>
          </w:p>
          <w:p w14:paraId="61511FA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reported</w:t>
            </w:r>
          </w:p>
          <w:p w14:paraId="0039737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Infertility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out of 18 (17%)</w:t>
            </w:r>
          </w:p>
          <w:p w14:paraId="37104001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unable to conceive due to recurrence: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25 (20%)</w:t>
            </w:r>
          </w:p>
        </w:tc>
      </w:tr>
      <w:tr w:rsidR="00867DCD" w:rsidRPr="00FD0319" w14:paraId="7AF59EEC" w14:textId="77777777" w:rsidTr="00125148">
        <w:trPr>
          <w:trHeight w:val="2104"/>
        </w:trPr>
        <w:tc>
          <w:tcPr>
            <w:tcW w:w="680" w:type="dxa"/>
          </w:tcPr>
          <w:p w14:paraId="53D658B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6116D39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43BF9FD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Surgical Approach</w:t>
            </w:r>
          </w:p>
        </w:tc>
        <w:tc>
          <w:tcPr>
            <w:tcW w:w="1325" w:type="dxa"/>
            <w:vAlign w:val="center"/>
          </w:tcPr>
          <w:p w14:paraId="2963FB76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patients underwent laparoscopic fertility-sparing surgery.</w:t>
            </w:r>
          </w:p>
          <w:p w14:paraId="7BB2971C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0D5C04B0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 in 4 patients (22.2%).</w:t>
            </w:r>
          </w:p>
          <w:p w14:paraId="1E2C7CA0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2BB5D1CE" w14:textId="77777777" w:rsidR="00867DCD" w:rsidRPr="00FD0319" w:rsidRDefault="00867DCD" w:rsidP="005B61D3">
            <w:pPr>
              <w:tabs>
                <w:tab w:val="left" w:pos="2622"/>
              </w:tabs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Procedures included salpingo-oophorectomy, omentectomy, lymphadenectomy, and peritoneal biopsy.</w:t>
            </w:r>
          </w:p>
          <w:p w14:paraId="793E90D7" w14:textId="77777777" w:rsidR="00867DCD" w:rsidRPr="00FD0319" w:rsidRDefault="00867DCD" w:rsidP="005B61D3">
            <w:pPr>
              <w:tabs>
                <w:tab w:val="left" w:pos="2622"/>
              </w:tabs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70479378" w14:textId="77777777" w:rsidR="00867DCD" w:rsidRPr="00FD0319" w:rsidRDefault="00867DCD" w:rsidP="005B61D3">
            <w:pPr>
              <w:tabs>
                <w:tab w:val="left" w:pos="2622"/>
              </w:tabs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  <w:p w14:paraId="04F15D1B" w14:textId="77777777" w:rsidR="00867DCD" w:rsidRPr="00FD0319" w:rsidRDefault="00867DCD" w:rsidP="005B61D3">
            <w:pPr>
              <w:tabs>
                <w:tab w:val="left" w:pos="2622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55" w:type="dxa"/>
            <w:vAlign w:val="center"/>
          </w:tcPr>
          <w:p w14:paraId="3A8D87B0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10 (34.5% )USO + Omentectomy (OMT):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3 (10.3%)</w:t>
            </w:r>
          </w:p>
          <w:p w14:paraId="629B2B39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USO + OMT + Lymphadenectomy (LA):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15 (51.7%)</w:t>
            </w:r>
          </w:p>
          <w:p w14:paraId="75D62410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Cystectomy: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 (3.5%)</w:t>
            </w:r>
          </w:p>
          <w:p w14:paraId="33326B68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</w:tc>
        <w:tc>
          <w:tcPr>
            <w:tcW w:w="1662" w:type="dxa"/>
            <w:vAlign w:val="center"/>
          </w:tcPr>
          <w:p w14:paraId="304F3658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EOC group:</w:t>
            </w:r>
          </w:p>
          <w:p w14:paraId="69E4A555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Laparoscopy: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5 (15.2%)</w:t>
            </w:r>
          </w:p>
          <w:p w14:paraId="03A7A625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Laparotomy: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28 (84.8%)</w:t>
            </w:r>
          </w:p>
          <w:p w14:paraId="519D7B02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  <w:p w14:paraId="2184E3F4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</w:tcPr>
          <w:p w14:paraId="0229D485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FSS patients</w:t>
            </w:r>
          </w:p>
          <w:p w14:paraId="19CAB3BB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 in all cases</w:t>
            </w:r>
          </w:p>
          <w:p w14:paraId="105DD65E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</w:p>
        </w:tc>
      </w:tr>
      <w:tr w:rsidR="00867DCD" w:rsidRPr="00FD0319" w14:paraId="0A205B47" w14:textId="77777777" w:rsidTr="00125148">
        <w:trPr>
          <w:trHeight w:val="3032"/>
        </w:trPr>
        <w:tc>
          <w:tcPr>
            <w:tcW w:w="680" w:type="dxa"/>
            <w:vAlign w:val="center"/>
          </w:tcPr>
          <w:p w14:paraId="3BDECE9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Oncological outcomes</w:t>
            </w:r>
          </w:p>
        </w:tc>
        <w:tc>
          <w:tcPr>
            <w:tcW w:w="1325" w:type="dxa"/>
          </w:tcPr>
          <w:p w14:paraId="6DA7CD9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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47.3 months (range: 11.5–195.3 months)</w:t>
            </w:r>
          </w:p>
          <w:p w14:paraId="598630A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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out of 18 (5.6%)</w:t>
            </w:r>
          </w:p>
          <w:p w14:paraId="0C0575F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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 (no deaths reported)</w:t>
            </w:r>
          </w:p>
          <w:p w14:paraId="488B9C3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17 out of 18 (94.4%)</w:t>
            </w:r>
          </w:p>
        </w:tc>
        <w:tc>
          <w:tcPr>
            <w:tcW w:w="1655" w:type="dxa"/>
          </w:tcPr>
          <w:p w14:paraId="2EF58E47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60.6 months (range: 6–135 months)</w:t>
            </w:r>
          </w:p>
          <w:p w14:paraId="1D60038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29 (17.2%)</w:t>
            </w:r>
          </w:p>
          <w:p w14:paraId="0773FB5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5-year OS: 95.7%, 10-year OS: 89.3%</w:t>
            </w:r>
          </w:p>
          <w:p w14:paraId="077DA295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19 out of 29 (65.5%)</w:t>
            </w:r>
          </w:p>
        </w:tc>
        <w:tc>
          <w:tcPr>
            <w:tcW w:w="1662" w:type="dxa"/>
          </w:tcPr>
          <w:p w14:paraId="79D2D22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Mean follow-up duration:</w:t>
            </w:r>
          </w:p>
          <w:p w14:paraId="27D5A3A0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97 months (range: 3–180 months)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br/>
              <w:t>Recurrence rate:</w:t>
            </w:r>
          </w:p>
          <w:p w14:paraId="49F2E919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-EOC group: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1 out of 33 (3%)</w:t>
            </w:r>
          </w:p>
          <w:p w14:paraId="06E531DD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Not explicitly mentioned, but no cancer-related deaths in the EOC group</w:t>
            </w:r>
          </w:p>
          <w:p w14:paraId="21B68D3B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</w:p>
          <w:p w14:paraId="7354CEC5" w14:textId="77777777" w:rsidR="00867DCD" w:rsidRPr="00FD0319" w:rsidRDefault="00867DCD" w:rsidP="005B61D3">
            <w:pPr>
              <w:spacing w:after="0" w:line="240" w:lineRule="auto"/>
              <w:rPr>
                <w:rFonts w:ascii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       EOC group: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20 out of 33 (60.6%)</w:t>
            </w:r>
          </w:p>
          <w:p w14:paraId="178D6091" w14:textId="77777777" w:rsidR="00867DCD" w:rsidRPr="00FD0319" w:rsidRDefault="00867DCD" w:rsidP="005B61D3">
            <w:pPr>
              <w:spacing w:before="100" w:beforeAutospacing="1" w:after="100" w:afterAutospacing="1" w:line="240" w:lineRule="auto"/>
              <w:rPr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25BE5E0A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</w:tcPr>
          <w:p w14:paraId="132A646D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56 months (range: 25–60 months)</w:t>
            </w:r>
          </w:p>
          <w:p w14:paraId="5C5B655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25 (20%) in FSS group vs. 8 out of 35 (22.9%) in radical surgery group</w:t>
            </w:r>
          </w:p>
          <w:p w14:paraId="394AA55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88% (FSS) vs. 85.7% (Radical Surgery), no significant difference</w:t>
            </w:r>
          </w:p>
          <w:p w14:paraId="7FB627C3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Higher in radical surgery group than FSS group 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lastRenderedPageBreak/>
              <w:t>(exact numbers not provided)</w:t>
            </w:r>
          </w:p>
        </w:tc>
      </w:tr>
      <w:tr w:rsidR="00867DCD" w:rsidRPr="00FD0319" w14:paraId="6E84F4D0" w14:textId="77777777" w:rsidTr="00125148">
        <w:trPr>
          <w:trHeight w:val="2403"/>
        </w:trPr>
        <w:tc>
          <w:tcPr>
            <w:tcW w:w="680" w:type="dxa"/>
            <w:vAlign w:val="center"/>
          </w:tcPr>
          <w:p w14:paraId="165A7AF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Main Outcome</w:t>
            </w:r>
          </w:p>
        </w:tc>
        <w:tc>
          <w:tcPr>
            <w:tcW w:w="1325" w:type="dxa"/>
          </w:tcPr>
          <w:p w14:paraId="282B930C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Laparoscopic fertility-sparing surgery (FSS) in young women with early-stage epithelial ovarian cancer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is feasible and safe, with a low recurrence rate (5.6%) and no cancer-related deaths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Pregnancy was achieved in 22.2% of patients, with a 75% live birth rate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supporting the reproductive benefits of FSS. However,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careful patient selection is crucial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particularly for cases with high-risk features.</w:t>
            </w:r>
          </w:p>
          <w:p w14:paraId="2AB4F3E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55" w:type="dxa"/>
          </w:tcPr>
          <w:p w14:paraId="7AFC9AE8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47CFC1DF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is a viable option for early-stage epithelial ovarian cancer (EOC) with good survival outcomes (95.7% at 5 years)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17.2% of patients conceived, and 85.7% of pregnancies resulted in live births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even after chemotherapy. However,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the recurrence rate (17.2%) suggests careful patient selection is necessary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  <w:p w14:paraId="084D7124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62" w:type="dxa"/>
          </w:tcPr>
          <w:p w14:paraId="1DFA1F7D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is a viable option for early-stage EOC and BOT, with high pregnancy success rates (85.7% for EOC and 57.1% for BOT)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Live birth rates were excellent (93.3% for EOC and 88.5% for BOT)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and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recurrence rates remained low (3% for EOC and 11.3% for BOT)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 Careful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patient selection is essential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especially for high-risk cases.</w:t>
            </w:r>
          </w:p>
          <w:p w14:paraId="1F96B4BC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211" w:type="dxa"/>
          </w:tcPr>
          <w:p w14:paraId="73A05E38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provides similar oncological outcomes to radical surgery, with no significant difference in recurrence (20% vs. 22.9%) or survival (88% vs. 85.7%)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83% of FSS patients who attempted pregnancy conceived, with an 86.7% live birth rate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</w:rPr>
              <w:t>Careful selection is essential, particularly for high-risk cases</w:t>
            </w:r>
            <w:r w:rsidRPr="00FD0319">
              <w:rPr>
                <w:color w:val="000000"/>
                <w:kern w:val="2"/>
                <w:sz w:val="20"/>
                <w:szCs w:val="20"/>
              </w:rPr>
              <w:t>.</w:t>
            </w:r>
          </w:p>
          <w:p w14:paraId="6A4B86F2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</w:tc>
      </w:tr>
    </w:tbl>
    <w:p w14:paraId="7DB0B5E9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7F3FB0A4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  <w:r w:rsidRPr="009D584B">
        <w:rPr>
          <w:rFonts w:ascii="Times New Roman" w:hAnsi="Times New Roman"/>
          <w:sz w:val="15"/>
          <w:szCs w:val="15"/>
          <w:lang w:val="en-US"/>
        </w:rPr>
        <w:lastRenderedPageBreak/>
        <w:t xml:space="preserve">     </w:t>
      </w:r>
    </w:p>
    <w:tbl>
      <w:tblPr>
        <w:tblW w:w="727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71"/>
        <w:gridCol w:w="1908"/>
        <w:gridCol w:w="2013"/>
        <w:gridCol w:w="2096"/>
        <w:gridCol w:w="2105"/>
      </w:tblGrid>
      <w:tr w:rsidR="00867DCD" w:rsidRPr="00FD0319" w14:paraId="1C9F449A" w14:textId="77777777" w:rsidTr="002374F1">
        <w:trPr>
          <w:trHeight w:val="231"/>
        </w:trPr>
        <w:tc>
          <w:tcPr>
            <w:tcW w:w="687" w:type="dxa"/>
            <w:vAlign w:val="center"/>
          </w:tcPr>
          <w:p w14:paraId="49686D4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First Author</w:t>
            </w:r>
          </w:p>
        </w:tc>
        <w:tc>
          <w:tcPr>
            <w:tcW w:w="1429" w:type="dxa"/>
          </w:tcPr>
          <w:p w14:paraId="4636083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Johansen, G. et 2020</w:t>
            </w:r>
          </w:p>
        </w:tc>
        <w:tc>
          <w:tcPr>
            <w:tcW w:w="1738" w:type="dxa"/>
          </w:tcPr>
          <w:p w14:paraId="21E5759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Khatun, S. et al 020</w:t>
            </w:r>
          </w:p>
        </w:tc>
        <w:tc>
          <w:tcPr>
            <w:tcW w:w="1738" w:type="dxa"/>
          </w:tcPr>
          <w:p w14:paraId="7ADC7B9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Swift, B. et al 2022</w:t>
            </w:r>
          </w:p>
        </w:tc>
        <w:tc>
          <w:tcPr>
            <w:tcW w:w="1680" w:type="dxa"/>
          </w:tcPr>
          <w:p w14:paraId="777D4A7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Lin, W et al 2022</w:t>
            </w:r>
          </w:p>
        </w:tc>
      </w:tr>
      <w:tr w:rsidR="00867DCD" w:rsidRPr="00FD0319" w14:paraId="422487FD" w14:textId="77777777" w:rsidTr="002374F1">
        <w:trPr>
          <w:trHeight w:val="208"/>
        </w:trPr>
        <w:tc>
          <w:tcPr>
            <w:tcW w:w="687" w:type="dxa"/>
            <w:vAlign w:val="center"/>
          </w:tcPr>
          <w:p w14:paraId="25177B6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Country</w:t>
            </w:r>
          </w:p>
        </w:tc>
        <w:tc>
          <w:tcPr>
            <w:tcW w:w="1429" w:type="dxa"/>
          </w:tcPr>
          <w:p w14:paraId="10E6AFE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Sweden</w:t>
            </w:r>
          </w:p>
        </w:tc>
        <w:tc>
          <w:tcPr>
            <w:tcW w:w="1738" w:type="dxa"/>
          </w:tcPr>
          <w:p w14:paraId="7CF730A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Bangladesh.</w:t>
            </w:r>
          </w:p>
        </w:tc>
        <w:tc>
          <w:tcPr>
            <w:tcW w:w="1738" w:type="dxa"/>
          </w:tcPr>
          <w:p w14:paraId="321304B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Canada</w:t>
            </w:r>
          </w:p>
        </w:tc>
        <w:tc>
          <w:tcPr>
            <w:tcW w:w="1680" w:type="dxa"/>
          </w:tcPr>
          <w:p w14:paraId="1EA885D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China</w:t>
            </w:r>
          </w:p>
        </w:tc>
      </w:tr>
      <w:tr w:rsidR="00867DCD" w:rsidRPr="00FD0319" w14:paraId="7B69EDF5" w14:textId="77777777" w:rsidTr="002374F1">
        <w:trPr>
          <w:trHeight w:val="231"/>
        </w:trPr>
        <w:tc>
          <w:tcPr>
            <w:tcW w:w="687" w:type="dxa"/>
            <w:vAlign w:val="center"/>
          </w:tcPr>
          <w:p w14:paraId="0E81D5C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Study Design</w:t>
            </w:r>
          </w:p>
        </w:tc>
        <w:tc>
          <w:tcPr>
            <w:tcW w:w="1429" w:type="dxa"/>
          </w:tcPr>
          <w:p w14:paraId="25F3A14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Nationwide prospective</w:t>
            </w:r>
          </w:p>
        </w:tc>
        <w:tc>
          <w:tcPr>
            <w:tcW w:w="1738" w:type="dxa"/>
          </w:tcPr>
          <w:p w14:paraId="0E7E835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Case report</w:t>
            </w:r>
          </w:p>
        </w:tc>
        <w:tc>
          <w:tcPr>
            <w:tcW w:w="1738" w:type="dxa"/>
          </w:tcPr>
          <w:p w14:paraId="2681B86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  <w:tc>
          <w:tcPr>
            <w:tcW w:w="1680" w:type="dxa"/>
          </w:tcPr>
          <w:p w14:paraId="598C6E2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</w:tr>
      <w:tr w:rsidR="00867DCD" w:rsidRPr="00FD0319" w14:paraId="7F26284A" w14:textId="77777777" w:rsidTr="002374F1">
        <w:trPr>
          <w:trHeight w:val="441"/>
        </w:trPr>
        <w:tc>
          <w:tcPr>
            <w:tcW w:w="687" w:type="dxa"/>
            <w:vAlign w:val="center"/>
          </w:tcPr>
          <w:p w14:paraId="29DAC78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Number of patients</w:t>
            </w:r>
          </w:p>
        </w:tc>
        <w:tc>
          <w:tcPr>
            <w:tcW w:w="1429" w:type="dxa"/>
          </w:tcPr>
          <w:p w14:paraId="4924E20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83</w:t>
            </w:r>
          </w:p>
        </w:tc>
        <w:tc>
          <w:tcPr>
            <w:tcW w:w="1738" w:type="dxa"/>
          </w:tcPr>
          <w:p w14:paraId="26FF0C0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31</w:t>
            </w:r>
          </w:p>
        </w:tc>
        <w:tc>
          <w:tcPr>
            <w:tcW w:w="1738" w:type="dxa"/>
          </w:tcPr>
          <w:p w14:paraId="217DC70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31</w:t>
            </w:r>
          </w:p>
        </w:tc>
        <w:tc>
          <w:tcPr>
            <w:tcW w:w="1680" w:type="dxa"/>
          </w:tcPr>
          <w:p w14:paraId="7148565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159</w:t>
            </w:r>
          </w:p>
        </w:tc>
      </w:tr>
      <w:tr w:rsidR="00867DCD" w:rsidRPr="00FD0319" w14:paraId="648674B1" w14:textId="77777777" w:rsidTr="002374F1">
        <w:trPr>
          <w:trHeight w:val="441"/>
        </w:trPr>
        <w:tc>
          <w:tcPr>
            <w:tcW w:w="687" w:type="dxa"/>
            <w:vAlign w:val="center"/>
          </w:tcPr>
          <w:p w14:paraId="75E49E7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Mean Age years)</w:t>
            </w:r>
          </w:p>
        </w:tc>
        <w:tc>
          <w:tcPr>
            <w:tcW w:w="1429" w:type="dxa"/>
          </w:tcPr>
          <w:p w14:paraId="5EA0E1C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29 (range: 19–39) for FSS group, 37 (range: 26–40) for RS group</w:t>
            </w:r>
          </w:p>
        </w:tc>
        <w:tc>
          <w:tcPr>
            <w:tcW w:w="1738" w:type="dxa"/>
          </w:tcPr>
          <w:p w14:paraId="5D0243F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31</w:t>
            </w:r>
          </w:p>
        </w:tc>
        <w:tc>
          <w:tcPr>
            <w:tcW w:w="1738" w:type="dxa"/>
          </w:tcPr>
          <w:p w14:paraId="3AF64F2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36 (range: 26–42) for FSS group, 42 (range: 35–45) for RS group</w:t>
            </w:r>
          </w:p>
        </w:tc>
        <w:tc>
          <w:tcPr>
            <w:tcW w:w="1680" w:type="dxa"/>
          </w:tcPr>
          <w:p w14:paraId="164808C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31 (range: 12–76) for all patients, 24 (range: 12–40) for FSS group</w:t>
            </w:r>
          </w:p>
        </w:tc>
      </w:tr>
      <w:tr w:rsidR="00867DCD" w:rsidRPr="00FD0319" w14:paraId="131F3CE3" w14:textId="77777777" w:rsidTr="002374F1">
        <w:trPr>
          <w:trHeight w:val="649"/>
        </w:trPr>
        <w:tc>
          <w:tcPr>
            <w:tcW w:w="687" w:type="dxa"/>
            <w:vAlign w:val="center"/>
          </w:tcPr>
          <w:p w14:paraId="15378A7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Age of menarche</w:t>
            </w:r>
          </w:p>
          <w:p w14:paraId="0EC69FE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(years)</w:t>
            </w:r>
          </w:p>
        </w:tc>
        <w:tc>
          <w:tcPr>
            <w:tcW w:w="1429" w:type="dxa"/>
          </w:tcPr>
          <w:p w14:paraId="74F09FF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738" w:type="dxa"/>
          </w:tcPr>
          <w:p w14:paraId="4E35415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738" w:type="dxa"/>
          </w:tcPr>
          <w:p w14:paraId="6C18571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80" w:type="dxa"/>
          </w:tcPr>
          <w:p w14:paraId="7CD1AE7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41B5FEEF" w14:textId="77777777" w:rsidTr="002374F1">
        <w:trPr>
          <w:trHeight w:val="441"/>
        </w:trPr>
        <w:tc>
          <w:tcPr>
            <w:tcW w:w="687" w:type="dxa"/>
            <w:vAlign w:val="center"/>
          </w:tcPr>
          <w:p w14:paraId="306F9DB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Tumor size (mm)</w:t>
            </w:r>
          </w:p>
        </w:tc>
        <w:tc>
          <w:tcPr>
            <w:tcW w:w="1429" w:type="dxa"/>
          </w:tcPr>
          <w:p w14:paraId="450259B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Mean 34 ± 13 (FSS group) vs. 60 ± 26 (Radical Surgery group)</w:t>
            </w:r>
          </w:p>
        </w:tc>
        <w:tc>
          <w:tcPr>
            <w:tcW w:w="1738" w:type="dxa"/>
          </w:tcPr>
          <w:p w14:paraId="06395C7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100</w:t>
            </w:r>
          </w:p>
        </w:tc>
        <w:tc>
          <w:tcPr>
            <w:tcW w:w="1738" w:type="dxa"/>
          </w:tcPr>
          <w:p w14:paraId="619DDD0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80" w:type="dxa"/>
          </w:tcPr>
          <w:p w14:paraId="0036646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Median 15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0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 xml:space="preserve"> (range: 39–40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0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)</w:t>
            </w:r>
          </w:p>
        </w:tc>
      </w:tr>
      <w:tr w:rsidR="00867DCD" w:rsidRPr="00FD0319" w14:paraId="0BC25558" w14:textId="77777777" w:rsidTr="002374F1">
        <w:trPr>
          <w:trHeight w:val="649"/>
        </w:trPr>
        <w:tc>
          <w:tcPr>
            <w:tcW w:w="687" w:type="dxa"/>
            <w:vAlign w:val="center"/>
          </w:tcPr>
          <w:p w14:paraId="7E01EFE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Gynaecological Cancer</w:t>
            </w:r>
          </w:p>
          <w:p w14:paraId="2B5DCB1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History</w:t>
            </w:r>
          </w:p>
        </w:tc>
        <w:tc>
          <w:tcPr>
            <w:tcW w:w="1429" w:type="dxa"/>
          </w:tcPr>
          <w:p w14:paraId="4845C89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738" w:type="dxa"/>
          </w:tcPr>
          <w:p w14:paraId="382E07E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738" w:type="dxa"/>
          </w:tcPr>
          <w:p w14:paraId="58F1ECB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  <w:tc>
          <w:tcPr>
            <w:tcW w:w="1680" w:type="dxa"/>
          </w:tcPr>
          <w:p w14:paraId="5413842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0C698451" w14:textId="77777777" w:rsidTr="002374F1">
        <w:trPr>
          <w:trHeight w:val="1299"/>
        </w:trPr>
        <w:tc>
          <w:tcPr>
            <w:tcW w:w="687" w:type="dxa"/>
            <w:vAlign w:val="center"/>
          </w:tcPr>
          <w:p w14:paraId="3950BDC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FIGO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staging FSS</w:t>
            </w:r>
          </w:p>
        </w:tc>
        <w:tc>
          <w:tcPr>
            <w:tcW w:w="1429" w:type="dxa"/>
          </w:tcPr>
          <w:p w14:paraId="698D4698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27 (75%)</w:t>
            </w:r>
          </w:p>
          <w:p w14:paraId="6BDA241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Stage 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9 (25%)</w:t>
            </w:r>
          </w:p>
        </w:tc>
        <w:tc>
          <w:tcPr>
            <w:tcW w:w="1738" w:type="dxa"/>
          </w:tcPr>
          <w:p w14:paraId="2AA83FC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IA</w:t>
            </w:r>
          </w:p>
        </w:tc>
        <w:tc>
          <w:tcPr>
            <w:tcW w:w="1738" w:type="dxa"/>
          </w:tcPr>
          <w:p w14:paraId="13A3AE0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FSS group:</w:t>
            </w:r>
          </w:p>
          <w:p w14:paraId="095727B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9 (81.8%)</w:t>
            </w:r>
          </w:p>
          <w:p w14:paraId="6F9C7385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Stage IC: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2 (18.2%)</w:t>
            </w:r>
          </w:p>
          <w:p w14:paraId="6008AAC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80" w:type="dxa"/>
          </w:tcPr>
          <w:p w14:paraId="478D737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Stage IA: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55 (34.6%)</w:t>
            </w:r>
          </w:p>
          <w:p w14:paraId="18941CF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Stage IC: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104 (65.4%)</w:t>
            </w:r>
          </w:p>
          <w:p w14:paraId="0526E235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IC1: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63 (39.6%)</w:t>
            </w:r>
          </w:p>
          <w:p w14:paraId="3FC0B58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 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IC2: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33 (20.8%)</w:t>
            </w:r>
          </w:p>
          <w:p w14:paraId="5F004D8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  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>IC3: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4 (2.5%)</w:t>
            </w:r>
          </w:p>
          <w:p w14:paraId="29AA7C26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l-GR"/>
              </w:rPr>
            </w:pPr>
          </w:p>
        </w:tc>
      </w:tr>
      <w:tr w:rsidR="00867DCD" w:rsidRPr="00FD0319" w14:paraId="7EF4C11F" w14:textId="77777777" w:rsidTr="002374F1">
        <w:trPr>
          <w:trHeight w:val="2808"/>
        </w:trPr>
        <w:tc>
          <w:tcPr>
            <w:tcW w:w="687" w:type="dxa"/>
            <w:vAlign w:val="center"/>
          </w:tcPr>
          <w:p w14:paraId="4705C7F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Histology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&amp; Grading</w:t>
            </w:r>
          </w:p>
        </w:tc>
        <w:tc>
          <w:tcPr>
            <w:tcW w:w="1429" w:type="dxa"/>
          </w:tcPr>
          <w:p w14:paraId="43D5B6A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 (FSS group):</w:t>
            </w:r>
          </w:p>
          <w:p w14:paraId="78CC4582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Mucinous: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18 (50%)</w:t>
            </w:r>
          </w:p>
          <w:p w14:paraId="4F937234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Endometrioid: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 (28%)</w:t>
            </w:r>
          </w:p>
          <w:p w14:paraId="669116F8" w14:textId="77777777" w:rsidR="00867DCD" w:rsidRPr="00FD0319" w:rsidRDefault="00867DCD" w:rsidP="005B61D3">
            <w:pPr>
              <w:spacing w:after="0" w:line="240" w:lineRule="auto"/>
              <w:ind w:left="186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Serous (high-grade and low-grade):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(8%)</w:t>
            </w:r>
          </w:p>
          <w:p w14:paraId="672B1F61" w14:textId="77777777" w:rsidR="00867DCD" w:rsidRPr="00FD0319" w:rsidRDefault="00867DCD" w:rsidP="005B61D3">
            <w:pPr>
              <w:spacing w:after="0" w:line="240" w:lineRule="auto"/>
              <w:ind w:left="186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Clear cell: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(8%)</w:t>
            </w:r>
          </w:p>
          <w:p w14:paraId="7C5FACAB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Other rare types: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(6%)</w:t>
            </w:r>
          </w:p>
          <w:p w14:paraId="7D70138E" w14:textId="77777777" w:rsidR="00867DCD" w:rsidRPr="00FD0319" w:rsidRDefault="00867DCD" w:rsidP="005B61D3">
            <w:pPr>
              <w:spacing w:after="0" w:line="240" w:lineRule="auto"/>
              <w:ind w:left="186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FAB1D1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 (FSS group):</w:t>
            </w:r>
          </w:p>
          <w:p w14:paraId="72886BA6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</w:t>
            </w:r>
          </w:p>
          <w:p w14:paraId="7696AD26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2</w:t>
            </w:r>
          </w:p>
          <w:p w14:paraId="0D7D6FBD" w14:textId="77777777" w:rsidR="00867DCD" w:rsidRPr="00FD0319" w:rsidRDefault="00867DCD" w:rsidP="005B61D3">
            <w:pPr>
              <w:spacing w:after="0" w:line="240" w:lineRule="auto"/>
              <w:ind w:left="186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3: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1</w:t>
            </w:r>
          </w:p>
          <w:p w14:paraId="20344C8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738" w:type="dxa"/>
            <w:vAlign w:val="center"/>
          </w:tcPr>
          <w:p w14:paraId="11697B1E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Mucinous Cystadenocarcinoma</w:t>
            </w:r>
          </w:p>
          <w:p w14:paraId="16A4E2B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E9AAF3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1F40D34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mentioned</w:t>
            </w:r>
          </w:p>
        </w:tc>
        <w:tc>
          <w:tcPr>
            <w:tcW w:w="1738" w:type="dxa"/>
            <w:vAlign w:val="center"/>
          </w:tcPr>
          <w:p w14:paraId="14F64621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46ED12B7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 (FSS group):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Endometrioid only</w:t>
            </w:r>
          </w:p>
          <w:p w14:paraId="0FF3CF33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17608D67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6E1D72E5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 (FSS group):</w:t>
            </w:r>
          </w:p>
          <w:p w14:paraId="7ACDAA28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Grade 1: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(63.6%)</w:t>
            </w:r>
          </w:p>
          <w:p w14:paraId="3F05C12F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Grade 2: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4 (36.4%)</w:t>
            </w:r>
          </w:p>
          <w:p w14:paraId="5AD0FD44" w14:textId="77777777" w:rsidR="00867DCD" w:rsidRPr="00FD0319" w:rsidRDefault="00867DCD" w:rsidP="005B61D3">
            <w:pPr>
              <w:tabs>
                <w:tab w:val="left" w:pos="2357"/>
              </w:tabs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80" w:type="dxa"/>
            <w:vAlign w:val="center"/>
          </w:tcPr>
          <w:p w14:paraId="1E9107B3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3CE12A61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</w:p>
          <w:p w14:paraId="2523A89A" w14:textId="77777777" w:rsidR="00867DCD" w:rsidRPr="00FD0319" w:rsidRDefault="00867DCD" w:rsidP="005B61D3">
            <w:pPr>
              <w:spacing w:after="0" w:line="240" w:lineRule="auto"/>
              <w:jc w:val="center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6407DBDB" w14:textId="77777777" w:rsidR="00867DCD" w:rsidRPr="00FD0319" w:rsidRDefault="00867DCD" w:rsidP="005B61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histology: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Mucinous Ovarian Carcinoma</w:t>
            </w:r>
          </w:p>
          <w:p w14:paraId="1C8A5E71" w14:textId="77777777" w:rsidR="00867DCD" w:rsidRPr="00FD0319" w:rsidRDefault="00867DCD" w:rsidP="005B61D3">
            <w:pPr>
              <w:tabs>
                <w:tab w:val="left" w:pos="1184"/>
              </w:tabs>
              <w:spacing w:after="0" w:line="240" w:lineRule="auto"/>
              <w:jc w:val="center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0355CE86" w14:textId="77777777" w:rsidR="00867DCD" w:rsidRPr="00FD0319" w:rsidRDefault="00867DCD" w:rsidP="005B61D3">
            <w:pPr>
              <w:tabs>
                <w:tab w:val="left" w:pos="1184"/>
              </w:tabs>
              <w:spacing w:after="0" w:line="240" w:lineRule="auto"/>
              <w:jc w:val="center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</w:p>
          <w:p w14:paraId="0DE0AA5F" w14:textId="77777777" w:rsidR="00867DCD" w:rsidRPr="00FD0319" w:rsidRDefault="00867DCD" w:rsidP="005B61D3">
            <w:pPr>
              <w:tabs>
                <w:tab w:val="left" w:pos="1184"/>
              </w:tabs>
              <w:spacing w:after="0" w:line="240" w:lineRule="auto"/>
              <w:jc w:val="center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Tumor grade: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reported</w:t>
            </w:r>
          </w:p>
        </w:tc>
      </w:tr>
      <w:tr w:rsidR="00867DCD" w:rsidRPr="00FD0319" w14:paraId="3A357BC3" w14:textId="77777777" w:rsidTr="002374F1">
        <w:trPr>
          <w:trHeight w:val="2390"/>
        </w:trPr>
        <w:tc>
          <w:tcPr>
            <w:tcW w:w="687" w:type="dxa"/>
            <w:vAlign w:val="center"/>
          </w:tcPr>
          <w:p w14:paraId="0EA1AE7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Reproductive Outcomes</w:t>
            </w:r>
          </w:p>
        </w:tc>
        <w:tc>
          <w:tcPr>
            <w:tcW w:w="1429" w:type="dxa"/>
          </w:tcPr>
          <w:p w14:paraId="6BAEA36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 out of 36 (25%)</w:t>
            </w:r>
          </w:p>
          <w:p w14:paraId="25C0A68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12</w:t>
            </w:r>
          </w:p>
          <w:p w14:paraId="6AC059E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 (all pregnancies resulted in live births)</w:t>
            </w:r>
          </w:p>
          <w:p w14:paraId="7047131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natural conceptions</w:t>
            </w:r>
          </w:p>
          <w:p w14:paraId="71B36CE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required ART (IVF/ET):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out of 36 (3%)</w:t>
            </w:r>
          </w:p>
          <w:p w14:paraId="0B66ED1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lastRenderedPageBreak/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Not reported</w:t>
            </w:r>
          </w:p>
        </w:tc>
        <w:tc>
          <w:tcPr>
            <w:tcW w:w="1738" w:type="dxa"/>
          </w:tcPr>
          <w:p w14:paraId="06A30E6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Patients who conceived after surgery: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(100%)</w:t>
            </w:r>
          </w:p>
          <w:p w14:paraId="386B9CD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</w:t>
            </w:r>
          </w:p>
          <w:p w14:paraId="136BE84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 (full-term)</w:t>
            </w:r>
          </w:p>
          <w:p w14:paraId="2DB9AF6D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Natural conception</w:t>
            </w:r>
          </w:p>
          <w:p w14:paraId="478BA9B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Mode of delivery: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Cesarean section</w:t>
            </w:r>
          </w:p>
          <w:p w14:paraId="53FA7F0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l-GR"/>
              </w:rPr>
              <w:t>Not reported</w:t>
            </w:r>
          </w:p>
        </w:tc>
        <w:tc>
          <w:tcPr>
            <w:tcW w:w="1738" w:type="dxa"/>
          </w:tcPr>
          <w:p w14:paraId="4BE866E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7 out of 11 (63.6%)</w:t>
            </w:r>
          </w:p>
          <w:p w14:paraId="2DC024E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7 (71.4%)</w:t>
            </w:r>
          </w:p>
          <w:p w14:paraId="3F537C5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</w:t>
            </w:r>
          </w:p>
          <w:p w14:paraId="00D6F79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 out of 5 (100%)</w:t>
            </w:r>
          </w:p>
          <w:p w14:paraId="51E4523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abortions: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</w:t>
            </w:r>
          </w:p>
          <w:p w14:paraId="3F32C7F9" w14:textId="77777777" w:rsidR="00867DCD" w:rsidRPr="00FD0319" w:rsidRDefault="00867DCD" w:rsidP="005B61D3">
            <w:pPr>
              <w:tabs>
                <w:tab w:val="left" w:pos="2456"/>
              </w:tabs>
              <w:spacing w:after="0" w:line="240" w:lineRule="auto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method: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4 required IVF, 1 conceived naturally</w:t>
            </w:r>
          </w:p>
        </w:tc>
        <w:tc>
          <w:tcPr>
            <w:tcW w:w="1680" w:type="dxa"/>
          </w:tcPr>
          <w:p w14:paraId="1A2E5F0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23 out of 57 (40.4%)</w:t>
            </w:r>
          </w:p>
          <w:p w14:paraId="0000FCB2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21 out of 23 (91.3%)</w:t>
            </w:r>
          </w:p>
          <w:p w14:paraId="40EAE805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Total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27</w:t>
            </w:r>
          </w:p>
          <w:p w14:paraId="0ED3D9D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Live birth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88.9% (24 out of 27 pregnancies resulted in live births)</w:t>
            </w:r>
          </w:p>
          <w:p w14:paraId="7059D70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Spontaneous pregnancies: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26 out of 27 (96.3%)</w:t>
            </w:r>
          </w:p>
          <w:p w14:paraId="419A853A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ART use (IVF):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patient (3.7%)</w:t>
            </w:r>
          </w:p>
          <w:p w14:paraId="5FF5D4B7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Preterm births: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cases (all via cesarean section)</w:t>
            </w:r>
          </w:p>
          <w:p w14:paraId="74EE57B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lastRenderedPageBreak/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Cesarean section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91.7%</w:t>
            </w:r>
          </w:p>
          <w:p w14:paraId="76A8864F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Pregnancy complications: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detailed</w:t>
            </w:r>
          </w:p>
        </w:tc>
      </w:tr>
      <w:tr w:rsidR="00867DCD" w:rsidRPr="00FD0319" w14:paraId="4D4369B6" w14:textId="77777777" w:rsidTr="002374F1">
        <w:trPr>
          <w:trHeight w:val="134"/>
        </w:trPr>
        <w:tc>
          <w:tcPr>
            <w:tcW w:w="687" w:type="dxa"/>
          </w:tcPr>
          <w:p w14:paraId="30D9B37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2AC5DA7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</w:p>
          <w:p w14:paraId="035A7D4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Surgical Approach</w:t>
            </w:r>
          </w:p>
        </w:tc>
        <w:tc>
          <w:tcPr>
            <w:tcW w:w="1429" w:type="dxa"/>
          </w:tcPr>
          <w:p w14:paraId="41846D79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FSS patients</w:t>
            </w:r>
          </w:p>
          <w:p w14:paraId="106897A6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178E62D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 in 92% of FSS patients</w:t>
            </w:r>
          </w:p>
          <w:p w14:paraId="4C73B4E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  <w:p w14:paraId="0DEF6B4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</w:p>
        </w:tc>
        <w:tc>
          <w:tcPr>
            <w:tcW w:w="1738" w:type="dxa"/>
          </w:tcPr>
          <w:p w14:paraId="34F3D54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Right Adnexectomy</w:t>
            </w:r>
          </w:p>
          <w:p w14:paraId="0949745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Omentectomy</w:t>
            </w:r>
          </w:p>
          <w:p w14:paraId="61FFD609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Peritoneal biopsy</w:t>
            </w:r>
          </w:p>
          <w:p w14:paraId="2EC3013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Contralateral ovary biopsy</w:t>
            </w:r>
          </w:p>
          <w:p w14:paraId="0A12950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05EC765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Performed </w:t>
            </w:r>
          </w:p>
        </w:tc>
        <w:tc>
          <w:tcPr>
            <w:tcW w:w="1738" w:type="dxa"/>
          </w:tcPr>
          <w:p w14:paraId="5B852CB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All FSS patients</w:t>
            </w:r>
          </w:p>
          <w:p w14:paraId="1F124AE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 in 32.3% of all patients</w:t>
            </w:r>
          </w:p>
        </w:tc>
        <w:tc>
          <w:tcPr>
            <w:tcW w:w="1680" w:type="dxa"/>
          </w:tcPr>
          <w:p w14:paraId="1BCFECD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FSS group:</w:t>
            </w:r>
          </w:p>
          <w:p w14:paraId="12BCB531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All patients</w:t>
            </w:r>
          </w:p>
          <w:p w14:paraId="6C7FD32B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Co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mplete surgical staging performed in 88.5% of cases</w:t>
            </w:r>
          </w:p>
          <w:p w14:paraId="7ED5059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</w:tr>
      <w:tr w:rsidR="00867DCD" w:rsidRPr="00FD0319" w14:paraId="7D3B9A95" w14:textId="77777777" w:rsidTr="002374F1">
        <w:trPr>
          <w:trHeight w:val="610"/>
        </w:trPr>
        <w:tc>
          <w:tcPr>
            <w:tcW w:w="687" w:type="dxa"/>
            <w:vAlign w:val="center"/>
          </w:tcPr>
          <w:p w14:paraId="2E3B437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Oncological outcomes</w:t>
            </w:r>
          </w:p>
        </w:tc>
        <w:tc>
          <w:tcPr>
            <w:tcW w:w="1429" w:type="dxa"/>
          </w:tcPr>
          <w:p w14:paraId="3297BF4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63 months (range: 16–111) for FSS group, 64 months (range: 21–112) for RS group</w:t>
            </w:r>
          </w:p>
          <w:p w14:paraId="02914C6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 out of 36 (6%) in FSS group, 6 out of 47 (13%) in RS group</w:t>
            </w:r>
          </w:p>
          <w:p w14:paraId="1B2DB855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 xml:space="preserve">5-year OS: 97% (FSS) vs. 89% (RS), p = 0.3 (no 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significant difference)</w:t>
            </w:r>
          </w:p>
          <w:p w14:paraId="44055A5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5-year Disease-Free Survival (DFS):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93% (FSS) vs. 82% (RS), p = 0.5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14 out of 36 (39%) in FSS group, 34 out of 47 (72%) in RS group</w:t>
            </w:r>
          </w:p>
        </w:tc>
        <w:tc>
          <w:tcPr>
            <w:tcW w:w="1738" w:type="dxa"/>
          </w:tcPr>
          <w:p w14:paraId="1C6794B3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3 years</w:t>
            </w:r>
          </w:p>
          <w:p w14:paraId="4CC04961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0% (No relapse during follow-up)</w:t>
            </w:r>
          </w:p>
          <w:p w14:paraId="07CBEA7B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</w:t>
            </w:r>
          </w:p>
          <w:p w14:paraId="34EF14C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Yes (BEP regimen: Bleomycin, Etoposide, Cisplatin, 6 cycles)</w:t>
            </w:r>
          </w:p>
        </w:tc>
        <w:tc>
          <w:tcPr>
            <w:tcW w:w="1738" w:type="dxa"/>
          </w:tcPr>
          <w:p w14:paraId="52FDC51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 years (range: 1.8–17.3 years)</w:t>
            </w:r>
          </w:p>
          <w:p w14:paraId="6C7E6A7A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 out of 11 (9.1%) in FSS group, 3 out of 20 (15%) in RS group</w:t>
            </w:r>
          </w:p>
          <w:p w14:paraId="48C7BED5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100% (FSS) vs. 92.6% (RS), no significant difference</w:t>
            </w:r>
          </w:p>
          <w:p w14:paraId="31F0DC9A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等? Light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Peritoneal staging: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Performed in all cases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 xml:space="preserve">Patients who received 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lastRenderedPageBreak/>
              <w:t>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1 out of 11 (9.1%) in FSS group, 7 out of 20 (35%) in RS group</w:t>
            </w:r>
          </w:p>
          <w:p w14:paraId="004BD704" w14:textId="77777777" w:rsidR="00867DCD" w:rsidRPr="00FD0319" w:rsidRDefault="00867DCD" w:rsidP="005B61D3">
            <w:pPr>
              <w:tabs>
                <w:tab w:val="left" w:pos="1272"/>
              </w:tabs>
              <w:spacing w:after="0" w:line="240" w:lineRule="auto"/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ab/>
            </w:r>
          </w:p>
        </w:tc>
        <w:tc>
          <w:tcPr>
            <w:tcW w:w="1680" w:type="dxa"/>
          </w:tcPr>
          <w:p w14:paraId="78846A79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lastRenderedPageBreak/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69 months (range: 6–240 months)</w:t>
            </w:r>
          </w:p>
          <w:p w14:paraId="0AF5A2B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18 out of 159 (11.3%)</w:t>
            </w:r>
          </w:p>
          <w:p w14:paraId="0C70FB6A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 xml:space="preserve">   FSS group: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12 out of 78 (15.4%)</w:t>
            </w:r>
          </w:p>
          <w:p w14:paraId="6569C14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 xml:space="preserve">   pregnancy Surgery (RS) group: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6 out of 81 (7.4%)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</w:p>
          <w:p w14:paraId="2529EF8F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5-year OS: 98.6% (FSS) vs. 100% (RS), no significant difference</w:t>
            </w:r>
          </w:p>
          <w:p w14:paraId="54D7FE17" w14:textId="77777777" w:rsidR="00867DCD" w:rsidRPr="00FD0319" w:rsidRDefault="00867DCD" w:rsidP="005B61D3">
            <w:pPr>
              <w:spacing w:after="0" w:line="240" w:lineRule="auto"/>
              <w:rPr>
                <w:rStyle w:val="Strong"/>
                <w:rFonts w:ascii="Times New Roman" w:eastAsia="Times New Roman" w:hAnsi="Times New Roman"/>
                <w:b w:val="0"/>
                <w:bCs w:val="0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lastRenderedPageBreak/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56.4% (FSS group), 69.1% (RS group)</w:t>
            </w:r>
          </w:p>
        </w:tc>
      </w:tr>
      <w:tr w:rsidR="00867DCD" w:rsidRPr="00FD0319" w14:paraId="6EDCE0B4" w14:textId="77777777" w:rsidTr="002374F1">
        <w:trPr>
          <w:trHeight w:val="58"/>
        </w:trPr>
        <w:tc>
          <w:tcPr>
            <w:tcW w:w="687" w:type="dxa"/>
            <w:vAlign w:val="center"/>
          </w:tcPr>
          <w:p w14:paraId="72A64B59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Main Outcome</w:t>
            </w:r>
          </w:p>
        </w:tc>
        <w:tc>
          <w:tcPr>
            <w:tcW w:w="1429" w:type="dxa"/>
          </w:tcPr>
          <w:p w14:paraId="70A5940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provides similar oncological outcomes to radical surgery (97% vs. 89% 5-year OS) while preserving fertility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25% of FSS patients conceived, all naturally, with 100% live birth rates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n-US"/>
              </w:rPr>
              <w:t>The low recurrence rate (6%) suggests that FSS is a viable and safe option for select early-stage EOC patients</w:t>
            </w:r>
            <w:r w:rsidRPr="00FD0319">
              <w:rPr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</w:tc>
        <w:tc>
          <w:tcPr>
            <w:tcW w:w="1738" w:type="dxa"/>
          </w:tcPr>
          <w:p w14:paraId="1B2CFD1B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was successful in preserving fertility, allowing a full-term pregnancy without recurrence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After 3 years of follow-up, the patient remained disease-free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reinforcing the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potential feasibility of FSS in carefully selected early-stage epithelial ovarian cancer cases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  <w:p w14:paraId="27F6B49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738" w:type="dxa"/>
          </w:tcPr>
          <w:p w14:paraId="3E7A34FB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provides comparable oncologic outcomes to radical surgery (100% vs. 92.6% survival) with a low recurrence rate (9.1%)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71.4% of patients attempting pregnancy conceived, and all resulted in live births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IVF was required in 80% of cases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, suggesting that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endometriosis-associated infertility may be a factor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  <w:p w14:paraId="714F6942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</w:tc>
        <w:tc>
          <w:tcPr>
            <w:tcW w:w="1680" w:type="dxa"/>
          </w:tcPr>
          <w:p w14:paraId="0E85EE48" w14:textId="77777777" w:rsidR="00867DCD" w:rsidRPr="00FD0319" w:rsidRDefault="00867DCD" w:rsidP="005B61D3">
            <w:pPr>
              <w:pStyle w:val="NormalWeb"/>
              <w:rPr>
                <w:color w:val="000000"/>
                <w:kern w:val="2"/>
                <w:sz w:val="20"/>
                <w:szCs w:val="20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is a feasible option for young women with unilateral stage I mucinous ovarian carcinoma, with high live birth rates (88.9%) and acceptable recurrence risk (15.4%)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The 5-year overall survival was excellent (98.6%), comparable to radical surgery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 xml:space="preserve">. </w:t>
            </w:r>
            <w:r w:rsidRPr="00FD0319">
              <w:rPr>
                <w:color w:val="000000"/>
                <w:kern w:val="2"/>
                <w:sz w:val="20"/>
                <w:szCs w:val="20"/>
              </w:rPr>
              <w:t>However,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</w:rPr>
              <w:t>complete staging is essential to optimize oncologic outcomes</w:t>
            </w:r>
            <w:r w:rsidRPr="00FD0319">
              <w:rPr>
                <w:color w:val="000000"/>
                <w:kern w:val="2"/>
                <w:sz w:val="20"/>
                <w:szCs w:val="20"/>
              </w:rPr>
              <w:t>.</w:t>
            </w:r>
          </w:p>
          <w:p w14:paraId="431309D0" w14:textId="77777777" w:rsidR="00867DCD" w:rsidRPr="00FD0319" w:rsidRDefault="00867DCD" w:rsidP="005B61D3">
            <w:pPr>
              <w:pStyle w:val="NormalWeb"/>
              <w:jc w:val="center"/>
              <w:rPr>
                <w:color w:val="000000"/>
                <w:kern w:val="2"/>
                <w:sz w:val="20"/>
                <w:szCs w:val="20"/>
                <w:lang w:val="en-US"/>
              </w:rPr>
            </w:pPr>
          </w:p>
          <w:p w14:paraId="4C6C393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</w:p>
        </w:tc>
      </w:tr>
    </w:tbl>
    <w:p w14:paraId="2AA549C9" w14:textId="77777777" w:rsidR="00867DCD" w:rsidRPr="009D584B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tbl>
      <w:tblPr>
        <w:tblW w:w="893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9"/>
        <w:gridCol w:w="7371"/>
      </w:tblGrid>
      <w:tr w:rsidR="00867DCD" w:rsidRPr="00FD0319" w14:paraId="19C8A0CA" w14:textId="77777777" w:rsidTr="005B61D3">
        <w:tc>
          <w:tcPr>
            <w:tcW w:w="1559" w:type="dxa"/>
            <w:vAlign w:val="center"/>
          </w:tcPr>
          <w:p w14:paraId="220C692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First Author</w:t>
            </w:r>
          </w:p>
        </w:tc>
        <w:tc>
          <w:tcPr>
            <w:tcW w:w="7371" w:type="dxa"/>
          </w:tcPr>
          <w:p w14:paraId="512BD649" w14:textId="77777777" w:rsidR="00867DCD" w:rsidRPr="00FD0319" w:rsidRDefault="00867DCD" w:rsidP="005B61D3">
            <w:pPr>
              <w:pStyle w:val="p1"/>
              <w:rPr>
                <w:rFonts w:ascii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hAnsi="Times New Roman"/>
                <w:kern w:val="2"/>
                <w:sz w:val="20"/>
                <w:szCs w:val="20"/>
              </w:rPr>
              <w:t>L</w:t>
            </w:r>
            <w:r w:rsidRPr="00FD0319">
              <w:rPr>
                <w:rFonts w:ascii="Times New Roman" w:hAnsi="Times New Roman"/>
                <w:kern w:val="2"/>
                <w:sz w:val="20"/>
                <w:szCs w:val="20"/>
                <w:lang w:val="en-US"/>
              </w:rPr>
              <w:t>etourneau, J et al 2015</w:t>
            </w:r>
          </w:p>
        </w:tc>
      </w:tr>
      <w:tr w:rsidR="00867DCD" w:rsidRPr="00FD0319" w14:paraId="68A1E77F" w14:textId="77777777" w:rsidTr="005B61D3">
        <w:tc>
          <w:tcPr>
            <w:tcW w:w="1559" w:type="dxa"/>
            <w:vAlign w:val="center"/>
          </w:tcPr>
          <w:p w14:paraId="40CD18EF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lastRenderedPageBreak/>
              <w:t>Country</w:t>
            </w:r>
          </w:p>
        </w:tc>
        <w:tc>
          <w:tcPr>
            <w:tcW w:w="7371" w:type="dxa"/>
          </w:tcPr>
          <w:p w14:paraId="1742617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United States</w:t>
            </w:r>
          </w:p>
        </w:tc>
      </w:tr>
      <w:tr w:rsidR="00867DCD" w:rsidRPr="00FD0319" w14:paraId="036BCB96" w14:textId="77777777" w:rsidTr="005B61D3">
        <w:tc>
          <w:tcPr>
            <w:tcW w:w="1559" w:type="dxa"/>
            <w:vAlign w:val="center"/>
          </w:tcPr>
          <w:p w14:paraId="263AE81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Study Design</w:t>
            </w:r>
          </w:p>
        </w:tc>
        <w:tc>
          <w:tcPr>
            <w:tcW w:w="7371" w:type="dxa"/>
          </w:tcPr>
          <w:p w14:paraId="3CE6F5A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Retrospective cohort</w:t>
            </w:r>
          </w:p>
        </w:tc>
      </w:tr>
      <w:tr w:rsidR="00867DCD" w:rsidRPr="00FD0319" w14:paraId="1CD9EC95" w14:textId="77777777" w:rsidTr="005B61D3">
        <w:trPr>
          <w:trHeight w:val="437"/>
        </w:trPr>
        <w:tc>
          <w:tcPr>
            <w:tcW w:w="1559" w:type="dxa"/>
            <w:vAlign w:val="center"/>
          </w:tcPr>
          <w:p w14:paraId="596DF5E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Number of patients</w:t>
            </w:r>
          </w:p>
        </w:tc>
        <w:tc>
          <w:tcPr>
            <w:tcW w:w="7371" w:type="dxa"/>
          </w:tcPr>
          <w:p w14:paraId="6A7EC860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82</w:t>
            </w:r>
          </w:p>
        </w:tc>
      </w:tr>
      <w:tr w:rsidR="00867DCD" w:rsidRPr="00FD0319" w14:paraId="123F909E" w14:textId="77777777" w:rsidTr="005B61D3">
        <w:tc>
          <w:tcPr>
            <w:tcW w:w="1559" w:type="dxa"/>
            <w:vAlign w:val="center"/>
          </w:tcPr>
          <w:p w14:paraId="6F55E49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Mean Age years)</w:t>
            </w:r>
          </w:p>
        </w:tc>
        <w:tc>
          <w:tcPr>
            <w:tcW w:w="7371" w:type="dxa"/>
          </w:tcPr>
          <w:p w14:paraId="4D2EAA14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32 (±6 years)</w:t>
            </w:r>
          </w:p>
        </w:tc>
      </w:tr>
      <w:tr w:rsidR="00867DCD" w:rsidRPr="00FD0319" w14:paraId="76940514" w14:textId="77777777" w:rsidTr="005B61D3">
        <w:tc>
          <w:tcPr>
            <w:tcW w:w="1559" w:type="dxa"/>
            <w:vAlign w:val="center"/>
          </w:tcPr>
          <w:p w14:paraId="2B9BBE96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Age of menarche</w:t>
            </w:r>
          </w:p>
          <w:p w14:paraId="10EB5B62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(years)</w:t>
            </w:r>
          </w:p>
        </w:tc>
        <w:tc>
          <w:tcPr>
            <w:tcW w:w="7371" w:type="dxa"/>
          </w:tcPr>
          <w:p w14:paraId="301D7EBE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4DF86A21" w14:textId="77777777" w:rsidTr="005B61D3">
        <w:tc>
          <w:tcPr>
            <w:tcW w:w="1559" w:type="dxa"/>
            <w:vAlign w:val="center"/>
          </w:tcPr>
          <w:p w14:paraId="2793CA1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>Tumor size (mm)</w:t>
            </w:r>
          </w:p>
        </w:tc>
        <w:tc>
          <w:tcPr>
            <w:tcW w:w="7371" w:type="dxa"/>
          </w:tcPr>
          <w:p w14:paraId="6BBD0868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4A7D3D0E" w14:textId="77777777" w:rsidTr="005B61D3">
        <w:tc>
          <w:tcPr>
            <w:tcW w:w="1559" w:type="dxa"/>
            <w:vAlign w:val="center"/>
          </w:tcPr>
          <w:p w14:paraId="4E0C40A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Gynaecological Cancer</w:t>
            </w:r>
          </w:p>
          <w:p w14:paraId="4718A67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History</w:t>
            </w:r>
          </w:p>
        </w:tc>
        <w:tc>
          <w:tcPr>
            <w:tcW w:w="7371" w:type="dxa"/>
          </w:tcPr>
          <w:p w14:paraId="17B65F93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</w:p>
        </w:tc>
      </w:tr>
      <w:tr w:rsidR="00867DCD" w:rsidRPr="00FD0319" w14:paraId="0B22C6C5" w14:textId="77777777" w:rsidTr="005B61D3">
        <w:tc>
          <w:tcPr>
            <w:tcW w:w="1559" w:type="dxa"/>
            <w:vAlign w:val="center"/>
          </w:tcPr>
          <w:p w14:paraId="419C13D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FIGO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staging FSS</w:t>
            </w:r>
          </w:p>
        </w:tc>
        <w:tc>
          <w:tcPr>
            <w:tcW w:w="7371" w:type="dxa"/>
          </w:tcPr>
          <w:p w14:paraId="1BB1B2BD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color w:val="000000"/>
                <w:kern w:val="2"/>
                <w:sz w:val="20"/>
                <w:szCs w:val="20"/>
                <w:lang w:val="el-GR"/>
              </w:rPr>
              <w:t>N/A</w:t>
            </w:r>
          </w:p>
        </w:tc>
      </w:tr>
      <w:tr w:rsidR="00867DCD" w:rsidRPr="00FD0319" w14:paraId="5C55A185" w14:textId="77777777" w:rsidTr="005B61D3">
        <w:tc>
          <w:tcPr>
            <w:tcW w:w="1559" w:type="dxa"/>
            <w:vAlign w:val="center"/>
          </w:tcPr>
          <w:p w14:paraId="50301954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Histology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  <w:t xml:space="preserve"> &amp; Grading</w:t>
            </w:r>
          </w:p>
        </w:tc>
        <w:tc>
          <w:tcPr>
            <w:tcW w:w="7371" w:type="dxa"/>
          </w:tcPr>
          <w:p w14:paraId="60489A5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>N/A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l-GR"/>
              </w:rPr>
              <w:t xml:space="preserve"> </w:t>
            </w:r>
          </w:p>
        </w:tc>
      </w:tr>
      <w:tr w:rsidR="00867DCD" w:rsidRPr="00FD0319" w14:paraId="7AAF5556" w14:textId="77777777" w:rsidTr="005B61D3">
        <w:tc>
          <w:tcPr>
            <w:tcW w:w="1559" w:type="dxa"/>
            <w:vAlign w:val="center"/>
          </w:tcPr>
          <w:p w14:paraId="5C2241B5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Reproductive Outcomes</w:t>
            </w:r>
          </w:p>
        </w:tc>
        <w:tc>
          <w:tcPr>
            <w:tcW w:w="7371" w:type="dxa"/>
          </w:tcPr>
          <w:p w14:paraId="293FA727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29 out of 82 (35.4%)</w:t>
            </w:r>
          </w:p>
          <w:p w14:paraId="09FC5A50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Patients who conceived: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19 out of 29 (68%)</w:t>
            </w:r>
          </w:p>
          <w:p w14:paraId="31216C0E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Women who desired children after treatment: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58%</w:t>
            </w:r>
          </w:p>
          <w:p w14:paraId="6A3B2961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Women who actually attempted pregnancy: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13%</w:t>
            </w: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  <w:t xml:space="preserve"> </w:t>
            </w:r>
          </w:p>
        </w:tc>
      </w:tr>
      <w:tr w:rsidR="00867DCD" w:rsidRPr="00FD0319" w14:paraId="3F698561" w14:textId="77777777" w:rsidTr="005B61D3">
        <w:tc>
          <w:tcPr>
            <w:tcW w:w="1559" w:type="dxa"/>
          </w:tcPr>
          <w:p w14:paraId="3369C20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Surgical Approach</w:t>
            </w:r>
          </w:p>
        </w:tc>
        <w:tc>
          <w:tcPr>
            <w:tcW w:w="7371" w:type="dxa"/>
          </w:tcPr>
          <w:p w14:paraId="7B461F4C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Unilateral Salpingo-Oophorectomy (USO):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Majority of cases</w:t>
            </w:r>
          </w:p>
          <w:p w14:paraId="4C2B97C0" w14:textId="77777777" w:rsidR="00867DCD" w:rsidRPr="00FD0319" w:rsidRDefault="00867DCD" w:rsidP="005B61D3">
            <w:pPr>
              <w:tabs>
                <w:tab w:val="left" w:pos="210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Complete surgical staging performed in all cases</w:t>
            </w:r>
          </w:p>
        </w:tc>
      </w:tr>
      <w:tr w:rsidR="00867DCD" w:rsidRPr="00FD0319" w14:paraId="6B30F966" w14:textId="77777777" w:rsidTr="005B61D3">
        <w:tc>
          <w:tcPr>
            <w:tcW w:w="1559" w:type="dxa"/>
            <w:vAlign w:val="center"/>
          </w:tcPr>
          <w:p w14:paraId="4E2EB1E7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n-US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Oncological outcomes</w:t>
            </w:r>
          </w:p>
        </w:tc>
        <w:tc>
          <w:tcPr>
            <w:tcW w:w="7371" w:type="dxa"/>
          </w:tcPr>
          <w:p w14:paraId="706BD8A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Mean follow-up duration: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11.5 years</w:t>
            </w:r>
          </w:p>
          <w:p w14:paraId="7464B5BF" w14:textId="77777777" w:rsidR="00867DCD" w:rsidRPr="00FD0319" w:rsidRDefault="00867DCD" w:rsidP="005B61D3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Recurrence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8–10% in FSS group</w:t>
            </w:r>
          </w:p>
          <w:p w14:paraId="569D4A1C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rPr>
                <w:rFonts w:ascii="Times New Roman" w:eastAsia="Times New Roman" w:hAnsi="Times New Roman"/>
                <w:kern w:val="2"/>
                <w:sz w:val="20"/>
                <w:szCs w:val="20"/>
                <w:lang w:val="en-US"/>
              </w:rPr>
            </w:pP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Survival rate:</w:t>
            </w:r>
            <w:r w:rsidRPr="00FD0319">
              <w:rPr>
                <w:rStyle w:val="apple-converted-space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t>Not explicitly reported</w:t>
            </w:r>
            <w:r w:rsidRPr="00FD0319">
              <w:rPr>
                <w:rStyle w:val="Strong"/>
                <w:rFonts w:ascii="Times New Roman" w:eastAsia="等? Light" w:hAnsi="Times New Roman"/>
                <w:kern w:val="2"/>
                <w:sz w:val="20"/>
                <w:szCs w:val="20"/>
                <w:lang w:val="en-US"/>
              </w:rPr>
              <w:br/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Patients who received chemotherapy:</w:t>
            </w:r>
            <w:r w:rsidRPr="00FD0319">
              <w:rPr>
                <w:rStyle w:val="apple-converted-space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ascii="Times New Roman" w:eastAsia="Times New Roman" w:hAnsi="Times New Roman"/>
                <w:color w:val="000000"/>
                <w:kern w:val="2"/>
                <w:sz w:val="20"/>
                <w:szCs w:val="20"/>
                <w:lang w:val="en-US"/>
              </w:rPr>
              <w:t>Not specified</w:t>
            </w:r>
          </w:p>
        </w:tc>
      </w:tr>
      <w:tr w:rsidR="00867DCD" w:rsidRPr="00FD0319" w14:paraId="6DE29838" w14:textId="77777777" w:rsidTr="005B61D3">
        <w:tc>
          <w:tcPr>
            <w:tcW w:w="1559" w:type="dxa"/>
            <w:vAlign w:val="center"/>
          </w:tcPr>
          <w:p w14:paraId="50DCA71A" w14:textId="77777777" w:rsidR="00867DCD" w:rsidRPr="00FD0319" w:rsidRDefault="00867DCD" w:rsidP="005B61D3">
            <w:pPr>
              <w:tabs>
                <w:tab w:val="right" w:pos="4395"/>
                <w:tab w:val="right" w:pos="978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</w:pPr>
            <w:r w:rsidRPr="00FD0319">
              <w:rPr>
                <w:rFonts w:ascii="Times New Roman" w:eastAsia="Times New Roman" w:hAnsi="Times New Roman"/>
                <w:kern w:val="2"/>
                <w:sz w:val="20"/>
                <w:szCs w:val="20"/>
                <w:highlight w:val="yellow"/>
                <w:lang w:val="el-GR"/>
              </w:rPr>
              <w:t>Main Outcome</w:t>
            </w:r>
          </w:p>
        </w:tc>
        <w:tc>
          <w:tcPr>
            <w:tcW w:w="7371" w:type="dxa"/>
          </w:tcPr>
          <w:p w14:paraId="3C0383C3" w14:textId="77777777" w:rsidR="00867DCD" w:rsidRPr="00FD0319" w:rsidRDefault="00867DCD" w:rsidP="005B61D3">
            <w:pPr>
              <w:pStyle w:val="NormalWeb"/>
              <w:rPr>
                <w:kern w:val="2"/>
                <w:sz w:val="20"/>
                <w:szCs w:val="20"/>
                <w:lang w:val="en-US"/>
              </w:rPr>
            </w:pP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Fertility-sparing surgery (FSS)</w:t>
            </w:r>
            <w:r w:rsidRPr="00FD0319">
              <w:rPr>
                <w:rStyle w:val="apple-converted-space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 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maintains reproductive potential, with a 67.7% pregnancy success rate and all pregnancies resulting in live births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 xml:space="preserve">. </w:t>
            </w:r>
            <w:r w:rsidRPr="00FD0319">
              <w:rPr>
                <w:rStyle w:val="Strong"/>
                <w:rFonts w:eastAsia="等? Light"/>
                <w:color w:val="000000"/>
                <w:kern w:val="2"/>
                <w:sz w:val="20"/>
                <w:szCs w:val="20"/>
                <w:lang w:val="en-US"/>
              </w:rPr>
              <w:t>FSS is associated with a recurrence rate of 8–10%, emphasizing the need for careful patient selection</w:t>
            </w:r>
            <w:r w:rsidRPr="00FD0319">
              <w:rPr>
                <w:color w:val="000000"/>
                <w:kern w:val="2"/>
                <w:sz w:val="20"/>
                <w:szCs w:val="20"/>
                <w:lang w:val="en-US"/>
              </w:rPr>
              <w:t>.</w:t>
            </w:r>
          </w:p>
        </w:tc>
      </w:tr>
    </w:tbl>
    <w:p w14:paraId="28F68804" w14:textId="77777777" w:rsidR="00867DCD" w:rsidRPr="00CE7091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14CCDC0B" w14:textId="77777777" w:rsidR="00867DCD" w:rsidRPr="00CE7091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</w:rPr>
      </w:pPr>
    </w:p>
    <w:p w14:paraId="12225CA1" w14:textId="77777777" w:rsidR="00867DCD" w:rsidRPr="00CE7091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4B483CAB" w14:textId="77777777" w:rsidR="00867DCD" w:rsidRPr="00CE7091" w:rsidRDefault="00867DCD" w:rsidP="00867DCD">
      <w:pPr>
        <w:tabs>
          <w:tab w:val="right" w:pos="4395"/>
          <w:tab w:val="right" w:pos="9781"/>
        </w:tabs>
        <w:rPr>
          <w:rFonts w:ascii="Times New Roman" w:hAnsi="Times New Roman"/>
          <w:sz w:val="15"/>
          <w:szCs w:val="15"/>
          <w:lang w:val="en-US"/>
        </w:rPr>
      </w:pPr>
    </w:p>
    <w:p w14:paraId="6C4C09C6" w14:textId="77777777" w:rsidR="00755780" w:rsidRDefault="00755780"/>
    <w:sectPr w:rsidR="00755780" w:rsidSect="00867DC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?">
    <w:altName w:val="MS Mincho"/>
    <w:charset w:val="80"/>
    <w:family w:val="roman"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? Light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16607"/>
    <w:multiLevelType w:val="hybridMultilevel"/>
    <w:tmpl w:val="05586BC4"/>
    <w:lvl w:ilvl="0" w:tplc="66A09036">
      <w:start w:val="6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50DA0E22"/>
    <w:multiLevelType w:val="hybridMultilevel"/>
    <w:tmpl w:val="A9EA0944"/>
    <w:lvl w:ilvl="0" w:tplc="5EBE036C">
      <w:start w:val="19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78415611">
    <w:abstractNumId w:val="0"/>
  </w:num>
  <w:num w:numId="2" w16cid:durableId="57016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DCD"/>
    <w:rsid w:val="00125148"/>
    <w:rsid w:val="002374F1"/>
    <w:rsid w:val="00306116"/>
    <w:rsid w:val="00331A6B"/>
    <w:rsid w:val="00755780"/>
    <w:rsid w:val="007A7E18"/>
    <w:rsid w:val="00857596"/>
    <w:rsid w:val="00867DCD"/>
    <w:rsid w:val="00FD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B797"/>
  <w15:chartTrackingRefBased/>
  <w15:docId w15:val="{273C3FCE-F7A7-44B5-B4A7-2B6F0DE13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DCD"/>
    <w:rPr>
      <w:rFonts w:ascii="Calibri" w:eastAsia="等?" w:hAnsi="Calibri" w:cs="Times New Roman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67D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867D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unhideWhenUsed/>
    <w:qFormat/>
    <w:rsid w:val="00867D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867D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9"/>
    <w:unhideWhenUsed/>
    <w:qFormat/>
    <w:rsid w:val="00867D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9"/>
    <w:unhideWhenUsed/>
    <w:qFormat/>
    <w:rsid w:val="00867D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9"/>
    <w:unhideWhenUsed/>
    <w:qFormat/>
    <w:rsid w:val="00867D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9"/>
    <w:unhideWhenUsed/>
    <w:qFormat/>
    <w:rsid w:val="00867D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9"/>
    <w:unhideWhenUsed/>
    <w:qFormat/>
    <w:rsid w:val="00867D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867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867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rsid w:val="00867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rsid w:val="00867D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867D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867D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867D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867D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867D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99"/>
    <w:qFormat/>
    <w:rsid w:val="00867D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99"/>
    <w:rsid w:val="00867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867D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867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99"/>
    <w:qFormat/>
    <w:rsid w:val="00867D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rsid w:val="00867D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867DCD"/>
    <w:pPr>
      <w:ind w:left="720"/>
      <w:contextualSpacing/>
    </w:pPr>
  </w:style>
  <w:style w:type="character" w:styleId="IntenseEmphasis">
    <w:name w:val="Intense Emphasis"/>
    <w:basedOn w:val="DefaultParagraphFont"/>
    <w:uiPriority w:val="99"/>
    <w:qFormat/>
    <w:rsid w:val="00867D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867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867D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99"/>
    <w:qFormat/>
    <w:rsid w:val="00867D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867D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DCD"/>
    <w:rPr>
      <w:rFonts w:ascii="Calibri" w:eastAsia="等?" w:hAnsi="Calibri" w:cs="Times New Roman"/>
      <w:kern w:val="0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rsid w:val="00867D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DCD"/>
    <w:rPr>
      <w:rFonts w:ascii="Calibri" w:eastAsia="等?" w:hAnsi="Calibri" w:cs="Times New Roman"/>
      <w:kern w:val="0"/>
      <w:lang w:val="en-AU"/>
      <w14:ligatures w14:val="none"/>
    </w:rPr>
  </w:style>
  <w:style w:type="paragraph" w:styleId="Caption">
    <w:name w:val="caption"/>
    <w:basedOn w:val="Normal"/>
    <w:next w:val="Normal"/>
    <w:uiPriority w:val="99"/>
    <w:qFormat/>
    <w:rsid w:val="00867DCD"/>
    <w:pPr>
      <w:spacing w:after="200" w:line="240" w:lineRule="auto"/>
    </w:pPr>
    <w:rPr>
      <w:i/>
      <w:iCs/>
      <w:color w:val="44546A"/>
      <w:sz w:val="18"/>
      <w:szCs w:val="18"/>
    </w:rPr>
  </w:style>
  <w:style w:type="character" w:styleId="Strong">
    <w:name w:val="Strong"/>
    <w:uiPriority w:val="22"/>
    <w:qFormat/>
    <w:rsid w:val="00867DCD"/>
    <w:rPr>
      <w:rFonts w:cs="Times New Roman"/>
      <w:b/>
      <w:bCs/>
      <w:color w:val="auto"/>
    </w:rPr>
  </w:style>
  <w:style w:type="character" w:styleId="Emphasis">
    <w:name w:val="Emphasis"/>
    <w:uiPriority w:val="99"/>
    <w:qFormat/>
    <w:rsid w:val="00867DCD"/>
    <w:rPr>
      <w:rFonts w:cs="Times New Roman"/>
      <w:i/>
      <w:iCs/>
      <w:color w:val="auto"/>
    </w:rPr>
  </w:style>
  <w:style w:type="paragraph" w:styleId="NoSpacing">
    <w:name w:val="No Spacing"/>
    <w:uiPriority w:val="99"/>
    <w:qFormat/>
    <w:rsid w:val="00867DCD"/>
    <w:pPr>
      <w:spacing w:after="0" w:line="240" w:lineRule="auto"/>
    </w:pPr>
    <w:rPr>
      <w:rFonts w:ascii="Calibri" w:eastAsia="等?" w:hAnsi="Calibri" w:cs="Times New Roman"/>
      <w:kern w:val="0"/>
      <w:lang w:val="en-AU"/>
      <w14:ligatures w14:val="none"/>
    </w:rPr>
  </w:style>
  <w:style w:type="character" w:styleId="SubtleEmphasis">
    <w:name w:val="Subtle Emphasis"/>
    <w:uiPriority w:val="99"/>
    <w:qFormat/>
    <w:rsid w:val="00867DCD"/>
    <w:rPr>
      <w:rFonts w:cs="Times New Roman"/>
      <w:i/>
      <w:iCs/>
      <w:color w:val="404040"/>
    </w:rPr>
  </w:style>
  <w:style w:type="character" w:styleId="SubtleReference">
    <w:name w:val="Subtle Reference"/>
    <w:uiPriority w:val="99"/>
    <w:qFormat/>
    <w:rsid w:val="00867DCD"/>
    <w:rPr>
      <w:rFonts w:cs="Times New Roman"/>
      <w:smallCaps/>
      <w:color w:val="404040"/>
    </w:rPr>
  </w:style>
  <w:style w:type="character" w:styleId="BookTitle">
    <w:name w:val="Book Title"/>
    <w:uiPriority w:val="99"/>
    <w:qFormat/>
    <w:rsid w:val="00867DCD"/>
    <w:rPr>
      <w:rFonts w:cs="Times New Roman"/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99"/>
    <w:qFormat/>
    <w:rsid w:val="00867DCD"/>
    <w:pPr>
      <w:spacing w:before="240" w:after="0"/>
      <w:outlineLvl w:val="9"/>
    </w:pPr>
    <w:rPr>
      <w:rFonts w:ascii="Calibri Light" w:eastAsia="等? Light" w:hAnsi="Calibri Light" w:cs="Times New Roman"/>
      <w:color w:val="2F5496"/>
      <w:sz w:val="32"/>
      <w:szCs w:val="32"/>
    </w:rPr>
  </w:style>
  <w:style w:type="character" w:customStyle="1" w:styleId="apple-converted-space">
    <w:name w:val="apple-converted-space"/>
    <w:rsid w:val="00867DCD"/>
    <w:rPr>
      <w:rFonts w:cs="Times New Roman"/>
    </w:rPr>
  </w:style>
  <w:style w:type="paragraph" w:customStyle="1" w:styleId="p1">
    <w:name w:val="p1"/>
    <w:basedOn w:val="Normal"/>
    <w:uiPriority w:val="99"/>
    <w:rsid w:val="00867DCD"/>
    <w:pPr>
      <w:spacing w:after="0" w:line="240" w:lineRule="auto"/>
    </w:pPr>
    <w:rPr>
      <w:rFonts w:ascii="Helvetica" w:hAnsi="Helvetica"/>
      <w:color w:val="000000"/>
      <w:sz w:val="12"/>
      <w:szCs w:val="12"/>
      <w:lang w:val="el-GR" w:eastAsia="el-GR"/>
    </w:rPr>
  </w:style>
  <w:style w:type="character" w:customStyle="1" w:styleId="tooltip-moduletooltiptitlex5dii">
    <w:name w:val="tooltip-module__tooltip__title___x5dii"/>
    <w:uiPriority w:val="99"/>
    <w:rsid w:val="00867DCD"/>
    <w:rPr>
      <w:rFonts w:cs="Times New Roman"/>
    </w:rPr>
  </w:style>
  <w:style w:type="paragraph" w:styleId="NormalWeb">
    <w:name w:val="Normal (Web)"/>
    <w:basedOn w:val="Normal"/>
    <w:uiPriority w:val="99"/>
    <w:rsid w:val="00867D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l-GR" w:eastAsia="el-GR"/>
    </w:rPr>
  </w:style>
  <w:style w:type="table" w:styleId="TableGrid">
    <w:name w:val="Table Grid"/>
    <w:basedOn w:val="TableNormal"/>
    <w:uiPriority w:val="99"/>
    <w:rsid w:val="00867DCD"/>
    <w:pPr>
      <w:spacing w:after="0" w:line="240" w:lineRule="auto"/>
    </w:pPr>
    <w:rPr>
      <w:rFonts w:ascii="Calibri" w:eastAsia="等?" w:hAnsi="Calibri" w:cs="Times New Roman"/>
      <w:sz w:val="24"/>
      <w:szCs w:val="24"/>
      <w:lang w:val="el-GR"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uiPriority w:val="99"/>
    <w:rsid w:val="00867DCD"/>
    <w:pPr>
      <w:spacing w:after="0"/>
      <w:jc w:val="center"/>
    </w:pPr>
    <w:rPr>
      <w:rFonts w:cs="Calibri"/>
      <w:lang w:val="en-US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867DCD"/>
    <w:rPr>
      <w:rFonts w:ascii="Calibri" w:eastAsia="等?" w:hAnsi="Calibri" w:cs="Calibri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867DCD"/>
    <w:pPr>
      <w:spacing w:line="240" w:lineRule="auto"/>
    </w:pPr>
    <w:rPr>
      <w:rFonts w:cs="Calibri"/>
      <w:lang w:val="en-US"/>
    </w:rPr>
  </w:style>
  <w:style w:type="character" w:customStyle="1" w:styleId="EndNoteBibliographyChar">
    <w:name w:val="EndNote Bibliography Char"/>
    <w:link w:val="EndNoteBibliography"/>
    <w:uiPriority w:val="99"/>
    <w:locked/>
    <w:rsid w:val="00867DCD"/>
    <w:rPr>
      <w:rFonts w:ascii="Calibri" w:eastAsia="等?" w:hAnsi="Calibri" w:cs="Calibri"/>
      <w:kern w:val="0"/>
      <w14:ligatures w14:val="none"/>
    </w:rPr>
  </w:style>
  <w:style w:type="character" w:styleId="Hyperlink">
    <w:name w:val="Hyperlink"/>
    <w:uiPriority w:val="99"/>
    <w:rsid w:val="00867DCD"/>
    <w:rPr>
      <w:rFonts w:cs="Times New Roman"/>
      <w:color w:val="0563C1"/>
      <w:u w:val="single"/>
    </w:rPr>
  </w:style>
  <w:style w:type="character" w:customStyle="1" w:styleId="1">
    <w:name w:val="Ανεπίλυτη αναφορά1"/>
    <w:uiPriority w:val="99"/>
    <w:semiHidden/>
    <w:rsid w:val="00867DCD"/>
    <w:rPr>
      <w:rFonts w:cs="Times New Roman"/>
      <w:color w:val="605E5C"/>
      <w:shd w:val="clear" w:color="auto" w:fill="E1DFDD"/>
    </w:rPr>
  </w:style>
  <w:style w:type="character" w:styleId="UnresolvedMention">
    <w:name w:val="Unresolved Mention"/>
    <w:uiPriority w:val="99"/>
    <w:semiHidden/>
    <w:unhideWhenUsed/>
    <w:rsid w:val="00867D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15</Pages>
  <Words>3842</Words>
  <Characters>21901</Characters>
  <Application>Microsoft Office Word</Application>
  <DocSecurity>0</DocSecurity>
  <Lines>182</Lines>
  <Paragraphs>51</Paragraphs>
  <ScaleCrop>false</ScaleCrop>
  <Company>Springer Nature</Company>
  <LinksUpToDate>false</LinksUpToDate>
  <CharactersWithSpaces>25692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2025-02-28T05:43:00Z</dcterms:created>
  <dcterms:modified xsi:type="dcterms:W3CDTF">2025-02-28T05:56:00Z</dcterms:modified>
</cp:coreProperties>
</file>