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5BA70" w14:textId="7B5680F8" w:rsidR="004D0A47" w:rsidRDefault="00A82CFB">
      <w:pPr>
        <w:spacing w:before="240" w:after="240"/>
        <w:jc w:val="both"/>
        <w:rPr>
          <w:b/>
        </w:rPr>
      </w:pPr>
      <w:r>
        <w:rPr>
          <w:b/>
        </w:rPr>
        <w:t>Supplementary information</w:t>
      </w:r>
    </w:p>
    <w:p w14:paraId="34A275C3" w14:textId="77777777" w:rsidR="004D0A47" w:rsidRDefault="00A82CFB">
      <w:pPr>
        <w:spacing w:before="240" w:after="240"/>
        <w:jc w:val="both"/>
      </w:pPr>
      <w:r>
        <w:t>Supplemental Figures</w:t>
      </w:r>
    </w:p>
    <w:p w14:paraId="578C9374" w14:textId="77777777" w:rsidR="004D0A47" w:rsidRDefault="00A82CFB">
      <w:pPr>
        <w:spacing w:before="240" w:after="240"/>
        <w:jc w:val="both"/>
      </w:pPr>
      <w:r>
        <w:rPr>
          <w:noProof/>
        </w:rPr>
        <w:drawing>
          <wp:inline distT="114300" distB="114300" distL="114300" distR="114300" wp14:anchorId="45DAF0A0" wp14:editId="7B4E017E">
            <wp:extent cx="5731200" cy="32004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200400"/>
                    </a:xfrm>
                    <a:prstGeom prst="rect">
                      <a:avLst/>
                    </a:prstGeom>
                    <a:ln/>
                  </pic:spPr>
                </pic:pic>
              </a:graphicData>
            </a:graphic>
          </wp:inline>
        </w:drawing>
      </w:r>
    </w:p>
    <w:p w14:paraId="4701AC45" w14:textId="77777777" w:rsidR="004D0A47" w:rsidRDefault="00A82CFB">
      <w:pPr>
        <w:spacing w:after="240"/>
        <w:jc w:val="both"/>
        <w:rPr>
          <w:i/>
          <w:sz w:val="20"/>
          <w:szCs w:val="20"/>
        </w:rPr>
      </w:pPr>
      <w:r>
        <w:rPr>
          <w:i/>
          <w:sz w:val="20"/>
          <w:szCs w:val="20"/>
        </w:rPr>
        <w:t xml:space="preserve">Figure S1:  Comparison of Astral and Eclipse crosslink spectrum match (CSM) data with single and stepped HCD for PhoX (non-cleavable) and DSSO (cleavable) crosslinker. A: Dilution series of Cas9 crosslinked with PhoX starting from 1ng to 500 ng acquired on Eclipse and Astral in triplicates. The maximum number of CMSs is reached at 100 ng and plateauing afterwards. The Astral mass analyser (blue) outperforms the Eclipse (orange) data by more than 30%. B: Comparison between single HCD (dark blue) and stepped </w:t>
      </w:r>
      <w:r>
        <w:rPr>
          <w:i/>
          <w:sz w:val="20"/>
          <w:szCs w:val="20"/>
        </w:rPr>
        <w:t>HCD (light blue) of the PhoX dilution series. Single HCD shows higher numbers of CSMs as stepped HCD for all injections amounts. C: Direct view on the difference between stepped and single HCD acquired on both instruments for 100 ng. The difference between single HCD and stepped HCD is dominant for Astral data (blue) but not significantly different for Eclipse data (orange). D:  Dilution series of Cas9 crosslinked with DSSO starting from 1ng to 500 ng acquired on Eclipse and Astral in duplicates. The maximu</w:t>
      </w:r>
      <w:r>
        <w:rPr>
          <w:i/>
          <w:sz w:val="20"/>
          <w:szCs w:val="20"/>
        </w:rPr>
        <w:t>m number of unique crosslinks is reached with 500 ng. The Astral mass analyser (blue) outperforms the Eclipse (orange) data by more than 30% also for cleavable crosslinkers like DSSO. E: Comparison between single HCD (dark blue) and stepped HCD (light blue) of the DSSO dilution series. Single HCD shows also increased numbers of CSMs as stepped HCD for the DSSO dilution series. F: Direct view on the difference between stepped and single HCD acquired on both instruments for 100 ng. The difference between sing</w:t>
      </w:r>
      <w:r>
        <w:rPr>
          <w:i/>
          <w:sz w:val="20"/>
          <w:szCs w:val="20"/>
        </w:rPr>
        <w:t>le HCD and stepped HCD is dominant for Astral data (blue) but not significantly different for Eclipse data (orange).</w:t>
      </w:r>
    </w:p>
    <w:p w14:paraId="263AB8D2" w14:textId="77777777" w:rsidR="004D0A47" w:rsidRDefault="004D0A47">
      <w:pPr>
        <w:spacing w:before="240" w:after="240"/>
        <w:jc w:val="both"/>
      </w:pPr>
    </w:p>
    <w:p w14:paraId="35D11D64" w14:textId="77777777" w:rsidR="004D0A47" w:rsidRDefault="004D0A47">
      <w:pPr>
        <w:spacing w:before="240" w:after="240"/>
        <w:jc w:val="both"/>
      </w:pPr>
    </w:p>
    <w:p w14:paraId="32615BA6" w14:textId="77777777" w:rsidR="004D0A47" w:rsidRDefault="00A82CFB">
      <w:pPr>
        <w:spacing w:before="240" w:after="240"/>
        <w:jc w:val="both"/>
      </w:pPr>
      <w:r>
        <w:rPr>
          <w:noProof/>
        </w:rPr>
        <w:lastRenderedPageBreak/>
        <w:drawing>
          <wp:inline distT="114300" distB="114300" distL="114300" distR="114300" wp14:anchorId="7A9C27AB" wp14:editId="53AAD6B6">
            <wp:extent cx="4000500" cy="255221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10084"/>
                    <a:stretch>
                      <a:fillRect/>
                    </a:stretch>
                  </pic:blipFill>
                  <pic:spPr>
                    <a:xfrm>
                      <a:off x="0" y="0"/>
                      <a:ext cx="4000500" cy="2552216"/>
                    </a:xfrm>
                    <a:prstGeom prst="rect">
                      <a:avLst/>
                    </a:prstGeom>
                    <a:ln/>
                  </pic:spPr>
                </pic:pic>
              </a:graphicData>
            </a:graphic>
          </wp:inline>
        </w:drawing>
      </w:r>
    </w:p>
    <w:p w14:paraId="5C05AC5F" w14:textId="77777777" w:rsidR="004D0A47" w:rsidRDefault="00A82CFB">
      <w:pPr>
        <w:spacing w:before="240" w:after="240"/>
        <w:jc w:val="both"/>
        <w:rPr>
          <w:i/>
          <w:sz w:val="20"/>
          <w:szCs w:val="20"/>
        </w:rPr>
      </w:pPr>
      <w:r>
        <w:rPr>
          <w:i/>
          <w:sz w:val="20"/>
          <w:szCs w:val="20"/>
        </w:rPr>
        <w:t xml:space="preserve">Figure S2: Compensation voltage (CV) optimization performed on Astral with Cas9 crosslinked with PhoX. CVs acquired from -30 V to -90 V separately show a gradual increase of unique residue pairs towards -48 V and a decrease in unique crosslinks towards -90 V. </w:t>
      </w:r>
    </w:p>
    <w:p w14:paraId="60B293C6" w14:textId="77777777" w:rsidR="004D0A47" w:rsidRDefault="00A82CFB">
      <w:pPr>
        <w:spacing w:before="240" w:after="240"/>
        <w:jc w:val="both"/>
      </w:pPr>
      <w:r>
        <w:t xml:space="preserve"> </w:t>
      </w:r>
      <w:r>
        <w:rPr>
          <w:noProof/>
        </w:rPr>
        <w:drawing>
          <wp:inline distT="114300" distB="114300" distL="114300" distR="114300" wp14:anchorId="5BFBED3D" wp14:editId="6AC9374A">
            <wp:extent cx="5731200" cy="40767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31200" cy="4076700"/>
                    </a:xfrm>
                    <a:prstGeom prst="rect">
                      <a:avLst/>
                    </a:prstGeom>
                    <a:ln/>
                  </pic:spPr>
                </pic:pic>
              </a:graphicData>
            </a:graphic>
          </wp:inline>
        </w:drawing>
      </w:r>
    </w:p>
    <w:p w14:paraId="3DDBF5E9" w14:textId="77777777" w:rsidR="004D0A47" w:rsidRDefault="00A82CFB">
      <w:pPr>
        <w:spacing w:before="240" w:after="240"/>
        <w:jc w:val="both"/>
        <w:rPr>
          <w:i/>
          <w:sz w:val="20"/>
          <w:szCs w:val="20"/>
        </w:rPr>
      </w:pPr>
      <w:r>
        <w:rPr>
          <w:i/>
          <w:sz w:val="20"/>
          <w:szCs w:val="20"/>
        </w:rPr>
        <w:t>Figure S3: Detailed view on differences between single CV measurements on CSM level to determine optimal CV combinations. A left: Histogram of each CV measurement concerning their m/z values. Single CVs are coloured according to the legend in 13 different colours. -48 V (yellow) shows a broad distribution across the whole m/z range with the maximum count of CSMs, while -90 V (dark blue) shows the minimum coverage with the least CSMs count. A right: CVs across the whole mass range coloured by charge states o</w:t>
      </w:r>
      <w:r>
        <w:rPr>
          <w:i/>
          <w:sz w:val="20"/>
          <w:szCs w:val="20"/>
        </w:rPr>
        <w:t xml:space="preserve">f identified CSMs. Charge 6 could be only identified from CV -40 V to -55 V. Charge </w:t>
      </w:r>
      <w:r>
        <w:rPr>
          <w:i/>
          <w:sz w:val="20"/>
          <w:szCs w:val="20"/>
        </w:rPr>
        <w:lastRenderedPageBreak/>
        <w:t xml:space="preserve">3 and 4 show a distribution across all CV values, while Charge 5 is only present in CV -35 V to -70 V. B: Based on an upset plot of all CV measurements, the three most promising CV combinations were selected for further evaluation. CV -48 V, -60 V, -75 V were selected to achieve the highest number of crosslinks with the least overlap, CV -48 V, -55 V, -90 V were selected to have the least overall overlap and CV 40 V, -48 V, </w:t>
      </w:r>
      <w:r>
        <w:rPr>
          <w:i/>
          <w:sz w:val="20"/>
          <w:szCs w:val="20"/>
        </w:rPr>
        <w:t>-60 V to have the highest overlap and were used as common CV values for in-house crosslinking measurements. The unique crosslinks plotted in Venn diagrams have been summed up from CSMs with 1% CSM level FDR therefore the total number of links differs from Figure S4 where the FDR was calculated directly with 1% link level FDR.</w:t>
      </w:r>
    </w:p>
    <w:p w14:paraId="3A75C376" w14:textId="77777777" w:rsidR="004D0A47" w:rsidRDefault="004D0A47">
      <w:pPr>
        <w:spacing w:before="240" w:after="240"/>
        <w:jc w:val="both"/>
      </w:pPr>
    </w:p>
    <w:p w14:paraId="52D85B36" w14:textId="77777777" w:rsidR="004D0A47" w:rsidRDefault="004D0A47">
      <w:pPr>
        <w:spacing w:before="240" w:after="240"/>
        <w:jc w:val="both"/>
      </w:pPr>
    </w:p>
    <w:p w14:paraId="512FFC2F" w14:textId="77777777" w:rsidR="004D0A47" w:rsidRDefault="004D0A47">
      <w:pPr>
        <w:spacing w:before="240" w:after="240"/>
        <w:jc w:val="both"/>
      </w:pPr>
    </w:p>
    <w:p w14:paraId="38EA818C" w14:textId="77777777" w:rsidR="004D0A47" w:rsidRDefault="00A82CFB">
      <w:pPr>
        <w:spacing w:before="240" w:after="240"/>
        <w:jc w:val="both"/>
      </w:pPr>
      <w:r>
        <w:rPr>
          <w:noProof/>
        </w:rPr>
        <w:drawing>
          <wp:inline distT="114300" distB="114300" distL="114300" distR="114300" wp14:anchorId="445B14EF" wp14:editId="753EE2D2">
            <wp:extent cx="5734050" cy="31813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b="28172"/>
                    <a:stretch>
                      <a:fillRect/>
                    </a:stretch>
                  </pic:blipFill>
                  <pic:spPr>
                    <a:xfrm>
                      <a:off x="0" y="0"/>
                      <a:ext cx="5734050" cy="3181350"/>
                    </a:xfrm>
                    <a:prstGeom prst="rect">
                      <a:avLst/>
                    </a:prstGeom>
                    <a:ln/>
                  </pic:spPr>
                </pic:pic>
              </a:graphicData>
            </a:graphic>
          </wp:inline>
        </w:drawing>
      </w:r>
    </w:p>
    <w:p w14:paraId="1778B5F9" w14:textId="77777777" w:rsidR="004D0A47" w:rsidRDefault="00A82CFB">
      <w:pPr>
        <w:spacing w:before="240" w:after="240"/>
        <w:jc w:val="both"/>
        <w:rPr>
          <w:i/>
          <w:sz w:val="20"/>
          <w:szCs w:val="20"/>
        </w:rPr>
      </w:pPr>
      <w:r>
        <w:rPr>
          <w:i/>
          <w:sz w:val="20"/>
          <w:szCs w:val="20"/>
        </w:rPr>
        <w:t>Figure S4: Results of the CV optimization and combinatory experiment on unique crosslink level with 1% link level FDR. CV -48 V, -60 V, - 75 V gave the best results as expected. CV -48 V, -55 V, -90 V resulted in 11% fewer identifications, while CV -40 V, -50 V, -60 V gave 21% fewer unique crosslinks. CV -48 V, -60 V, -80 V are used as the QC acquisition method, with no significant change to the best-performing method.</w:t>
      </w:r>
    </w:p>
    <w:p w14:paraId="0CE9CA55" w14:textId="77777777" w:rsidR="004D0A47" w:rsidRDefault="004D0A47">
      <w:pPr>
        <w:spacing w:before="240" w:after="240"/>
        <w:jc w:val="both"/>
      </w:pPr>
    </w:p>
    <w:p w14:paraId="0003CD30" w14:textId="77777777" w:rsidR="004D0A47" w:rsidRDefault="004D0A47">
      <w:pPr>
        <w:spacing w:before="240" w:after="240"/>
        <w:jc w:val="both"/>
      </w:pPr>
    </w:p>
    <w:p w14:paraId="2CE367A8" w14:textId="77777777" w:rsidR="004D0A47" w:rsidRDefault="00A82CFB">
      <w:pPr>
        <w:spacing w:before="240" w:after="240"/>
        <w:jc w:val="both"/>
      </w:pPr>
      <w:r>
        <w:rPr>
          <w:noProof/>
        </w:rPr>
        <w:lastRenderedPageBreak/>
        <w:drawing>
          <wp:inline distT="114300" distB="114300" distL="114300" distR="114300" wp14:anchorId="089095DE" wp14:editId="2DD217A1">
            <wp:extent cx="3100388" cy="3200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63953" b="47785"/>
                    <a:stretch>
                      <a:fillRect/>
                    </a:stretch>
                  </pic:blipFill>
                  <pic:spPr>
                    <a:xfrm>
                      <a:off x="0" y="0"/>
                      <a:ext cx="3100388" cy="3200400"/>
                    </a:xfrm>
                    <a:prstGeom prst="rect">
                      <a:avLst/>
                    </a:prstGeom>
                    <a:ln/>
                  </pic:spPr>
                </pic:pic>
              </a:graphicData>
            </a:graphic>
          </wp:inline>
        </w:drawing>
      </w:r>
    </w:p>
    <w:p w14:paraId="2B0C5ADF" w14:textId="77777777" w:rsidR="004D0A47" w:rsidRDefault="00A82CFB">
      <w:pPr>
        <w:spacing w:before="240" w:after="240"/>
        <w:jc w:val="both"/>
        <w:rPr>
          <w:i/>
          <w:sz w:val="20"/>
          <w:szCs w:val="20"/>
        </w:rPr>
      </w:pPr>
      <w:r>
        <w:rPr>
          <w:i/>
          <w:sz w:val="20"/>
          <w:szCs w:val="20"/>
        </w:rPr>
        <w:t xml:space="preserve">Figure S5: Column comparison of </w:t>
      </w:r>
      <w:proofErr w:type="spellStart"/>
      <w:r>
        <w:rPr>
          <w:i/>
          <w:sz w:val="20"/>
          <w:szCs w:val="20"/>
        </w:rPr>
        <w:t>PepMap</w:t>
      </w:r>
      <w:proofErr w:type="spellEnd"/>
      <w:r>
        <w:rPr>
          <w:i/>
          <w:sz w:val="20"/>
          <w:szCs w:val="20"/>
        </w:rPr>
        <w:t xml:space="preserve"> 50 cm vs. Aurora Ultimate 25 cm analytical columns. Unique crosslink numbers of both columns with Aurora outperforming </w:t>
      </w:r>
      <w:proofErr w:type="spellStart"/>
      <w:r>
        <w:rPr>
          <w:i/>
          <w:sz w:val="20"/>
          <w:szCs w:val="20"/>
        </w:rPr>
        <w:t>PepMap</w:t>
      </w:r>
      <w:proofErr w:type="spellEnd"/>
      <w:r>
        <w:rPr>
          <w:i/>
          <w:sz w:val="20"/>
          <w:szCs w:val="20"/>
        </w:rPr>
        <w:t xml:space="preserve"> by 28%. </w:t>
      </w:r>
    </w:p>
    <w:p w14:paraId="1406DF37" w14:textId="77777777" w:rsidR="004D0A47" w:rsidRDefault="00A82CFB">
      <w:pPr>
        <w:spacing w:before="240" w:after="240"/>
        <w:jc w:val="both"/>
      </w:pPr>
      <w:r>
        <w:rPr>
          <w:noProof/>
        </w:rPr>
        <w:drawing>
          <wp:inline distT="114300" distB="114300" distL="114300" distR="114300" wp14:anchorId="6FE134E1" wp14:editId="2DB6A130">
            <wp:extent cx="5731200" cy="40513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4051300"/>
                    </a:xfrm>
                    <a:prstGeom prst="rect">
                      <a:avLst/>
                    </a:prstGeom>
                    <a:ln/>
                  </pic:spPr>
                </pic:pic>
              </a:graphicData>
            </a:graphic>
          </wp:inline>
        </w:drawing>
      </w:r>
    </w:p>
    <w:p w14:paraId="66ADF3AB" w14:textId="77777777" w:rsidR="004D0A47" w:rsidRDefault="00A82CFB">
      <w:pPr>
        <w:spacing w:before="240" w:after="240"/>
        <w:jc w:val="both"/>
        <w:rPr>
          <w:i/>
          <w:sz w:val="20"/>
          <w:szCs w:val="20"/>
        </w:rPr>
      </w:pPr>
      <w:r>
        <w:rPr>
          <w:i/>
          <w:sz w:val="20"/>
          <w:szCs w:val="20"/>
        </w:rPr>
        <w:t xml:space="preserve">Figure S6: Column comparison of </w:t>
      </w:r>
      <w:proofErr w:type="spellStart"/>
      <w:r>
        <w:rPr>
          <w:i/>
          <w:sz w:val="20"/>
          <w:szCs w:val="20"/>
        </w:rPr>
        <w:t>PepMap</w:t>
      </w:r>
      <w:proofErr w:type="spellEnd"/>
      <w:r>
        <w:rPr>
          <w:i/>
          <w:sz w:val="20"/>
          <w:szCs w:val="20"/>
        </w:rPr>
        <w:t xml:space="preserve"> 50 cm vs. Aurora Ultimate 25 cm analytical columns using quantification of 5 crosslinked peptides across a 70 min gradient. A: Total MS1 Area of 5 selected crosslinked peptides, showing significantly higher peak areas for the Aurora column. B: Full-width half maximum times for each crosslinked peptide, showing broader peaks when using the </w:t>
      </w:r>
      <w:proofErr w:type="spellStart"/>
      <w:r>
        <w:rPr>
          <w:i/>
          <w:sz w:val="20"/>
          <w:szCs w:val="20"/>
        </w:rPr>
        <w:t>PepMap</w:t>
      </w:r>
      <w:proofErr w:type="spellEnd"/>
      <w:r>
        <w:rPr>
          <w:i/>
          <w:sz w:val="20"/>
          <w:szCs w:val="20"/>
        </w:rPr>
        <w:t xml:space="preserve"> column </w:t>
      </w:r>
      <w:r>
        <w:rPr>
          <w:i/>
          <w:sz w:val="20"/>
          <w:szCs w:val="20"/>
        </w:rPr>
        <w:lastRenderedPageBreak/>
        <w:t>for crosslink samples. C: List of selected crosslinked peptides for quantitation in Skyline and their respective average retention times across the 70</w:t>
      </w:r>
      <w:r>
        <w:rPr>
          <w:i/>
          <w:sz w:val="20"/>
          <w:szCs w:val="20"/>
        </w:rPr>
        <w:t xml:space="preserve"> min active gradient.</w:t>
      </w:r>
    </w:p>
    <w:p w14:paraId="3A69CF89" w14:textId="77777777" w:rsidR="004D0A47" w:rsidRDefault="004D0A47">
      <w:pPr>
        <w:spacing w:before="240" w:after="240"/>
        <w:jc w:val="both"/>
        <w:rPr>
          <w:sz w:val="20"/>
          <w:szCs w:val="20"/>
        </w:rPr>
      </w:pPr>
    </w:p>
    <w:p w14:paraId="084B85DA" w14:textId="77777777" w:rsidR="004D0A47" w:rsidRDefault="00A82CFB">
      <w:pPr>
        <w:spacing w:before="240" w:after="240"/>
        <w:jc w:val="both"/>
        <w:rPr>
          <w:sz w:val="20"/>
          <w:szCs w:val="20"/>
        </w:rPr>
      </w:pPr>
      <w:r>
        <w:rPr>
          <w:noProof/>
          <w:sz w:val="20"/>
          <w:szCs w:val="20"/>
        </w:rPr>
        <w:drawing>
          <wp:inline distT="114300" distB="114300" distL="114300" distR="114300" wp14:anchorId="5252753E" wp14:editId="4068BE50">
            <wp:extent cx="5731200" cy="26797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731200" cy="2679700"/>
                    </a:xfrm>
                    <a:prstGeom prst="rect">
                      <a:avLst/>
                    </a:prstGeom>
                    <a:ln/>
                  </pic:spPr>
                </pic:pic>
              </a:graphicData>
            </a:graphic>
          </wp:inline>
        </w:drawing>
      </w:r>
    </w:p>
    <w:p w14:paraId="545AAFD2" w14:textId="77777777" w:rsidR="004D0A47" w:rsidRDefault="00A82CFB">
      <w:pPr>
        <w:spacing w:before="240" w:after="240"/>
        <w:jc w:val="both"/>
        <w:rPr>
          <w:i/>
          <w:sz w:val="20"/>
          <w:szCs w:val="20"/>
        </w:rPr>
      </w:pPr>
      <w:r>
        <w:rPr>
          <w:i/>
          <w:sz w:val="20"/>
          <w:szCs w:val="20"/>
        </w:rPr>
        <w:t xml:space="preserve">Figure S7: Chromatographic separation comparison of </w:t>
      </w:r>
      <w:proofErr w:type="spellStart"/>
      <w:r>
        <w:rPr>
          <w:i/>
          <w:sz w:val="20"/>
          <w:szCs w:val="20"/>
        </w:rPr>
        <w:t>PepMap</w:t>
      </w:r>
      <w:proofErr w:type="spellEnd"/>
      <w:r>
        <w:rPr>
          <w:i/>
          <w:sz w:val="20"/>
          <w:szCs w:val="20"/>
        </w:rPr>
        <w:t xml:space="preserve"> 50 cm vs. Aurora Ultimate 25 cm analytical columns using chromatograms of peptide 3. Elution profiles were exported from Skyline (v 21.2.0.425) after peak mapping and quantitation. </w:t>
      </w:r>
      <w:proofErr w:type="spellStart"/>
      <w:r>
        <w:rPr>
          <w:i/>
          <w:sz w:val="20"/>
          <w:szCs w:val="20"/>
        </w:rPr>
        <w:t>PepMap</w:t>
      </w:r>
      <w:proofErr w:type="spellEnd"/>
      <w:r>
        <w:rPr>
          <w:i/>
          <w:sz w:val="20"/>
          <w:szCs w:val="20"/>
        </w:rPr>
        <w:t xml:space="preserve"> chromatograms showing broadening and tailing of elution peaks of crosslinked peptide 3 and sharp well-separated peaks on the Aurora column.</w:t>
      </w:r>
    </w:p>
    <w:p w14:paraId="3617EAE6" w14:textId="77777777" w:rsidR="004D0A47" w:rsidRDefault="004D0A47">
      <w:pPr>
        <w:spacing w:before="240" w:after="240"/>
        <w:jc w:val="both"/>
        <w:rPr>
          <w:sz w:val="20"/>
          <w:szCs w:val="20"/>
        </w:rPr>
      </w:pPr>
    </w:p>
    <w:p w14:paraId="4E9B4AB4" w14:textId="77777777" w:rsidR="004D0A47" w:rsidRDefault="00A82CFB">
      <w:pPr>
        <w:spacing w:before="240" w:after="240"/>
        <w:jc w:val="both"/>
        <w:rPr>
          <w:sz w:val="20"/>
          <w:szCs w:val="20"/>
        </w:rPr>
      </w:pPr>
      <w:r>
        <w:rPr>
          <w:sz w:val="20"/>
          <w:szCs w:val="20"/>
        </w:rPr>
        <w:t xml:space="preserve">Table S1: Column parameters for </w:t>
      </w:r>
      <w:proofErr w:type="spellStart"/>
      <w:r>
        <w:rPr>
          <w:sz w:val="20"/>
          <w:szCs w:val="20"/>
        </w:rPr>
        <w:t>PepMap</w:t>
      </w:r>
      <w:proofErr w:type="spellEnd"/>
      <w:r>
        <w:rPr>
          <w:sz w:val="20"/>
          <w:szCs w:val="20"/>
        </w:rPr>
        <w:t xml:space="preserve"> and Aurora analytical column used in this study.</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4D0A47" w14:paraId="61EF7059" w14:textId="77777777">
        <w:tc>
          <w:tcPr>
            <w:tcW w:w="3009" w:type="dxa"/>
            <w:shd w:val="clear" w:color="auto" w:fill="auto"/>
            <w:tcMar>
              <w:top w:w="100" w:type="dxa"/>
              <w:left w:w="100" w:type="dxa"/>
              <w:bottom w:w="100" w:type="dxa"/>
              <w:right w:w="100" w:type="dxa"/>
            </w:tcMar>
          </w:tcPr>
          <w:p w14:paraId="368DAA5E" w14:textId="77777777" w:rsidR="004D0A47" w:rsidRDefault="00A82CFB">
            <w:pPr>
              <w:widowControl w:val="0"/>
              <w:pBdr>
                <w:top w:val="nil"/>
                <w:left w:val="nil"/>
                <w:bottom w:val="nil"/>
                <w:right w:val="nil"/>
                <w:between w:val="nil"/>
              </w:pBdr>
              <w:spacing w:line="240" w:lineRule="auto"/>
              <w:rPr>
                <w:sz w:val="20"/>
                <w:szCs w:val="20"/>
              </w:rPr>
            </w:pPr>
            <w:r>
              <w:rPr>
                <w:sz w:val="20"/>
                <w:szCs w:val="20"/>
              </w:rPr>
              <w:t>Parameters</w:t>
            </w:r>
          </w:p>
        </w:tc>
        <w:tc>
          <w:tcPr>
            <w:tcW w:w="3009" w:type="dxa"/>
            <w:shd w:val="clear" w:color="auto" w:fill="auto"/>
            <w:tcMar>
              <w:top w:w="100" w:type="dxa"/>
              <w:left w:w="100" w:type="dxa"/>
              <w:bottom w:w="100" w:type="dxa"/>
              <w:right w:w="100" w:type="dxa"/>
            </w:tcMar>
          </w:tcPr>
          <w:p w14:paraId="73CD9CDB" w14:textId="77777777" w:rsidR="004D0A47" w:rsidRDefault="00A82CFB">
            <w:pPr>
              <w:widowControl w:val="0"/>
              <w:pBdr>
                <w:top w:val="nil"/>
                <w:left w:val="nil"/>
                <w:bottom w:val="nil"/>
                <w:right w:val="nil"/>
                <w:between w:val="nil"/>
              </w:pBdr>
              <w:spacing w:line="240" w:lineRule="auto"/>
              <w:rPr>
                <w:sz w:val="20"/>
                <w:szCs w:val="20"/>
              </w:rPr>
            </w:pPr>
            <w:proofErr w:type="spellStart"/>
            <w:r>
              <w:rPr>
                <w:sz w:val="20"/>
                <w:szCs w:val="20"/>
              </w:rPr>
              <w:t>PepMap</w:t>
            </w:r>
            <w:proofErr w:type="spellEnd"/>
          </w:p>
        </w:tc>
        <w:tc>
          <w:tcPr>
            <w:tcW w:w="3009" w:type="dxa"/>
            <w:shd w:val="clear" w:color="auto" w:fill="auto"/>
            <w:tcMar>
              <w:top w:w="100" w:type="dxa"/>
              <w:left w:w="100" w:type="dxa"/>
              <w:bottom w:w="100" w:type="dxa"/>
              <w:right w:w="100" w:type="dxa"/>
            </w:tcMar>
          </w:tcPr>
          <w:p w14:paraId="32076D0E" w14:textId="77777777" w:rsidR="004D0A47" w:rsidRDefault="00A82CFB">
            <w:pPr>
              <w:widowControl w:val="0"/>
              <w:pBdr>
                <w:top w:val="nil"/>
                <w:left w:val="nil"/>
                <w:bottom w:val="nil"/>
                <w:right w:val="nil"/>
                <w:between w:val="nil"/>
              </w:pBdr>
              <w:spacing w:line="240" w:lineRule="auto"/>
              <w:rPr>
                <w:sz w:val="20"/>
                <w:szCs w:val="20"/>
              </w:rPr>
            </w:pPr>
            <w:r>
              <w:rPr>
                <w:sz w:val="20"/>
                <w:szCs w:val="20"/>
              </w:rPr>
              <w:t>Aurora</w:t>
            </w:r>
          </w:p>
        </w:tc>
      </w:tr>
      <w:tr w:rsidR="004D0A47" w14:paraId="1B1C4E66" w14:textId="77777777">
        <w:tc>
          <w:tcPr>
            <w:tcW w:w="3009" w:type="dxa"/>
            <w:shd w:val="clear" w:color="auto" w:fill="auto"/>
            <w:tcMar>
              <w:top w:w="100" w:type="dxa"/>
              <w:left w:w="100" w:type="dxa"/>
              <w:bottom w:w="100" w:type="dxa"/>
              <w:right w:w="100" w:type="dxa"/>
            </w:tcMar>
          </w:tcPr>
          <w:p w14:paraId="39B6045D" w14:textId="77777777" w:rsidR="004D0A47" w:rsidRDefault="00A82CFB">
            <w:pPr>
              <w:widowControl w:val="0"/>
              <w:pBdr>
                <w:top w:val="nil"/>
                <w:left w:val="nil"/>
                <w:bottom w:val="nil"/>
                <w:right w:val="nil"/>
                <w:between w:val="nil"/>
              </w:pBdr>
              <w:spacing w:line="240" w:lineRule="auto"/>
              <w:rPr>
                <w:sz w:val="20"/>
                <w:szCs w:val="20"/>
              </w:rPr>
            </w:pPr>
            <w:r>
              <w:rPr>
                <w:sz w:val="20"/>
                <w:szCs w:val="20"/>
              </w:rPr>
              <w:t xml:space="preserve">Length </w:t>
            </w:r>
          </w:p>
        </w:tc>
        <w:tc>
          <w:tcPr>
            <w:tcW w:w="3009" w:type="dxa"/>
            <w:shd w:val="clear" w:color="auto" w:fill="auto"/>
            <w:tcMar>
              <w:top w:w="100" w:type="dxa"/>
              <w:left w:w="100" w:type="dxa"/>
              <w:bottom w:w="100" w:type="dxa"/>
              <w:right w:w="100" w:type="dxa"/>
            </w:tcMar>
          </w:tcPr>
          <w:p w14:paraId="16D22B32" w14:textId="77777777" w:rsidR="004D0A47" w:rsidRDefault="00A82CFB">
            <w:pPr>
              <w:widowControl w:val="0"/>
              <w:pBdr>
                <w:top w:val="nil"/>
                <w:left w:val="nil"/>
                <w:bottom w:val="nil"/>
                <w:right w:val="nil"/>
                <w:between w:val="nil"/>
              </w:pBdr>
              <w:spacing w:line="240" w:lineRule="auto"/>
              <w:rPr>
                <w:sz w:val="20"/>
                <w:szCs w:val="20"/>
              </w:rPr>
            </w:pPr>
            <w:r>
              <w:rPr>
                <w:sz w:val="20"/>
                <w:szCs w:val="20"/>
              </w:rPr>
              <w:t>50 cm</w:t>
            </w:r>
          </w:p>
        </w:tc>
        <w:tc>
          <w:tcPr>
            <w:tcW w:w="3009" w:type="dxa"/>
            <w:shd w:val="clear" w:color="auto" w:fill="auto"/>
            <w:tcMar>
              <w:top w:w="100" w:type="dxa"/>
              <w:left w:w="100" w:type="dxa"/>
              <w:bottom w:w="100" w:type="dxa"/>
              <w:right w:w="100" w:type="dxa"/>
            </w:tcMar>
          </w:tcPr>
          <w:p w14:paraId="17CFD49D" w14:textId="77777777" w:rsidR="004D0A47" w:rsidRDefault="00A82CFB">
            <w:pPr>
              <w:widowControl w:val="0"/>
              <w:pBdr>
                <w:top w:val="nil"/>
                <w:left w:val="nil"/>
                <w:bottom w:val="nil"/>
                <w:right w:val="nil"/>
                <w:between w:val="nil"/>
              </w:pBdr>
              <w:spacing w:line="240" w:lineRule="auto"/>
              <w:rPr>
                <w:sz w:val="20"/>
                <w:szCs w:val="20"/>
              </w:rPr>
            </w:pPr>
            <w:r>
              <w:rPr>
                <w:sz w:val="20"/>
                <w:szCs w:val="20"/>
              </w:rPr>
              <w:t>25 cm</w:t>
            </w:r>
          </w:p>
        </w:tc>
      </w:tr>
      <w:tr w:rsidR="004D0A47" w14:paraId="769C66DF" w14:textId="77777777">
        <w:tc>
          <w:tcPr>
            <w:tcW w:w="3009" w:type="dxa"/>
            <w:shd w:val="clear" w:color="auto" w:fill="auto"/>
            <w:tcMar>
              <w:top w:w="100" w:type="dxa"/>
              <w:left w:w="100" w:type="dxa"/>
              <w:bottom w:w="100" w:type="dxa"/>
              <w:right w:w="100" w:type="dxa"/>
            </w:tcMar>
          </w:tcPr>
          <w:p w14:paraId="27F85DD9" w14:textId="77777777" w:rsidR="004D0A47" w:rsidRDefault="00A82CFB">
            <w:pPr>
              <w:widowControl w:val="0"/>
              <w:pBdr>
                <w:top w:val="nil"/>
                <w:left w:val="nil"/>
                <w:bottom w:val="nil"/>
                <w:right w:val="nil"/>
                <w:between w:val="nil"/>
              </w:pBdr>
              <w:spacing w:line="240" w:lineRule="auto"/>
              <w:rPr>
                <w:sz w:val="20"/>
                <w:szCs w:val="20"/>
              </w:rPr>
            </w:pPr>
            <w:r>
              <w:rPr>
                <w:sz w:val="20"/>
                <w:szCs w:val="20"/>
              </w:rPr>
              <w:t xml:space="preserve">Inner diameter </w:t>
            </w:r>
          </w:p>
        </w:tc>
        <w:tc>
          <w:tcPr>
            <w:tcW w:w="3009" w:type="dxa"/>
            <w:shd w:val="clear" w:color="auto" w:fill="auto"/>
            <w:tcMar>
              <w:top w:w="100" w:type="dxa"/>
              <w:left w:w="100" w:type="dxa"/>
              <w:bottom w:w="100" w:type="dxa"/>
              <w:right w:w="100" w:type="dxa"/>
            </w:tcMar>
          </w:tcPr>
          <w:p w14:paraId="7E35098C" w14:textId="77777777" w:rsidR="004D0A47" w:rsidRDefault="00A82CFB">
            <w:pPr>
              <w:widowControl w:val="0"/>
              <w:pBdr>
                <w:top w:val="nil"/>
                <w:left w:val="nil"/>
                <w:bottom w:val="nil"/>
                <w:right w:val="nil"/>
                <w:between w:val="nil"/>
              </w:pBdr>
              <w:spacing w:line="240" w:lineRule="auto"/>
              <w:rPr>
                <w:sz w:val="20"/>
                <w:szCs w:val="20"/>
              </w:rPr>
            </w:pPr>
            <w:r>
              <w:rPr>
                <w:sz w:val="20"/>
                <w:szCs w:val="20"/>
              </w:rPr>
              <w:t xml:space="preserve">75 </w:t>
            </w:r>
            <w:proofErr w:type="gramStart"/>
            <w:r>
              <w:rPr>
                <w:sz w:val="20"/>
                <w:szCs w:val="20"/>
              </w:rPr>
              <w:t>um</w:t>
            </w:r>
            <w:proofErr w:type="gramEnd"/>
          </w:p>
        </w:tc>
        <w:tc>
          <w:tcPr>
            <w:tcW w:w="3009" w:type="dxa"/>
            <w:shd w:val="clear" w:color="auto" w:fill="auto"/>
            <w:tcMar>
              <w:top w:w="100" w:type="dxa"/>
              <w:left w:w="100" w:type="dxa"/>
              <w:bottom w:w="100" w:type="dxa"/>
              <w:right w:w="100" w:type="dxa"/>
            </w:tcMar>
          </w:tcPr>
          <w:p w14:paraId="53BC3725" w14:textId="77777777" w:rsidR="004D0A47" w:rsidRDefault="00A82CFB">
            <w:pPr>
              <w:widowControl w:val="0"/>
              <w:pBdr>
                <w:top w:val="nil"/>
                <w:left w:val="nil"/>
                <w:bottom w:val="nil"/>
                <w:right w:val="nil"/>
                <w:between w:val="nil"/>
              </w:pBdr>
              <w:spacing w:line="240" w:lineRule="auto"/>
              <w:rPr>
                <w:sz w:val="20"/>
                <w:szCs w:val="20"/>
              </w:rPr>
            </w:pPr>
            <w:r>
              <w:rPr>
                <w:sz w:val="20"/>
                <w:szCs w:val="20"/>
              </w:rPr>
              <w:t xml:space="preserve">75 </w:t>
            </w:r>
            <w:proofErr w:type="gramStart"/>
            <w:r>
              <w:rPr>
                <w:sz w:val="20"/>
                <w:szCs w:val="20"/>
              </w:rPr>
              <w:t>um</w:t>
            </w:r>
            <w:proofErr w:type="gramEnd"/>
          </w:p>
        </w:tc>
      </w:tr>
      <w:tr w:rsidR="004D0A47" w14:paraId="7192BDBB" w14:textId="77777777">
        <w:tc>
          <w:tcPr>
            <w:tcW w:w="3009" w:type="dxa"/>
            <w:shd w:val="clear" w:color="auto" w:fill="auto"/>
            <w:tcMar>
              <w:top w:w="100" w:type="dxa"/>
              <w:left w:w="100" w:type="dxa"/>
              <w:bottom w:w="100" w:type="dxa"/>
              <w:right w:w="100" w:type="dxa"/>
            </w:tcMar>
          </w:tcPr>
          <w:p w14:paraId="69237072" w14:textId="77777777" w:rsidR="004D0A47" w:rsidRDefault="00A82CFB">
            <w:pPr>
              <w:widowControl w:val="0"/>
              <w:pBdr>
                <w:top w:val="nil"/>
                <w:left w:val="nil"/>
                <w:bottom w:val="nil"/>
                <w:right w:val="nil"/>
                <w:between w:val="nil"/>
              </w:pBdr>
              <w:spacing w:line="240" w:lineRule="auto"/>
              <w:rPr>
                <w:sz w:val="20"/>
                <w:szCs w:val="20"/>
              </w:rPr>
            </w:pPr>
            <w:r>
              <w:rPr>
                <w:sz w:val="20"/>
                <w:szCs w:val="20"/>
              </w:rPr>
              <w:t xml:space="preserve">Pore size </w:t>
            </w:r>
          </w:p>
        </w:tc>
        <w:tc>
          <w:tcPr>
            <w:tcW w:w="3009" w:type="dxa"/>
            <w:shd w:val="clear" w:color="auto" w:fill="auto"/>
            <w:tcMar>
              <w:top w:w="100" w:type="dxa"/>
              <w:left w:w="100" w:type="dxa"/>
              <w:bottom w:w="100" w:type="dxa"/>
              <w:right w:w="100" w:type="dxa"/>
            </w:tcMar>
          </w:tcPr>
          <w:p w14:paraId="0F9DB3F0" w14:textId="77777777" w:rsidR="004D0A47" w:rsidRDefault="00A82CFB">
            <w:pPr>
              <w:widowControl w:val="0"/>
              <w:pBdr>
                <w:top w:val="nil"/>
                <w:left w:val="nil"/>
                <w:bottom w:val="nil"/>
                <w:right w:val="nil"/>
                <w:between w:val="nil"/>
              </w:pBdr>
              <w:spacing w:line="240" w:lineRule="auto"/>
              <w:rPr>
                <w:sz w:val="20"/>
                <w:szCs w:val="20"/>
              </w:rPr>
            </w:pPr>
            <w:r>
              <w:rPr>
                <w:sz w:val="20"/>
                <w:szCs w:val="20"/>
              </w:rPr>
              <w:t>100 A</w:t>
            </w:r>
          </w:p>
        </w:tc>
        <w:tc>
          <w:tcPr>
            <w:tcW w:w="3009" w:type="dxa"/>
            <w:shd w:val="clear" w:color="auto" w:fill="auto"/>
            <w:tcMar>
              <w:top w:w="100" w:type="dxa"/>
              <w:left w:w="100" w:type="dxa"/>
              <w:bottom w:w="100" w:type="dxa"/>
              <w:right w:w="100" w:type="dxa"/>
            </w:tcMar>
          </w:tcPr>
          <w:p w14:paraId="300CAE98" w14:textId="77777777" w:rsidR="004D0A47" w:rsidRDefault="00A82CFB">
            <w:pPr>
              <w:widowControl w:val="0"/>
              <w:pBdr>
                <w:top w:val="nil"/>
                <w:left w:val="nil"/>
                <w:bottom w:val="nil"/>
                <w:right w:val="nil"/>
                <w:between w:val="nil"/>
              </w:pBdr>
              <w:spacing w:line="240" w:lineRule="auto"/>
              <w:rPr>
                <w:sz w:val="20"/>
                <w:szCs w:val="20"/>
              </w:rPr>
            </w:pPr>
            <w:r>
              <w:rPr>
                <w:sz w:val="20"/>
                <w:szCs w:val="20"/>
              </w:rPr>
              <w:t>120 A</w:t>
            </w:r>
          </w:p>
        </w:tc>
      </w:tr>
      <w:tr w:rsidR="004D0A47" w14:paraId="7EC09038" w14:textId="77777777">
        <w:tc>
          <w:tcPr>
            <w:tcW w:w="3009" w:type="dxa"/>
            <w:shd w:val="clear" w:color="auto" w:fill="auto"/>
            <w:tcMar>
              <w:top w:w="100" w:type="dxa"/>
              <w:left w:w="100" w:type="dxa"/>
              <w:bottom w:w="100" w:type="dxa"/>
              <w:right w:w="100" w:type="dxa"/>
            </w:tcMar>
          </w:tcPr>
          <w:p w14:paraId="258597D6" w14:textId="77777777" w:rsidR="004D0A47" w:rsidRDefault="00A82CFB">
            <w:pPr>
              <w:widowControl w:val="0"/>
              <w:pBdr>
                <w:top w:val="nil"/>
                <w:left w:val="nil"/>
                <w:bottom w:val="nil"/>
                <w:right w:val="nil"/>
                <w:between w:val="nil"/>
              </w:pBdr>
              <w:spacing w:line="240" w:lineRule="auto"/>
              <w:rPr>
                <w:sz w:val="20"/>
                <w:szCs w:val="20"/>
              </w:rPr>
            </w:pPr>
            <w:r>
              <w:rPr>
                <w:sz w:val="20"/>
                <w:szCs w:val="20"/>
              </w:rPr>
              <w:t>Pressure limit</w:t>
            </w:r>
          </w:p>
        </w:tc>
        <w:tc>
          <w:tcPr>
            <w:tcW w:w="3009" w:type="dxa"/>
            <w:shd w:val="clear" w:color="auto" w:fill="auto"/>
            <w:tcMar>
              <w:top w:w="100" w:type="dxa"/>
              <w:left w:w="100" w:type="dxa"/>
              <w:bottom w:w="100" w:type="dxa"/>
              <w:right w:w="100" w:type="dxa"/>
            </w:tcMar>
          </w:tcPr>
          <w:p w14:paraId="111EAB9C" w14:textId="77777777" w:rsidR="004D0A47" w:rsidRDefault="00A82CFB">
            <w:pPr>
              <w:widowControl w:val="0"/>
              <w:pBdr>
                <w:top w:val="nil"/>
                <w:left w:val="nil"/>
                <w:bottom w:val="nil"/>
                <w:right w:val="nil"/>
                <w:between w:val="nil"/>
              </w:pBdr>
              <w:spacing w:line="240" w:lineRule="auto"/>
              <w:rPr>
                <w:sz w:val="20"/>
                <w:szCs w:val="20"/>
              </w:rPr>
            </w:pPr>
            <w:r>
              <w:rPr>
                <w:sz w:val="20"/>
                <w:szCs w:val="20"/>
              </w:rPr>
              <w:t>1500 bar</w:t>
            </w:r>
          </w:p>
        </w:tc>
        <w:tc>
          <w:tcPr>
            <w:tcW w:w="3009" w:type="dxa"/>
            <w:shd w:val="clear" w:color="auto" w:fill="auto"/>
            <w:tcMar>
              <w:top w:w="100" w:type="dxa"/>
              <w:left w:w="100" w:type="dxa"/>
              <w:bottom w:w="100" w:type="dxa"/>
              <w:right w:w="100" w:type="dxa"/>
            </w:tcMar>
          </w:tcPr>
          <w:p w14:paraId="60AA425B" w14:textId="77777777" w:rsidR="004D0A47" w:rsidRDefault="00A82CFB">
            <w:pPr>
              <w:widowControl w:val="0"/>
              <w:pBdr>
                <w:top w:val="nil"/>
                <w:left w:val="nil"/>
                <w:bottom w:val="nil"/>
                <w:right w:val="nil"/>
                <w:between w:val="nil"/>
              </w:pBdr>
              <w:spacing w:line="240" w:lineRule="auto"/>
              <w:rPr>
                <w:sz w:val="20"/>
                <w:szCs w:val="20"/>
              </w:rPr>
            </w:pPr>
            <w:r>
              <w:rPr>
                <w:sz w:val="20"/>
                <w:szCs w:val="20"/>
              </w:rPr>
              <w:t>&gt; 1700 bar</w:t>
            </w:r>
          </w:p>
        </w:tc>
      </w:tr>
      <w:tr w:rsidR="004D0A47" w14:paraId="2B684532" w14:textId="77777777">
        <w:tc>
          <w:tcPr>
            <w:tcW w:w="3009" w:type="dxa"/>
            <w:shd w:val="clear" w:color="auto" w:fill="auto"/>
            <w:tcMar>
              <w:top w:w="100" w:type="dxa"/>
              <w:left w:w="100" w:type="dxa"/>
              <w:bottom w:w="100" w:type="dxa"/>
              <w:right w:w="100" w:type="dxa"/>
            </w:tcMar>
          </w:tcPr>
          <w:p w14:paraId="3C69BB84" w14:textId="77777777" w:rsidR="004D0A47" w:rsidRDefault="00A82CFB">
            <w:pPr>
              <w:widowControl w:val="0"/>
              <w:pBdr>
                <w:top w:val="nil"/>
                <w:left w:val="nil"/>
                <w:bottom w:val="nil"/>
                <w:right w:val="nil"/>
                <w:between w:val="nil"/>
              </w:pBdr>
              <w:spacing w:line="240" w:lineRule="auto"/>
              <w:rPr>
                <w:sz w:val="20"/>
                <w:szCs w:val="20"/>
              </w:rPr>
            </w:pPr>
            <w:r>
              <w:rPr>
                <w:sz w:val="20"/>
                <w:szCs w:val="20"/>
              </w:rPr>
              <w:t>Max. Temperature limit</w:t>
            </w:r>
          </w:p>
        </w:tc>
        <w:tc>
          <w:tcPr>
            <w:tcW w:w="3009" w:type="dxa"/>
            <w:shd w:val="clear" w:color="auto" w:fill="auto"/>
            <w:tcMar>
              <w:top w:w="100" w:type="dxa"/>
              <w:left w:w="100" w:type="dxa"/>
              <w:bottom w:w="100" w:type="dxa"/>
              <w:right w:w="100" w:type="dxa"/>
            </w:tcMar>
          </w:tcPr>
          <w:p w14:paraId="3F4B8481" w14:textId="77777777" w:rsidR="004D0A47" w:rsidRDefault="00A82CFB">
            <w:pPr>
              <w:widowControl w:val="0"/>
              <w:pBdr>
                <w:top w:val="nil"/>
                <w:left w:val="nil"/>
                <w:bottom w:val="nil"/>
                <w:right w:val="nil"/>
                <w:between w:val="nil"/>
              </w:pBdr>
              <w:spacing w:line="240" w:lineRule="auto"/>
              <w:rPr>
                <w:sz w:val="20"/>
                <w:szCs w:val="20"/>
              </w:rPr>
            </w:pPr>
            <w:r>
              <w:rPr>
                <w:sz w:val="20"/>
                <w:szCs w:val="20"/>
              </w:rPr>
              <w:t>60°C</w:t>
            </w:r>
          </w:p>
        </w:tc>
        <w:tc>
          <w:tcPr>
            <w:tcW w:w="3009" w:type="dxa"/>
            <w:shd w:val="clear" w:color="auto" w:fill="auto"/>
            <w:tcMar>
              <w:top w:w="100" w:type="dxa"/>
              <w:left w:w="100" w:type="dxa"/>
              <w:bottom w:w="100" w:type="dxa"/>
              <w:right w:w="100" w:type="dxa"/>
            </w:tcMar>
          </w:tcPr>
          <w:p w14:paraId="4F2722A0" w14:textId="77777777" w:rsidR="004D0A47" w:rsidRDefault="00A82CFB">
            <w:pPr>
              <w:widowControl w:val="0"/>
              <w:pBdr>
                <w:top w:val="nil"/>
                <w:left w:val="nil"/>
                <w:bottom w:val="nil"/>
                <w:right w:val="nil"/>
                <w:between w:val="nil"/>
              </w:pBdr>
              <w:spacing w:line="240" w:lineRule="auto"/>
              <w:rPr>
                <w:sz w:val="20"/>
                <w:szCs w:val="20"/>
              </w:rPr>
            </w:pPr>
            <w:r>
              <w:rPr>
                <w:sz w:val="20"/>
                <w:szCs w:val="20"/>
              </w:rPr>
              <w:t>60°C</w:t>
            </w:r>
          </w:p>
        </w:tc>
      </w:tr>
      <w:tr w:rsidR="004D0A47" w14:paraId="640502E3" w14:textId="77777777">
        <w:tc>
          <w:tcPr>
            <w:tcW w:w="3009" w:type="dxa"/>
            <w:shd w:val="clear" w:color="auto" w:fill="auto"/>
            <w:tcMar>
              <w:top w:w="100" w:type="dxa"/>
              <w:left w:w="100" w:type="dxa"/>
              <w:bottom w:w="100" w:type="dxa"/>
              <w:right w:w="100" w:type="dxa"/>
            </w:tcMar>
          </w:tcPr>
          <w:p w14:paraId="5A33464F" w14:textId="77777777" w:rsidR="004D0A47" w:rsidRDefault="00A82CFB">
            <w:pPr>
              <w:widowControl w:val="0"/>
              <w:pBdr>
                <w:top w:val="nil"/>
                <w:left w:val="nil"/>
                <w:bottom w:val="nil"/>
                <w:right w:val="nil"/>
                <w:between w:val="nil"/>
              </w:pBdr>
              <w:spacing w:line="240" w:lineRule="auto"/>
              <w:rPr>
                <w:sz w:val="20"/>
                <w:szCs w:val="20"/>
              </w:rPr>
            </w:pPr>
            <w:r>
              <w:rPr>
                <w:sz w:val="20"/>
                <w:szCs w:val="20"/>
              </w:rPr>
              <w:t>Participle size</w:t>
            </w:r>
          </w:p>
        </w:tc>
        <w:tc>
          <w:tcPr>
            <w:tcW w:w="3009" w:type="dxa"/>
            <w:shd w:val="clear" w:color="auto" w:fill="auto"/>
            <w:tcMar>
              <w:top w:w="100" w:type="dxa"/>
              <w:left w:w="100" w:type="dxa"/>
              <w:bottom w:w="100" w:type="dxa"/>
              <w:right w:w="100" w:type="dxa"/>
            </w:tcMar>
          </w:tcPr>
          <w:p w14:paraId="7C1D38E9" w14:textId="77777777" w:rsidR="004D0A47" w:rsidRDefault="00A82CFB">
            <w:pPr>
              <w:widowControl w:val="0"/>
              <w:pBdr>
                <w:top w:val="nil"/>
                <w:left w:val="nil"/>
                <w:bottom w:val="nil"/>
                <w:right w:val="nil"/>
                <w:between w:val="nil"/>
              </w:pBdr>
              <w:spacing w:line="240" w:lineRule="auto"/>
              <w:rPr>
                <w:sz w:val="20"/>
                <w:szCs w:val="20"/>
              </w:rPr>
            </w:pPr>
            <w:r>
              <w:rPr>
                <w:sz w:val="20"/>
                <w:szCs w:val="20"/>
              </w:rPr>
              <w:t xml:space="preserve">2 </w:t>
            </w:r>
            <w:proofErr w:type="gramStart"/>
            <w:r>
              <w:rPr>
                <w:sz w:val="20"/>
                <w:szCs w:val="20"/>
              </w:rPr>
              <w:t>um</w:t>
            </w:r>
            <w:proofErr w:type="gramEnd"/>
          </w:p>
        </w:tc>
        <w:tc>
          <w:tcPr>
            <w:tcW w:w="3009" w:type="dxa"/>
            <w:shd w:val="clear" w:color="auto" w:fill="auto"/>
            <w:tcMar>
              <w:top w:w="100" w:type="dxa"/>
              <w:left w:w="100" w:type="dxa"/>
              <w:bottom w:w="100" w:type="dxa"/>
              <w:right w:w="100" w:type="dxa"/>
            </w:tcMar>
          </w:tcPr>
          <w:p w14:paraId="081D3849" w14:textId="77777777" w:rsidR="004D0A47" w:rsidRDefault="00A82CFB">
            <w:pPr>
              <w:widowControl w:val="0"/>
              <w:pBdr>
                <w:top w:val="nil"/>
                <w:left w:val="nil"/>
                <w:bottom w:val="nil"/>
                <w:right w:val="nil"/>
                <w:between w:val="nil"/>
              </w:pBdr>
              <w:spacing w:line="240" w:lineRule="auto"/>
              <w:rPr>
                <w:sz w:val="20"/>
                <w:szCs w:val="20"/>
              </w:rPr>
            </w:pPr>
            <w:r>
              <w:rPr>
                <w:sz w:val="20"/>
                <w:szCs w:val="20"/>
              </w:rPr>
              <w:t xml:space="preserve">1.7 um </w:t>
            </w:r>
          </w:p>
        </w:tc>
      </w:tr>
    </w:tbl>
    <w:p w14:paraId="2F4CAB69" w14:textId="77777777" w:rsidR="004D0A47" w:rsidRDefault="004D0A47">
      <w:pPr>
        <w:spacing w:before="240" w:after="240"/>
        <w:jc w:val="both"/>
        <w:rPr>
          <w:sz w:val="20"/>
          <w:szCs w:val="20"/>
        </w:rPr>
      </w:pPr>
    </w:p>
    <w:p w14:paraId="2B58B908" w14:textId="77777777" w:rsidR="004D0A47" w:rsidRDefault="00A82CFB">
      <w:pPr>
        <w:spacing w:after="240"/>
        <w:jc w:val="both"/>
        <w:rPr>
          <w:b/>
        </w:rPr>
      </w:pPr>
      <w:r>
        <w:rPr>
          <w:b/>
          <w:noProof/>
        </w:rPr>
        <w:lastRenderedPageBreak/>
        <w:drawing>
          <wp:inline distT="114300" distB="114300" distL="114300" distR="114300" wp14:anchorId="0D59E765" wp14:editId="4D0EC97C">
            <wp:extent cx="2371725" cy="602932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371725" cy="6029325"/>
                    </a:xfrm>
                    <a:prstGeom prst="rect">
                      <a:avLst/>
                    </a:prstGeom>
                    <a:ln/>
                  </pic:spPr>
                </pic:pic>
              </a:graphicData>
            </a:graphic>
          </wp:inline>
        </w:drawing>
      </w:r>
    </w:p>
    <w:p w14:paraId="05BF323D" w14:textId="77777777" w:rsidR="004D0A47" w:rsidRDefault="00A82CFB">
      <w:pPr>
        <w:spacing w:after="240"/>
        <w:jc w:val="both"/>
        <w:rPr>
          <w:i/>
          <w:sz w:val="20"/>
          <w:szCs w:val="20"/>
        </w:rPr>
      </w:pPr>
      <w:r>
        <w:rPr>
          <w:i/>
          <w:sz w:val="20"/>
          <w:szCs w:val="20"/>
        </w:rPr>
        <w:t xml:space="preserve">Figure S8: Exemplary search workflow using MS Annika 3.0 in Proteome Discoverer. The imported raw files are recalibrated by the Spectrum file RC node, followed by a crude selection of suitable spectra for a first search by MS Amanda for linear peptide identification. Spectra that could not map to a linear or </w:t>
      </w:r>
      <w:proofErr w:type="spellStart"/>
      <w:r>
        <w:rPr>
          <w:i/>
          <w:sz w:val="20"/>
          <w:szCs w:val="20"/>
        </w:rPr>
        <w:t>monolink</w:t>
      </w:r>
      <w:proofErr w:type="spellEnd"/>
      <w:r>
        <w:rPr>
          <w:i/>
          <w:sz w:val="20"/>
          <w:szCs w:val="20"/>
        </w:rPr>
        <w:t xml:space="preserve"> peptide are transferred to the MS Annika crosslink search and validation nodes. The cross-link spectra are adjusted and then searched with MS Annika to identify the cross-linked peptides.</w:t>
      </w:r>
    </w:p>
    <w:p w14:paraId="12F708D5" w14:textId="77777777" w:rsidR="004D0A47" w:rsidRDefault="004D0A47">
      <w:pPr>
        <w:spacing w:after="240"/>
        <w:jc w:val="both"/>
        <w:rPr>
          <w:i/>
          <w:sz w:val="20"/>
          <w:szCs w:val="20"/>
        </w:rPr>
      </w:pPr>
    </w:p>
    <w:p w14:paraId="2A1A8F79" w14:textId="77777777" w:rsidR="004D0A47" w:rsidRDefault="004D0A47">
      <w:pPr>
        <w:spacing w:after="240"/>
        <w:jc w:val="both"/>
        <w:rPr>
          <w:i/>
          <w:sz w:val="20"/>
          <w:szCs w:val="20"/>
        </w:rPr>
      </w:pPr>
    </w:p>
    <w:p w14:paraId="57FEE25B" w14:textId="77777777" w:rsidR="004D0A47" w:rsidRDefault="004D0A47">
      <w:pPr>
        <w:spacing w:after="240"/>
        <w:jc w:val="both"/>
        <w:rPr>
          <w:i/>
          <w:sz w:val="20"/>
          <w:szCs w:val="20"/>
        </w:rPr>
      </w:pPr>
    </w:p>
    <w:p w14:paraId="683EAF3F" w14:textId="77777777" w:rsidR="004D0A47" w:rsidRDefault="004D0A47">
      <w:pPr>
        <w:spacing w:after="240"/>
        <w:jc w:val="both"/>
        <w:rPr>
          <w:i/>
          <w:sz w:val="20"/>
          <w:szCs w:val="20"/>
        </w:rPr>
      </w:pPr>
    </w:p>
    <w:p w14:paraId="47D5FD32" w14:textId="77777777" w:rsidR="004D0A47" w:rsidRDefault="004D0A47">
      <w:pPr>
        <w:spacing w:after="240"/>
        <w:jc w:val="both"/>
        <w:rPr>
          <w:i/>
          <w:sz w:val="20"/>
          <w:szCs w:val="20"/>
        </w:rPr>
      </w:pPr>
    </w:p>
    <w:p w14:paraId="775F43EC" w14:textId="77777777" w:rsidR="004D0A47" w:rsidRDefault="00A82CFB">
      <w:pPr>
        <w:spacing w:after="240"/>
        <w:jc w:val="both"/>
        <w:rPr>
          <w:i/>
          <w:sz w:val="20"/>
          <w:szCs w:val="20"/>
        </w:rPr>
      </w:pPr>
      <w:r>
        <w:rPr>
          <w:i/>
          <w:sz w:val="20"/>
          <w:szCs w:val="20"/>
        </w:rPr>
        <w:lastRenderedPageBreak/>
        <w:t xml:space="preserve">Table S2: Search parameters for linear and crosslink search. Parameters not listed here were left at default </w:t>
      </w:r>
      <w:proofErr w:type="gramStart"/>
      <w:r>
        <w:rPr>
          <w:i/>
          <w:sz w:val="20"/>
          <w:szCs w:val="20"/>
        </w:rPr>
        <w:t>settings</w:t>
      </w:r>
      <w:proofErr w:type="gramEnd"/>
    </w:p>
    <w:tbl>
      <w:tblPr>
        <w:tblStyle w:val="a1"/>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4530"/>
      </w:tblGrid>
      <w:tr w:rsidR="004D0A47" w14:paraId="36486066" w14:textId="77777777">
        <w:trPr>
          <w:trHeight w:val="48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DAFFE" w14:textId="77777777" w:rsidR="004D0A47" w:rsidRDefault="00A82CFB">
            <w:pPr>
              <w:jc w:val="both"/>
              <w:rPr>
                <w:i/>
                <w:sz w:val="20"/>
                <w:szCs w:val="20"/>
              </w:rPr>
            </w:pPr>
            <w:r>
              <w:rPr>
                <w:i/>
                <w:sz w:val="20"/>
                <w:szCs w:val="20"/>
              </w:rPr>
              <w:t>Parameter name</w:t>
            </w:r>
          </w:p>
        </w:tc>
        <w:tc>
          <w:tcPr>
            <w:tcW w:w="4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157579" w14:textId="77777777" w:rsidR="004D0A47" w:rsidRDefault="00A82CFB">
            <w:pPr>
              <w:jc w:val="both"/>
              <w:rPr>
                <w:i/>
                <w:sz w:val="20"/>
                <w:szCs w:val="20"/>
              </w:rPr>
            </w:pPr>
            <w:r>
              <w:rPr>
                <w:i/>
                <w:sz w:val="20"/>
                <w:szCs w:val="20"/>
              </w:rPr>
              <w:t>Parameter value</w:t>
            </w:r>
          </w:p>
        </w:tc>
      </w:tr>
      <w:tr w:rsidR="004D0A47" w14:paraId="11404EBD"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A700CD" w14:textId="77777777" w:rsidR="004D0A47" w:rsidRDefault="00A82CFB">
            <w:pPr>
              <w:jc w:val="both"/>
              <w:rPr>
                <w:b/>
                <w:i/>
                <w:sz w:val="20"/>
                <w:szCs w:val="20"/>
              </w:rPr>
            </w:pPr>
            <w:r>
              <w:rPr>
                <w:b/>
                <w:i/>
                <w:sz w:val="20"/>
                <w:szCs w:val="20"/>
              </w:rPr>
              <w:t>Linear search</w:t>
            </w:r>
          </w:p>
        </w:tc>
        <w:tc>
          <w:tcPr>
            <w:tcW w:w="4530" w:type="dxa"/>
            <w:tcBorders>
              <w:bottom w:val="single" w:sz="8" w:space="0" w:color="000000"/>
              <w:right w:val="single" w:sz="8" w:space="0" w:color="000000"/>
            </w:tcBorders>
            <w:tcMar>
              <w:top w:w="100" w:type="dxa"/>
              <w:left w:w="100" w:type="dxa"/>
              <w:bottom w:w="100" w:type="dxa"/>
              <w:right w:w="100" w:type="dxa"/>
            </w:tcMar>
          </w:tcPr>
          <w:p w14:paraId="4ED6607C" w14:textId="77777777" w:rsidR="004D0A47" w:rsidRDefault="00A82CFB">
            <w:pPr>
              <w:jc w:val="both"/>
              <w:rPr>
                <w:i/>
                <w:sz w:val="20"/>
                <w:szCs w:val="20"/>
              </w:rPr>
            </w:pPr>
            <w:r>
              <w:rPr>
                <w:i/>
                <w:sz w:val="20"/>
                <w:szCs w:val="20"/>
              </w:rPr>
              <w:t xml:space="preserve"> </w:t>
            </w:r>
          </w:p>
        </w:tc>
      </w:tr>
      <w:tr w:rsidR="004D0A47" w14:paraId="0C907DB5"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196C65" w14:textId="77777777" w:rsidR="004D0A47" w:rsidRDefault="00A82CFB">
            <w:pPr>
              <w:jc w:val="both"/>
              <w:rPr>
                <w:i/>
                <w:sz w:val="20"/>
                <w:szCs w:val="20"/>
              </w:rPr>
            </w:pPr>
            <w:r>
              <w:rPr>
                <w:i/>
                <w:sz w:val="20"/>
                <w:szCs w:val="20"/>
              </w:rPr>
              <w:t>MS1 tolerance</w:t>
            </w:r>
          </w:p>
        </w:tc>
        <w:tc>
          <w:tcPr>
            <w:tcW w:w="4530" w:type="dxa"/>
            <w:tcBorders>
              <w:bottom w:val="single" w:sz="8" w:space="0" w:color="000000"/>
              <w:right w:val="single" w:sz="8" w:space="0" w:color="000000"/>
            </w:tcBorders>
            <w:tcMar>
              <w:top w:w="100" w:type="dxa"/>
              <w:left w:w="100" w:type="dxa"/>
              <w:bottom w:w="100" w:type="dxa"/>
              <w:right w:w="100" w:type="dxa"/>
            </w:tcMar>
          </w:tcPr>
          <w:p w14:paraId="49604053" w14:textId="77777777" w:rsidR="004D0A47" w:rsidRDefault="00A82CFB">
            <w:pPr>
              <w:jc w:val="both"/>
              <w:rPr>
                <w:i/>
                <w:sz w:val="20"/>
                <w:szCs w:val="20"/>
              </w:rPr>
            </w:pPr>
            <w:r>
              <w:rPr>
                <w:i/>
                <w:sz w:val="20"/>
                <w:szCs w:val="20"/>
              </w:rPr>
              <w:t>6 ppm</w:t>
            </w:r>
          </w:p>
        </w:tc>
      </w:tr>
      <w:tr w:rsidR="004D0A47" w14:paraId="0844FC50"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333C28" w14:textId="77777777" w:rsidR="004D0A47" w:rsidRDefault="00A82CFB">
            <w:pPr>
              <w:jc w:val="both"/>
              <w:rPr>
                <w:i/>
                <w:sz w:val="20"/>
                <w:szCs w:val="20"/>
              </w:rPr>
            </w:pPr>
            <w:r>
              <w:rPr>
                <w:i/>
                <w:sz w:val="20"/>
                <w:szCs w:val="20"/>
              </w:rPr>
              <w:t>MS2 tolerance</w:t>
            </w:r>
          </w:p>
        </w:tc>
        <w:tc>
          <w:tcPr>
            <w:tcW w:w="4530" w:type="dxa"/>
            <w:tcBorders>
              <w:bottom w:val="single" w:sz="8" w:space="0" w:color="000000"/>
              <w:right w:val="single" w:sz="8" w:space="0" w:color="000000"/>
            </w:tcBorders>
            <w:tcMar>
              <w:top w:w="100" w:type="dxa"/>
              <w:left w:w="100" w:type="dxa"/>
              <w:bottom w:w="100" w:type="dxa"/>
              <w:right w:w="100" w:type="dxa"/>
            </w:tcMar>
          </w:tcPr>
          <w:p w14:paraId="2E97953C" w14:textId="77777777" w:rsidR="004D0A47" w:rsidRDefault="00A82CFB">
            <w:pPr>
              <w:jc w:val="both"/>
              <w:rPr>
                <w:i/>
                <w:sz w:val="20"/>
                <w:szCs w:val="20"/>
              </w:rPr>
            </w:pPr>
            <w:r>
              <w:rPr>
                <w:i/>
                <w:sz w:val="20"/>
                <w:szCs w:val="20"/>
              </w:rPr>
              <w:t>15 ppm</w:t>
            </w:r>
          </w:p>
        </w:tc>
      </w:tr>
      <w:tr w:rsidR="004D0A47" w14:paraId="15B9C8B9"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90308C" w14:textId="77777777" w:rsidR="004D0A47" w:rsidRDefault="00A82CFB">
            <w:pPr>
              <w:jc w:val="both"/>
              <w:rPr>
                <w:i/>
                <w:sz w:val="20"/>
                <w:szCs w:val="20"/>
              </w:rPr>
            </w:pPr>
            <w:r>
              <w:rPr>
                <w:i/>
                <w:sz w:val="20"/>
                <w:szCs w:val="20"/>
              </w:rPr>
              <w:t>Miss cleavages</w:t>
            </w:r>
          </w:p>
        </w:tc>
        <w:tc>
          <w:tcPr>
            <w:tcW w:w="4530" w:type="dxa"/>
            <w:tcBorders>
              <w:bottom w:val="single" w:sz="8" w:space="0" w:color="000000"/>
              <w:right w:val="single" w:sz="8" w:space="0" w:color="000000"/>
            </w:tcBorders>
            <w:tcMar>
              <w:top w:w="100" w:type="dxa"/>
              <w:left w:w="100" w:type="dxa"/>
              <w:bottom w:w="100" w:type="dxa"/>
              <w:right w:w="100" w:type="dxa"/>
            </w:tcMar>
          </w:tcPr>
          <w:p w14:paraId="0BA36080" w14:textId="77777777" w:rsidR="004D0A47" w:rsidRDefault="00A82CFB">
            <w:pPr>
              <w:jc w:val="both"/>
              <w:rPr>
                <w:i/>
                <w:sz w:val="20"/>
                <w:szCs w:val="20"/>
              </w:rPr>
            </w:pPr>
            <w:r>
              <w:rPr>
                <w:i/>
                <w:sz w:val="20"/>
                <w:szCs w:val="20"/>
              </w:rPr>
              <w:t>3</w:t>
            </w:r>
          </w:p>
        </w:tc>
      </w:tr>
      <w:tr w:rsidR="004D0A47" w14:paraId="243B87BC"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5619DB" w14:textId="77777777" w:rsidR="004D0A47" w:rsidRDefault="00A82CFB">
            <w:pPr>
              <w:jc w:val="both"/>
              <w:rPr>
                <w:i/>
                <w:sz w:val="20"/>
                <w:szCs w:val="20"/>
              </w:rPr>
            </w:pPr>
            <w:r>
              <w:rPr>
                <w:i/>
                <w:sz w:val="20"/>
                <w:szCs w:val="20"/>
              </w:rPr>
              <w:t>Fixed modification</w:t>
            </w:r>
          </w:p>
        </w:tc>
        <w:tc>
          <w:tcPr>
            <w:tcW w:w="4530" w:type="dxa"/>
            <w:tcBorders>
              <w:bottom w:val="single" w:sz="8" w:space="0" w:color="000000"/>
              <w:right w:val="single" w:sz="8" w:space="0" w:color="000000"/>
            </w:tcBorders>
            <w:tcMar>
              <w:top w:w="100" w:type="dxa"/>
              <w:left w:w="100" w:type="dxa"/>
              <w:bottom w:w="100" w:type="dxa"/>
              <w:right w:w="100" w:type="dxa"/>
            </w:tcMar>
          </w:tcPr>
          <w:p w14:paraId="692AA652" w14:textId="77777777" w:rsidR="004D0A47" w:rsidRDefault="00A82CFB">
            <w:pPr>
              <w:jc w:val="both"/>
              <w:rPr>
                <w:i/>
                <w:sz w:val="20"/>
                <w:szCs w:val="20"/>
              </w:rPr>
            </w:pPr>
            <w:r>
              <w:rPr>
                <w:i/>
                <w:sz w:val="20"/>
                <w:szCs w:val="20"/>
              </w:rPr>
              <w:t>Carbamidomethyl [57.021 Da] on C, D, E, H</w:t>
            </w:r>
          </w:p>
        </w:tc>
      </w:tr>
      <w:tr w:rsidR="004D0A47" w:rsidRPr="00B10858" w14:paraId="1A1B7C9C" w14:textId="77777777">
        <w:trPr>
          <w:trHeight w:val="280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D2F903" w14:textId="77777777" w:rsidR="004D0A47" w:rsidRDefault="00A82CFB">
            <w:pPr>
              <w:jc w:val="both"/>
              <w:rPr>
                <w:i/>
                <w:sz w:val="20"/>
                <w:szCs w:val="20"/>
              </w:rPr>
            </w:pPr>
            <w:r>
              <w:rPr>
                <w:i/>
                <w:sz w:val="20"/>
                <w:szCs w:val="20"/>
              </w:rPr>
              <w:t>Variable modification</w:t>
            </w:r>
          </w:p>
        </w:tc>
        <w:tc>
          <w:tcPr>
            <w:tcW w:w="4530" w:type="dxa"/>
            <w:tcBorders>
              <w:bottom w:val="single" w:sz="8" w:space="0" w:color="000000"/>
              <w:right w:val="single" w:sz="8" w:space="0" w:color="000000"/>
            </w:tcBorders>
            <w:tcMar>
              <w:top w:w="100" w:type="dxa"/>
              <w:left w:w="100" w:type="dxa"/>
              <w:bottom w:w="100" w:type="dxa"/>
              <w:right w:w="100" w:type="dxa"/>
            </w:tcMar>
          </w:tcPr>
          <w:p w14:paraId="2AA7A708" w14:textId="77777777" w:rsidR="004D0A47" w:rsidRPr="00B10858" w:rsidRDefault="00A82CFB">
            <w:pPr>
              <w:spacing w:after="240"/>
              <w:jc w:val="both"/>
              <w:rPr>
                <w:i/>
                <w:sz w:val="20"/>
                <w:szCs w:val="20"/>
                <w:lang w:val="de-AT"/>
              </w:rPr>
            </w:pPr>
            <w:r w:rsidRPr="00B10858">
              <w:rPr>
                <w:i/>
                <w:sz w:val="20"/>
                <w:szCs w:val="20"/>
                <w:lang w:val="de-AT"/>
              </w:rPr>
              <w:t xml:space="preserve">Oxidation [15.995 Da] (M), </w:t>
            </w:r>
          </w:p>
          <w:p w14:paraId="7CBFA78F" w14:textId="77777777" w:rsidR="004D0A47" w:rsidRPr="00B10858" w:rsidRDefault="00A82CFB">
            <w:pPr>
              <w:spacing w:after="240"/>
              <w:jc w:val="both"/>
              <w:rPr>
                <w:i/>
                <w:sz w:val="20"/>
                <w:szCs w:val="20"/>
                <w:lang w:val="de-AT"/>
              </w:rPr>
            </w:pPr>
            <w:r w:rsidRPr="00B10858">
              <w:rPr>
                <w:i/>
                <w:sz w:val="20"/>
                <w:szCs w:val="20"/>
                <w:lang w:val="de-AT"/>
              </w:rPr>
              <w:t xml:space="preserve">PhoX [209.972 Da] (K), PhoX </w:t>
            </w:r>
            <w:proofErr w:type="spellStart"/>
            <w:r w:rsidRPr="00B10858">
              <w:rPr>
                <w:i/>
                <w:sz w:val="20"/>
                <w:szCs w:val="20"/>
                <w:lang w:val="de-AT"/>
              </w:rPr>
              <w:t>Amidated</w:t>
            </w:r>
            <w:proofErr w:type="spellEnd"/>
            <w:r w:rsidRPr="00B10858">
              <w:rPr>
                <w:i/>
                <w:sz w:val="20"/>
                <w:szCs w:val="20"/>
                <w:lang w:val="de-AT"/>
              </w:rPr>
              <w:t xml:space="preserve"> [226.998 Da] (K), PhoX </w:t>
            </w:r>
            <w:proofErr w:type="spellStart"/>
            <w:r w:rsidRPr="00B10858">
              <w:rPr>
                <w:i/>
                <w:sz w:val="20"/>
                <w:szCs w:val="20"/>
                <w:lang w:val="de-AT"/>
              </w:rPr>
              <w:t>Hydrolyzed</w:t>
            </w:r>
            <w:proofErr w:type="spellEnd"/>
            <w:r w:rsidRPr="00B10858">
              <w:rPr>
                <w:i/>
                <w:sz w:val="20"/>
                <w:szCs w:val="20"/>
                <w:lang w:val="de-AT"/>
              </w:rPr>
              <w:t xml:space="preserve"> [227.982 Da] (K), PhoX </w:t>
            </w:r>
            <w:proofErr w:type="spellStart"/>
            <w:r w:rsidRPr="00B10858">
              <w:rPr>
                <w:i/>
                <w:sz w:val="20"/>
                <w:szCs w:val="20"/>
                <w:lang w:val="de-AT"/>
              </w:rPr>
              <w:t>Tris</w:t>
            </w:r>
            <w:proofErr w:type="spellEnd"/>
            <w:r w:rsidRPr="00B10858">
              <w:rPr>
                <w:i/>
                <w:sz w:val="20"/>
                <w:szCs w:val="20"/>
                <w:lang w:val="de-AT"/>
              </w:rPr>
              <w:t xml:space="preserve"> [331.046 Da] (K)</w:t>
            </w:r>
          </w:p>
          <w:p w14:paraId="5F8C07FE" w14:textId="77777777" w:rsidR="004D0A47" w:rsidRPr="00B10858" w:rsidRDefault="00A82CFB">
            <w:pPr>
              <w:spacing w:after="240"/>
              <w:jc w:val="both"/>
              <w:rPr>
                <w:i/>
                <w:sz w:val="20"/>
                <w:szCs w:val="20"/>
                <w:lang w:val="de-AT"/>
              </w:rPr>
            </w:pPr>
            <w:r w:rsidRPr="00B10858">
              <w:rPr>
                <w:i/>
                <w:sz w:val="20"/>
                <w:szCs w:val="20"/>
                <w:lang w:val="de-AT"/>
              </w:rPr>
              <w:t xml:space="preserve">DSSO [158.004 Da] (K), DSSO </w:t>
            </w:r>
            <w:proofErr w:type="spellStart"/>
            <w:r w:rsidRPr="00B10858">
              <w:rPr>
                <w:i/>
                <w:sz w:val="20"/>
                <w:szCs w:val="20"/>
                <w:lang w:val="de-AT"/>
              </w:rPr>
              <w:t>Amidated</w:t>
            </w:r>
            <w:proofErr w:type="spellEnd"/>
            <w:r w:rsidRPr="00B10858">
              <w:rPr>
                <w:i/>
                <w:sz w:val="20"/>
                <w:szCs w:val="20"/>
                <w:lang w:val="de-AT"/>
              </w:rPr>
              <w:t xml:space="preserve"> [175.030 Da] (K), DSSO </w:t>
            </w:r>
            <w:proofErr w:type="spellStart"/>
            <w:r w:rsidRPr="00B10858">
              <w:rPr>
                <w:i/>
                <w:sz w:val="20"/>
                <w:szCs w:val="20"/>
                <w:lang w:val="de-AT"/>
              </w:rPr>
              <w:t>Hydrolyzed</w:t>
            </w:r>
            <w:proofErr w:type="spellEnd"/>
            <w:r w:rsidRPr="00B10858">
              <w:rPr>
                <w:i/>
                <w:sz w:val="20"/>
                <w:szCs w:val="20"/>
                <w:lang w:val="de-AT"/>
              </w:rPr>
              <w:t xml:space="preserve"> [176.014 Da] (K), DSSO </w:t>
            </w:r>
            <w:proofErr w:type="spellStart"/>
            <w:r w:rsidRPr="00B10858">
              <w:rPr>
                <w:i/>
                <w:sz w:val="20"/>
                <w:szCs w:val="20"/>
                <w:lang w:val="de-AT"/>
              </w:rPr>
              <w:t>Tris</w:t>
            </w:r>
            <w:proofErr w:type="spellEnd"/>
            <w:r w:rsidRPr="00B10858">
              <w:rPr>
                <w:i/>
                <w:sz w:val="20"/>
                <w:szCs w:val="20"/>
                <w:lang w:val="de-AT"/>
              </w:rPr>
              <w:t xml:space="preserve"> [279.078 Da] (K)</w:t>
            </w:r>
          </w:p>
        </w:tc>
      </w:tr>
      <w:tr w:rsidR="004D0A47" w14:paraId="78EB8171"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881E47" w14:textId="77777777" w:rsidR="004D0A47" w:rsidRDefault="00A82CFB">
            <w:pPr>
              <w:jc w:val="both"/>
              <w:rPr>
                <w:b/>
                <w:i/>
                <w:sz w:val="20"/>
                <w:szCs w:val="20"/>
              </w:rPr>
            </w:pPr>
            <w:r>
              <w:rPr>
                <w:b/>
                <w:i/>
                <w:sz w:val="20"/>
                <w:szCs w:val="20"/>
              </w:rPr>
              <w:t>Crosslink search</w:t>
            </w:r>
          </w:p>
        </w:tc>
        <w:tc>
          <w:tcPr>
            <w:tcW w:w="4530" w:type="dxa"/>
            <w:tcBorders>
              <w:bottom w:val="single" w:sz="8" w:space="0" w:color="000000"/>
              <w:right w:val="single" w:sz="8" w:space="0" w:color="000000"/>
            </w:tcBorders>
            <w:tcMar>
              <w:top w:w="100" w:type="dxa"/>
              <w:left w:w="100" w:type="dxa"/>
              <w:bottom w:w="100" w:type="dxa"/>
              <w:right w:w="100" w:type="dxa"/>
            </w:tcMar>
          </w:tcPr>
          <w:p w14:paraId="1FFE46B6" w14:textId="77777777" w:rsidR="004D0A47" w:rsidRDefault="00A82CFB">
            <w:pPr>
              <w:jc w:val="both"/>
              <w:rPr>
                <w:i/>
                <w:sz w:val="20"/>
                <w:szCs w:val="20"/>
              </w:rPr>
            </w:pPr>
            <w:r>
              <w:rPr>
                <w:i/>
                <w:sz w:val="20"/>
                <w:szCs w:val="20"/>
              </w:rPr>
              <w:t xml:space="preserve"> </w:t>
            </w:r>
          </w:p>
        </w:tc>
      </w:tr>
      <w:tr w:rsidR="004D0A47" w:rsidRPr="00B10858" w14:paraId="34144169" w14:textId="77777777">
        <w:trPr>
          <w:trHeight w:val="549"/>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D1B745" w14:textId="77777777" w:rsidR="004D0A47" w:rsidRDefault="00A82CFB">
            <w:pPr>
              <w:jc w:val="both"/>
              <w:rPr>
                <w:i/>
                <w:sz w:val="20"/>
                <w:szCs w:val="20"/>
              </w:rPr>
            </w:pPr>
            <w:r>
              <w:rPr>
                <w:i/>
                <w:sz w:val="20"/>
                <w:szCs w:val="20"/>
              </w:rPr>
              <w:t>PhoX</w:t>
            </w:r>
          </w:p>
          <w:p w14:paraId="7170CF92" w14:textId="77777777" w:rsidR="004D0A47" w:rsidRDefault="00A82CFB">
            <w:pPr>
              <w:jc w:val="both"/>
              <w:rPr>
                <w:i/>
                <w:sz w:val="20"/>
                <w:szCs w:val="20"/>
              </w:rPr>
            </w:pPr>
            <w:r>
              <w:rPr>
                <w:i/>
                <w:sz w:val="20"/>
                <w:szCs w:val="20"/>
              </w:rPr>
              <w:t>DSSO</w:t>
            </w:r>
          </w:p>
        </w:tc>
        <w:tc>
          <w:tcPr>
            <w:tcW w:w="4530" w:type="dxa"/>
            <w:tcBorders>
              <w:bottom w:val="single" w:sz="8" w:space="0" w:color="000000"/>
              <w:right w:val="single" w:sz="8" w:space="0" w:color="000000"/>
            </w:tcBorders>
            <w:tcMar>
              <w:top w:w="100" w:type="dxa"/>
              <w:left w:w="100" w:type="dxa"/>
              <w:bottom w:w="100" w:type="dxa"/>
              <w:right w:w="100" w:type="dxa"/>
            </w:tcMar>
          </w:tcPr>
          <w:p w14:paraId="0FD7F779" w14:textId="77777777" w:rsidR="004D0A47" w:rsidRPr="00B10858" w:rsidRDefault="00A82CFB">
            <w:pPr>
              <w:jc w:val="both"/>
              <w:rPr>
                <w:i/>
                <w:sz w:val="20"/>
                <w:szCs w:val="20"/>
                <w:lang w:val="de-AT"/>
              </w:rPr>
            </w:pPr>
            <w:r w:rsidRPr="00B10858">
              <w:rPr>
                <w:i/>
                <w:sz w:val="20"/>
                <w:szCs w:val="20"/>
                <w:lang w:val="de-AT"/>
              </w:rPr>
              <w:t>PhoX [209.972 Da] (K)</w:t>
            </w:r>
          </w:p>
          <w:p w14:paraId="6B3D91EE" w14:textId="77777777" w:rsidR="004D0A47" w:rsidRPr="00B10858" w:rsidRDefault="00A82CFB">
            <w:pPr>
              <w:jc w:val="both"/>
              <w:rPr>
                <w:i/>
                <w:sz w:val="20"/>
                <w:szCs w:val="20"/>
                <w:lang w:val="de-AT"/>
              </w:rPr>
            </w:pPr>
            <w:r w:rsidRPr="00B10858">
              <w:rPr>
                <w:i/>
                <w:sz w:val="20"/>
                <w:szCs w:val="20"/>
                <w:lang w:val="de-AT"/>
              </w:rPr>
              <w:t xml:space="preserve">DSSO [158.004 Da] (K) (additional </w:t>
            </w:r>
            <w:proofErr w:type="spellStart"/>
            <w:r w:rsidRPr="00B10858">
              <w:rPr>
                <w:i/>
                <w:sz w:val="20"/>
                <w:szCs w:val="20"/>
                <w:lang w:val="de-AT"/>
              </w:rPr>
              <w:t>doublet</w:t>
            </w:r>
            <w:proofErr w:type="spellEnd"/>
            <w:r w:rsidRPr="00B10858">
              <w:rPr>
                <w:i/>
                <w:sz w:val="20"/>
                <w:szCs w:val="20"/>
                <w:lang w:val="de-AT"/>
              </w:rPr>
              <w:t>: 49.982635 Da)</w:t>
            </w:r>
          </w:p>
        </w:tc>
      </w:tr>
      <w:tr w:rsidR="004D0A47" w14:paraId="0131897C"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1E2CFE" w14:textId="77777777" w:rsidR="004D0A47" w:rsidRDefault="00A82CFB">
            <w:pPr>
              <w:jc w:val="both"/>
              <w:rPr>
                <w:i/>
                <w:sz w:val="20"/>
                <w:szCs w:val="20"/>
              </w:rPr>
            </w:pPr>
            <w:r>
              <w:rPr>
                <w:i/>
                <w:sz w:val="20"/>
                <w:szCs w:val="20"/>
              </w:rPr>
              <w:t>MS1 tolerance</w:t>
            </w:r>
          </w:p>
        </w:tc>
        <w:tc>
          <w:tcPr>
            <w:tcW w:w="4530" w:type="dxa"/>
            <w:tcBorders>
              <w:bottom w:val="single" w:sz="8" w:space="0" w:color="000000"/>
              <w:right w:val="single" w:sz="8" w:space="0" w:color="000000"/>
            </w:tcBorders>
            <w:tcMar>
              <w:top w:w="100" w:type="dxa"/>
              <w:left w:w="100" w:type="dxa"/>
              <w:bottom w:w="100" w:type="dxa"/>
              <w:right w:w="100" w:type="dxa"/>
            </w:tcMar>
          </w:tcPr>
          <w:p w14:paraId="08B0C992" w14:textId="77777777" w:rsidR="004D0A47" w:rsidRDefault="00A82CFB">
            <w:pPr>
              <w:jc w:val="both"/>
              <w:rPr>
                <w:i/>
                <w:sz w:val="20"/>
                <w:szCs w:val="20"/>
              </w:rPr>
            </w:pPr>
            <w:r>
              <w:rPr>
                <w:i/>
                <w:sz w:val="20"/>
                <w:szCs w:val="20"/>
              </w:rPr>
              <w:t>6 ppm</w:t>
            </w:r>
          </w:p>
        </w:tc>
      </w:tr>
      <w:tr w:rsidR="004D0A47" w14:paraId="12155B41"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740A4C" w14:textId="77777777" w:rsidR="004D0A47" w:rsidRDefault="00A82CFB">
            <w:pPr>
              <w:jc w:val="both"/>
              <w:rPr>
                <w:i/>
                <w:sz w:val="20"/>
                <w:szCs w:val="20"/>
              </w:rPr>
            </w:pPr>
            <w:r>
              <w:rPr>
                <w:i/>
                <w:sz w:val="20"/>
                <w:szCs w:val="20"/>
              </w:rPr>
              <w:t>MS2 tolerance</w:t>
            </w:r>
          </w:p>
        </w:tc>
        <w:tc>
          <w:tcPr>
            <w:tcW w:w="4530" w:type="dxa"/>
            <w:tcBorders>
              <w:bottom w:val="single" w:sz="8" w:space="0" w:color="000000"/>
              <w:right w:val="single" w:sz="8" w:space="0" w:color="000000"/>
            </w:tcBorders>
            <w:tcMar>
              <w:top w:w="100" w:type="dxa"/>
              <w:left w:w="100" w:type="dxa"/>
              <w:bottom w:w="100" w:type="dxa"/>
              <w:right w:w="100" w:type="dxa"/>
            </w:tcMar>
          </w:tcPr>
          <w:p w14:paraId="52BC04EA" w14:textId="77777777" w:rsidR="004D0A47" w:rsidRDefault="00A82CFB">
            <w:pPr>
              <w:jc w:val="both"/>
              <w:rPr>
                <w:i/>
                <w:sz w:val="20"/>
                <w:szCs w:val="20"/>
              </w:rPr>
            </w:pPr>
            <w:r>
              <w:rPr>
                <w:i/>
                <w:sz w:val="20"/>
                <w:szCs w:val="20"/>
              </w:rPr>
              <w:t>15 ppm</w:t>
            </w:r>
          </w:p>
        </w:tc>
      </w:tr>
      <w:tr w:rsidR="004D0A47" w14:paraId="1D3D941C"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5A82B6" w14:textId="77777777" w:rsidR="004D0A47" w:rsidRDefault="00A82CFB">
            <w:pPr>
              <w:jc w:val="both"/>
              <w:rPr>
                <w:i/>
                <w:sz w:val="20"/>
                <w:szCs w:val="20"/>
              </w:rPr>
            </w:pPr>
            <w:r>
              <w:rPr>
                <w:i/>
                <w:sz w:val="20"/>
                <w:szCs w:val="20"/>
              </w:rPr>
              <w:t>Miss cleavages</w:t>
            </w:r>
          </w:p>
        </w:tc>
        <w:tc>
          <w:tcPr>
            <w:tcW w:w="4530" w:type="dxa"/>
            <w:tcBorders>
              <w:bottom w:val="single" w:sz="8" w:space="0" w:color="000000"/>
              <w:right w:val="single" w:sz="8" w:space="0" w:color="000000"/>
            </w:tcBorders>
            <w:tcMar>
              <w:top w:w="100" w:type="dxa"/>
              <w:left w:w="100" w:type="dxa"/>
              <w:bottom w:w="100" w:type="dxa"/>
              <w:right w:w="100" w:type="dxa"/>
            </w:tcMar>
          </w:tcPr>
          <w:p w14:paraId="23555F81" w14:textId="77777777" w:rsidR="004D0A47" w:rsidRDefault="00A82CFB">
            <w:pPr>
              <w:jc w:val="both"/>
              <w:rPr>
                <w:i/>
                <w:sz w:val="20"/>
                <w:szCs w:val="20"/>
              </w:rPr>
            </w:pPr>
            <w:r>
              <w:rPr>
                <w:i/>
                <w:sz w:val="20"/>
                <w:szCs w:val="20"/>
              </w:rPr>
              <w:t>3</w:t>
            </w:r>
          </w:p>
        </w:tc>
      </w:tr>
      <w:tr w:rsidR="004D0A47" w14:paraId="6BD29405"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67AB25" w14:textId="77777777" w:rsidR="004D0A47" w:rsidRDefault="00A82CFB">
            <w:pPr>
              <w:jc w:val="both"/>
              <w:rPr>
                <w:i/>
                <w:sz w:val="20"/>
                <w:szCs w:val="20"/>
              </w:rPr>
            </w:pPr>
            <w:r>
              <w:rPr>
                <w:i/>
                <w:sz w:val="20"/>
                <w:szCs w:val="20"/>
              </w:rPr>
              <w:t>Fixed modification</w:t>
            </w:r>
          </w:p>
        </w:tc>
        <w:tc>
          <w:tcPr>
            <w:tcW w:w="4530" w:type="dxa"/>
            <w:tcBorders>
              <w:bottom w:val="single" w:sz="8" w:space="0" w:color="000000"/>
              <w:right w:val="single" w:sz="8" w:space="0" w:color="000000"/>
            </w:tcBorders>
            <w:tcMar>
              <w:top w:w="100" w:type="dxa"/>
              <w:left w:w="100" w:type="dxa"/>
              <w:bottom w:w="100" w:type="dxa"/>
              <w:right w:w="100" w:type="dxa"/>
            </w:tcMar>
          </w:tcPr>
          <w:p w14:paraId="4A1D9464" w14:textId="77777777" w:rsidR="004D0A47" w:rsidRDefault="00A82CFB">
            <w:pPr>
              <w:jc w:val="both"/>
              <w:rPr>
                <w:i/>
                <w:sz w:val="20"/>
                <w:szCs w:val="20"/>
              </w:rPr>
            </w:pPr>
            <w:r>
              <w:rPr>
                <w:i/>
                <w:sz w:val="20"/>
                <w:szCs w:val="20"/>
              </w:rPr>
              <w:t>Carbamidomethyl [57.021 Da] (C)</w:t>
            </w:r>
          </w:p>
        </w:tc>
      </w:tr>
      <w:tr w:rsidR="004D0A47" w14:paraId="00BB25D1"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857FE7" w14:textId="77777777" w:rsidR="004D0A47" w:rsidRDefault="00A82CFB">
            <w:pPr>
              <w:jc w:val="both"/>
              <w:rPr>
                <w:i/>
                <w:sz w:val="20"/>
                <w:szCs w:val="20"/>
              </w:rPr>
            </w:pPr>
            <w:r>
              <w:rPr>
                <w:i/>
                <w:sz w:val="20"/>
                <w:szCs w:val="20"/>
              </w:rPr>
              <w:t>Variable modification</w:t>
            </w:r>
          </w:p>
        </w:tc>
        <w:tc>
          <w:tcPr>
            <w:tcW w:w="4530" w:type="dxa"/>
            <w:tcBorders>
              <w:bottom w:val="single" w:sz="8" w:space="0" w:color="000000"/>
              <w:right w:val="single" w:sz="8" w:space="0" w:color="000000"/>
            </w:tcBorders>
            <w:tcMar>
              <w:top w:w="100" w:type="dxa"/>
              <w:left w:w="100" w:type="dxa"/>
              <w:bottom w:w="100" w:type="dxa"/>
              <w:right w:w="100" w:type="dxa"/>
            </w:tcMar>
          </w:tcPr>
          <w:p w14:paraId="04886C9B" w14:textId="77777777" w:rsidR="004D0A47" w:rsidRDefault="00A82CFB">
            <w:pPr>
              <w:jc w:val="both"/>
              <w:rPr>
                <w:i/>
                <w:sz w:val="20"/>
                <w:szCs w:val="20"/>
              </w:rPr>
            </w:pPr>
            <w:r>
              <w:rPr>
                <w:i/>
                <w:sz w:val="20"/>
                <w:szCs w:val="20"/>
              </w:rPr>
              <w:t>Oxidation [15.995 Da] (M)</w:t>
            </w:r>
          </w:p>
        </w:tc>
      </w:tr>
      <w:tr w:rsidR="004D0A47" w14:paraId="40588548"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6A67C8C" w14:textId="77777777" w:rsidR="004D0A47" w:rsidRDefault="00A82CFB">
            <w:pPr>
              <w:jc w:val="both"/>
              <w:rPr>
                <w:i/>
                <w:sz w:val="20"/>
                <w:szCs w:val="20"/>
              </w:rPr>
            </w:pPr>
            <w:r>
              <w:rPr>
                <w:i/>
                <w:sz w:val="20"/>
                <w:szCs w:val="20"/>
              </w:rPr>
              <w:t>Top N</w:t>
            </w:r>
          </w:p>
        </w:tc>
        <w:tc>
          <w:tcPr>
            <w:tcW w:w="4530" w:type="dxa"/>
            <w:tcBorders>
              <w:bottom w:val="single" w:sz="8" w:space="0" w:color="000000"/>
              <w:right w:val="single" w:sz="8" w:space="0" w:color="000000"/>
            </w:tcBorders>
            <w:tcMar>
              <w:top w:w="100" w:type="dxa"/>
              <w:left w:w="100" w:type="dxa"/>
              <w:bottom w:w="100" w:type="dxa"/>
              <w:right w:w="100" w:type="dxa"/>
            </w:tcMar>
          </w:tcPr>
          <w:p w14:paraId="5C04D47C" w14:textId="77777777" w:rsidR="004D0A47" w:rsidRDefault="00A82CFB">
            <w:pPr>
              <w:jc w:val="both"/>
              <w:rPr>
                <w:i/>
                <w:sz w:val="20"/>
                <w:szCs w:val="20"/>
              </w:rPr>
            </w:pPr>
            <w:r>
              <w:rPr>
                <w:i/>
                <w:sz w:val="20"/>
                <w:szCs w:val="20"/>
              </w:rPr>
              <w:t>500</w:t>
            </w:r>
          </w:p>
        </w:tc>
      </w:tr>
      <w:tr w:rsidR="004D0A47" w14:paraId="2793F0C3"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FDF06D" w14:textId="77777777" w:rsidR="004D0A47" w:rsidRDefault="00A82CFB">
            <w:pPr>
              <w:jc w:val="both"/>
              <w:rPr>
                <w:i/>
                <w:sz w:val="20"/>
                <w:szCs w:val="20"/>
              </w:rPr>
            </w:pPr>
            <w:r>
              <w:rPr>
                <w:i/>
                <w:sz w:val="20"/>
                <w:szCs w:val="20"/>
              </w:rPr>
              <w:lastRenderedPageBreak/>
              <w:t>Candidate Search Method</w:t>
            </w:r>
          </w:p>
        </w:tc>
        <w:tc>
          <w:tcPr>
            <w:tcW w:w="4530" w:type="dxa"/>
            <w:tcBorders>
              <w:bottom w:val="single" w:sz="8" w:space="0" w:color="000000"/>
              <w:right w:val="single" w:sz="8" w:space="0" w:color="000000"/>
            </w:tcBorders>
            <w:tcMar>
              <w:top w:w="100" w:type="dxa"/>
              <w:left w:w="100" w:type="dxa"/>
              <w:bottom w:w="100" w:type="dxa"/>
              <w:right w:w="100" w:type="dxa"/>
            </w:tcMar>
          </w:tcPr>
          <w:p w14:paraId="0EFD5433" w14:textId="77777777" w:rsidR="004D0A47" w:rsidRDefault="00A82CFB">
            <w:pPr>
              <w:jc w:val="both"/>
              <w:rPr>
                <w:i/>
                <w:sz w:val="20"/>
                <w:szCs w:val="20"/>
              </w:rPr>
            </w:pPr>
            <w:r>
              <w:rPr>
                <w:i/>
                <w:sz w:val="20"/>
                <w:szCs w:val="20"/>
              </w:rPr>
              <w:t>i32SM</w:t>
            </w:r>
          </w:p>
        </w:tc>
      </w:tr>
      <w:tr w:rsidR="004D0A47" w14:paraId="125717F0"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882036" w14:textId="77777777" w:rsidR="004D0A47" w:rsidRDefault="00A82CFB">
            <w:pPr>
              <w:jc w:val="both"/>
              <w:rPr>
                <w:b/>
                <w:i/>
                <w:sz w:val="20"/>
                <w:szCs w:val="20"/>
              </w:rPr>
            </w:pPr>
            <w:r>
              <w:rPr>
                <w:b/>
                <w:i/>
                <w:sz w:val="20"/>
                <w:szCs w:val="20"/>
              </w:rPr>
              <w:t>IMP-MS2 spectrum processor</w:t>
            </w:r>
          </w:p>
        </w:tc>
        <w:tc>
          <w:tcPr>
            <w:tcW w:w="4530" w:type="dxa"/>
            <w:tcBorders>
              <w:bottom w:val="single" w:sz="8" w:space="0" w:color="000000"/>
              <w:right w:val="single" w:sz="8" w:space="0" w:color="000000"/>
            </w:tcBorders>
            <w:tcMar>
              <w:top w:w="100" w:type="dxa"/>
              <w:left w:w="100" w:type="dxa"/>
              <w:bottom w:w="100" w:type="dxa"/>
              <w:right w:w="100" w:type="dxa"/>
            </w:tcMar>
          </w:tcPr>
          <w:p w14:paraId="0E489A60" w14:textId="77777777" w:rsidR="004D0A47" w:rsidRDefault="00A82CFB">
            <w:pPr>
              <w:jc w:val="both"/>
              <w:rPr>
                <w:i/>
                <w:sz w:val="20"/>
                <w:szCs w:val="20"/>
              </w:rPr>
            </w:pPr>
            <w:r>
              <w:rPr>
                <w:i/>
                <w:sz w:val="20"/>
                <w:szCs w:val="20"/>
              </w:rPr>
              <w:t xml:space="preserve"> </w:t>
            </w:r>
          </w:p>
        </w:tc>
      </w:tr>
      <w:tr w:rsidR="004D0A47" w14:paraId="7895DF88" w14:textId="77777777">
        <w:trPr>
          <w:trHeight w:val="480"/>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3E1B78" w14:textId="77777777" w:rsidR="004D0A47" w:rsidRDefault="00A82CFB">
            <w:pPr>
              <w:jc w:val="both"/>
              <w:rPr>
                <w:i/>
                <w:sz w:val="20"/>
                <w:szCs w:val="20"/>
              </w:rPr>
            </w:pPr>
            <w:r>
              <w:rPr>
                <w:i/>
                <w:sz w:val="20"/>
                <w:szCs w:val="20"/>
              </w:rPr>
              <w:t>Perform de-</w:t>
            </w:r>
            <w:proofErr w:type="spellStart"/>
            <w:r>
              <w:rPr>
                <w:i/>
                <w:sz w:val="20"/>
                <w:szCs w:val="20"/>
              </w:rPr>
              <w:t>isotoping</w:t>
            </w:r>
            <w:proofErr w:type="spellEnd"/>
          </w:p>
        </w:tc>
        <w:tc>
          <w:tcPr>
            <w:tcW w:w="4530" w:type="dxa"/>
            <w:tcBorders>
              <w:bottom w:val="single" w:sz="8" w:space="0" w:color="000000"/>
              <w:right w:val="single" w:sz="8" w:space="0" w:color="000000"/>
            </w:tcBorders>
            <w:tcMar>
              <w:top w:w="100" w:type="dxa"/>
              <w:left w:w="100" w:type="dxa"/>
              <w:bottom w:w="100" w:type="dxa"/>
              <w:right w:w="100" w:type="dxa"/>
            </w:tcMar>
          </w:tcPr>
          <w:p w14:paraId="13B096CD" w14:textId="77777777" w:rsidR="004D0A47" w:rsidRDefault="00A82CFB">
            <w:pPr>
              <w:jc w:val="both"/>
              <w:rPr>
                <w:i/>
                <w:sz w:val="20"/>
                <w:szCs w:val="20"/>
              </w:rPr>
            </w:pPr>
            <w:r>
              <w:rPr>
                <w:i/>
                <w:sz w:val="20"/>
                <w:szCs w:val="20"/>
              </w:rPr>
              <w:t>False</w:t>
            </w:r>
          </w:p>
        </w:tc>
      </w:tr>
    </w:tbl>
    <w:p w14:paraId="28AD52ED" w14:textId="77777777" w:rsidR="004D0A47" w:rsidRDefault="004D0A47">
      <w:pPr>
        <w:spacing w:after="240"/>
        <w:jc w:val="both"/>
        <w:rPr>
          <w:b/>
        </w:rPr>
      </w:pPr>
    </w:p>
    <w:p w14:paraId="1C5324F1" w14:textId="77777777" w:rsidR="004D0A47" w:rsidRDefault="004D0A47">
      <w:pPr>
        <w:spacing w:before="240" w:after="240"/>
        <w:jc w:val="both"/>
      </w:pPr>
    </w:p>
    <w:p w14:paraId="3CBCF908" w14:textId="77777777" w:rsidR="004D0A47" w:rsidRDefault="00A82CFB">
      <w:r>
        <w:rPr>
          <w:noProof/>
        </w:rPr>
        <w:drawing>
          <wp:inline distT="114300" distB="114300" distL="114300" distR="114300" wp14:anchorId="4B5471F0" wp14:editId="01A3E081">
            <wp:extent cx="2914650" cy="4381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14650" cy="4381500"/>
                    </a:xfrm>
                    <a:prstGeom prst="rect">
                      <a:avLst/>
                    </a:prstGeom>
                    <a:ln/>
                  </pic:spPr>
                </pic:pic>
              </a:graphicData>
            </a:graphic>
          </wp:inline>
        </w:drawing>
      </w:r>
    </w:p>
    <w:p w14:paraId="38AA8CB0" w14:textId="77777777" w:rsidR="004D0A47" w:rsidRDefault="00A82CFB">
      <w:pPr>
        <w:jc w:val="both"/>
        <w:rPr>
          <w:i/>
          <w:sz w:val="20"/>
          <w:szCs w:val="20"/>
        </w:rPr>
      </w:pPr>
      <w:r>
        <w:rPr>
          <w:i/>
          <w:sz w:val="20"/>
          <w:szCs w:val="20"/>
        </w:rPr>
        <w:t>Figure S9: General settings of the IMP-MS2 Spectrum processor node. This node offers three spectrum processing steps: Deisotoping of isotopic clusters, Charge-Deconvolution and MS1-precursor recalculation. The algorithm reconstructs the elution profile of the peptide and uses the gathered data to calculate a more precise value of the precursor mass. This step was evaluated as beneficial for crosslinking data.</w:t>
      </w:r>
    </w:p>
    <w:sectPr w:rsidR="004D0A47">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B4326" w14:textId="77777777" w:rsidR="00A82CFB" w:rsidRDefault="00A82CFB">
      <w:pPr>
        <w:spacing w:line="240" w:lineRule="auto"/>
      </w:pPr>
      <w:r>
        <w:separator/>
      </w:r>
    </w:p>
  </w:endnote>
  <w:endnote w:type="continuationSeparator" w:id="0">
    <w:p w14:paraId="50279C82" w14:textId="77777777" w:rsidR="00A82CFB" w:rsidRDefault="00A82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D5549" w14:textId="77777777" w:rsidR="004D0A47" w:rsidRDefault="00A82CFB">
    <w:pPr>
      <w:jc w:val="right"/>
    </w:pPr>
    <w:r>
      <w:fldChar w:fldCharType="begin"/>
    </w:r>
    <w:r>
      <w:instrText>PAGE</w:instrText>
    </w:r>
    <w:r>
      <w:fldChar w:fldCharType="separate"/>
    </w:r>
    <w:r w:rsidR="007E0F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5B1C4" w14:textId="77777777" w:rsidR="00A82CFB" w:rsidRDefault="00A82CFB">
      <w:pPr>
        <w:spacing w:line="240" w:lineRule="auto"/>
      </w:pPr>
      <w:r>
        <w:separator/>
      </w:r>
    </w:p>
  </w:footnote>
  <w:footnote w:type="continuationSeparator" w:id="0">
    <w:p w14:paraId="2E4662BD" w14:textId="77777777" w:rsidR="00A82CFB" w:rsidRDefault="00A82CF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A47"/>
    <w:rsid w:val="003C3BC0"/>
    <w:rsid w:val="004D0A47"/>
    <w:rsid w:val="0057296B"/>
    <w:rsid w:val="005B6097"/>
    <w:rsid w:val="007E0FF9"/>
    <w:rsid w:val="00A82CFB"/>
    <w:rsid w:val="00B108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ADF"/>
  <w15:docId w15:val="{EC4B3F41-6923-4793-A62C-77A0999C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B10858"/>
    <w:pPr>
      <w:spacing w:after="200" w:line="240" w:lineRule="auto"/>
    </w:pPr>
    <w:rPr>
      <w:i/>
      <w:iCs/>
      <w:color w:val="1F497D" w:themeColor="text2"/>
      <w:sz w:val="18"/>
      <w:szCs w:val="18"/>
    </w:rPr>
  </w:style>
  <w:style w:type="character" w:styleId="Hyperlink">
    <w:name w:val="Hyperlink"/>
    <w:basedOn w:val="DefaultParagraphFont"/>
    <w:uiPriority w:val="99"/>
    <w:unhideWhenUsed/>
    <w:rsid w:val="003C3BC0"/>
    <w:rPr>
      <w:color w:val="0000FF" w:themeColor="hyperlink"/>
      <w:u w:val="single"/>
    </w:rPr>
  </w:style>
  <w:style w:type="character" w:styleId="UnresolvedMention">
    <w:name w:val="Unresolved Mention"/>
    <w:basedOn w:val="DefaultParagraphFont"/>
    <w:uiPriority w:val="99"/>
    <w:semiHidden/>
    <w:unhideWhenUsed/>
    <w:rsid w:val="003C3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B05B5-9900-4D98-83A6-BFA349900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966</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Hana,Fränze</dc:creator>
  <cp:lastModifiedBy>Hana,Fränze</cp:lastModifiedBy>
  <cp:revision>3</cp:revision>
  <dcterms:created xsi:type="dcterms:W3CDTF">2024-12-21T10:45:00Z</dcterms:created>
  <dcterms:modified xsi:type="dcterms:W3CDTF">2024-12-21T10:46:00Z</dcterms:modified>
</cp:coreProperties>
</file>