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5C24D" w14:textId="77777777" w:rsidR="003453BB" w:rsidRDefault="003453BB" w:rsidP="003453BB">
      <w:pPr>
        <w:pStyle w:val="Style1"/>
        <w:rPr>
          <w:b/>
        </w:rPr>
      </w:pPr>
      <w:r>
        <w:rPr>
          <w:b/>
        </w:rPr>
        <w:t xml:space="preserve">Supplementary Materials to </w:t>
      </w:r>
      <w:r w:rsidRPr="00A46BD8">
        <w:rPr>
          <w:b/>
        </w:rPr>
        <w:t>Correlation of Enthesis Calcified Fibrocartilage 3D Microstructure with Full-field Local strain and Deformation</w:t>
      </w:r>
    </w:p>
    <w:p w14:paraId="29DBB2F4" w14:textId="77777777" w:rsidR="003453BB" w:rsidRDefault="003453BB" w:rsidP="003453BB">
      <w:pPr>
        <w:spacing w:after="0"/>
        <w:jc w:val="both"/>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Atousa Moayedi</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Katerina Karali</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Markus Boese</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Jovana Radulovic</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Gordon Blunn</w:t>
      </w:r>
      <w:r>
        <w:rPr>
          <w:rFonts w:ascii="Times New Roman" w:eastAsia="Times New Roman" w:hAnsi="Times New Roman" w:cs="Times New Roman"/>
          <w:sz w:val="24"/>
          <w:szCs w:val="24"/>
          <w:vertAlign w:val="superscript"/>
        </w:rPr>
        <w:t>2</w:t>
      </w:r>
    </w:p>
    <w:p w14:paraId="6C6D1035" w14:textId="77777777" w:rsidR="003453BB" w:rsidRDefault="003453BB" w:rsidP="003453BB">
      <w:pPr>
        <w:spacing w:after="0"/>
        <w:jc w:val="both"/>
        <w:rPr>
          <w:rFonts w:ascii="Times New Roman" w:eastAsia="Times New Roman" w:hAnsi="Times New Roman" w:cs="Times New Roman"/>
          <w:sz w:val="24"/>
          <w:szCs w:val="24"/>
          <w:vertAlign w:val="superscript"/>
        </w:rPr>
      </w:pPr>
    </w:p>
    <w:p w14:paraId="2F13ABBA" w14:textId="77777777" w:rsidR="003453BB" w:rsidRDefault="003453BB" w:rsidP="003453BB">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 1</w:t>
      </w:r>
      <w:r>
        <w:rPr>
          <w:rFonts w:ascii="Times New Roman" w:eastAsia="Times New Roman" w:hAnsi="Times New Roman" w:cs="Times New Roman"/>
          <w:sz w:val="24"/>
          <w:szCs w:val="24"/>
        </w:rPr>
        <w:t xml:space="preserve"> School of Mechanical and Electrical Engineering, University of Portsmouth, Portsmouth PO1 3DJ, UK</w:t>
      </w:r>
    </w:p>
    <w:p w14:paraId="20AFDCC2" w14:textId="77777777" w:rsidR="003453BB" w:rsidRDefault="003453BB" w:rsidP="003453BB">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School of Medicine, Pharmacy and Biomedical Sciences, University of Portsmouth, Portsmouth </w:t>
      </w:r>
      <w:r w:rsidRPr="00092716">
        <w:rPr>
          <w:rFonts w:ascii="Times New Roman" w:eastAsia="Times New Roman" w:hAnsi="Times New Roman" w:cs="Times New Roman"/>
          <w:sz w:val="24"/>
          <w:szCs w:val="24"/>
        </w:rPr>
        <w:t>PO1 2DT</w:t>
      </w:r>
      <w:r>
        <w:rPr>
          <w:rFonts w:ascii="Times New Roman" w:eastAsia="Times New Roman" w:hAnsi="Times New Roman" w:cs="Times New Roman"/>
          <w:sz w:val="24"/>
          <w:szCs w:val="24"/>
        </w:rPr>
        <w:t>, UK</w:t>
      </w:r>
    </w:p>
    <w:p w14:paraId="15B4BE52" w14:textId="77777777" w:rsidR="003453BB" w:rsidRDefault="003453BB" w:rsidP="003453BB">
      <w:pPr>
        <w:spacing w:after="0"/>
        <w:jc w:val="both"/>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w:t>
      </w:r>
      <w:r w:rsidRPr="00020F1D">
        <w:rPr>
          <w:rFonts w:ascii="Times New Roman" w:eastAsia="Times New Roman" w:hAnsi="Times New Roman" w:cs="Times New Roman"/>
          <w:sz w:val="24"/>
          <w:szCs w:val="24"/>
        </w:rPr>
        <w:t>Materials Science</w:t>
      </w:r>
      <w:r>
        <w:rPr>
          <w:rFonts w:ascii="Times New Roman" w:eastAsia="Times New Roman" w:hAnsi="Times New Roman" w:cs="Times New Roman"/>
          <w:sz w:val="24"/>
          <w:szCs w:val="24"/>
        </w:rPr>
        <w:t xml:space="preserve">, Carl Zeiss Microscopy GmbH, </w:t>
      </w:r>
      <w:r w:rsidRPr="00D837E6">
        <w:rPr>
          <w:rFonts w:ascii="Times New Roman" w:eastAsia="Times New Roman" w:hAnsi="Times New Roman" w:cs="Times New Roman"/>
          <w:sz w:val="24"/>
          <w:szCs w:val="24"/>
        </w:rPr>
        <w:t>Oberkochen</w:t>
      </w:r>
      <w:r>
        <w:rPr>
          <w:rFonts w:ascii="Times New Roman" w:eastAsia="Times New Roman" w:hAnsi="Times New Roman" w:cs="Times New Roman"/>
          <w:sz w:val="24"/>
          <w:szCs w:val="24"/>
        </w:rPr>
        <w:t xml:space="preserve"> </w:t>
      </w:r>
      <w:r w:rsidRPr="00A85B13">
        <w:rPr>
          <w:rFonts w:ascii="Times New Roman" w:eastAsia="Times New Roman" w:hAnsi="Times New Roman" w:cs="Times New Roman"/>
          <w:sz w:val="24"/>
          <w:szCs w:val="24"/>
        </w:rPr>
        <w:t>73447</w:t>
      </w:r>
      <w:r w:rsidRPr="00D837E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Germany</w:t>
      </w:r>
    </w:p>
    <w:p w14:paraId="51F5F9F9" w14:textId="77777777" w:rsidR="003453BB" w:rsidRDefault="003453BB" w:rsidP="003453BB">
      <w:pPr>
        <w:jc w:val="both"/>
        <w:rPr>
          <w:b/>
        </w:rPr>
      </w:pPr>
    </w:p>
    <w:p w14:paraId="6483A969" w14:textId="77777777" w:rsidR="003453BB" w:rsidRDefault="003453BB" w:rsidP="003453BB">
      <w:pPr>
        <w:rPr>
          <w:rFonts w:ascii="Times New Roman" w:eastAsia="Times New Roman" w:hAnsi="Times New Roman" w:cs="Times New Roman"/>
          <w:sz w:val="28"/>
          <w:szCs w:val="28"/>
        </w:rPr>
      </w:pPr>
      <w:r>
        <w:br w:type="page"/>
      </w:r>
    </w:p>
    <w:p w14:paraId="2A0706D3" w14:textId="77777777" w:rsidR="003453BB" w:rsidRPr="00656C8A" w:rsidRDefault="003453BB" w:rsidP="003453BB">
      <w:pPr>
        <w:pStyle w:val="Style2"/>
        <w:rPr>
          <w:b/>
          <w:bCs/>
        </w:rPr>
      </w:pPr>
      <w:bookmarkStart w:id="0" w:name="_Hlk182826378"/>
      <w:r w:rsidRPr="00656C8A">
        <w:rPr>
          <w:b/>
          <w:bCs/>
        </w:rPr>
        <w:lastRenderedPageBreak/>
        <w:t>Image quality comparison of FDK-type and high resolution deep learned reconstruction micro computed tomography</w:t>
      </w:r>
      <w:bookmarkEnd w:id="0"/>
    </w:p>
    <w:p w14:paraId="6A9D92C8" w14:textId="77777777" w:rsidR="003453BB" w:rsidRDefault="003453BB" w:rsidP="003453BB">
      <w:pPr>
        <w:spacing w:before="240" w:line="360" w:lineRule="auto"/>
        <w:jc w:val="both"/>
        <w:rPr>
          <w:rFonts w:ascii="Times New Roman" w:eastAsia="Times New Roman" w:hAnsi="Times New Roman" w:cs="Times New Roman"/>
          <w:sz w:val="24"/>
          <w:szCs w:val="24"/>
        </w:rPr>
      </w:pPr>
      <w:r w:rsidRPr="003643F2">
        <w:rPr>
          <w:rFonts w:ascii="Times New Roman" w:eastAsia="Times New Roman" w:hAnsi="Times New Roman" w:cs="Times New Roman"/>
          <w:sz w:val="24"/>
          <w:szCs w:val="24"/>
          <w:lang w:val="en-GB"/>
        </w:rPr>
        <w:t xml:space="preserve">Micro X-ray computed tomography has emerged as a powerful non-destructive tool for measuring musculoskeletal biomechanics. However, achieving high-resolution tomographic reconstructions for large samples requires a substantial number of </w:t>
      </w:r>
      <w:r>
        <w:rPr>
          <w:rFonts w:ascii="Times New Roman" w:eastAsia="Times New Roman" w:hAnsi="Times New Roman" w:cs="Times New Roman"/>
          <w:sz w:val="24"/>
          <w:szCs w:val="24"/>
        </w:rPr>
        <w:t>projections (</w:t>
      </w: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p</m:t>
            </m:r>
          </m:sub>
        </m:sSub>
      </m:oMath>
      <w:r>
        <w:rPr>
          <w:rFonts w:ascii="Times New Roman" w:eastAsia="Times New Roman" w:hAnsi="Times New Roman" w:cs="Times New Roman"/>
          <w:sz w:val="24"/>
          <w:szCs w:val="24"/>
        </w:rPr>
        <w:t>)</w:t>
      </w:r>
      <w:r w:rsidRPr="003643F2">
        <w:rPr>
          <w:rFonts w:ascii="Times New Roman" w:eastAsia="Times New Roman" w:hAnsi="Times New Roman" w:cs="Times New Roman"/>
          <w:sz w:val="24"/>
          <w:szCs w:val="24"/>
          <w:lang w:val="en-GB"/>
        </w:rPr>
        <w:t xml:space="preserve">, with a minimum </w:t>
      </w:r>
      <w:r>
        <w:rPr>
          <w:rFonts w:ascii="Times New Roman" w:eastAsia="Times New Roman" w:hAnsi="Times New Roman" w:cs="Times New Roman"/>
          <w:sz w:val="24"/>
          <w:szCs w:val="24"/>
        </w:rPr>
        <w:t xml:space="preserve">value of  </w:t>
      </w:r>
      <m:oMath>
        <m:f>
          <m:fPr>
            <m:ctrlPr>
              <w:rPr>
                <w:rFonts w:ascii="Cambria Math" w:eastAsia="Cambria Math" w:hAnsi="Cambria Math" w:cs="Cambria Math"/>
                <w:sz w:val="24"/>
                <w:szCs w:val="24"/>
              </w:rPr>
            </m:ctrlPr>
          </m:fPr>
          <m:num>
            <m:r>
              <w:rPr>
                <w:rFonts w:ascii="Cambria Math" w:eastAsia="Cambria Math" w:hAnsi="Cambria Math" w:cs="Cambria Math"/>
                <w:sz w:val="24"/>
                <w:szCs w:val="24"/>
              </w:rPr>
              <m:t>πN</m:t>
            </m:r>
          </m:num>
          <m:den>
            <m:r>
              <w:rPr>
                <w:rFonts w:ascii="Cambria Math" w:eastAsia="Cambria Math" w:hAnsi="Cambria Math" w:cs="Cambria Math"/>
                <w:sz w:val="24"/>
                <w:szCs w:val="24"/>
              </w:rPr>
              <m:t>2</m:t>
            </m:r>
          </m:den>
        </m:f>
      </m:oMath>
      <w:r>
        <w:rPr>
          <w:rFonts w:ascii="Times New Roman" w:eastAsia="Times New Roman" w:hAnsi="Times New Roman" w:cs="Times New Roman"/>
          <w:sz w:val="24"/>
          <w:szCs w:val="24"/>
        </w:rPr>
        <w:t xml:space="preserve"> </w:t>
      </w:r>
      <w:r w:rsidRPr="003643F2">
        <w:rPr>
          <w:rFonts w:ascii="Times New Roman" w:eastAsia="Times New Roman" w:hAnsi="Times New Roman" w:cs="Times New Roman"/>
          <w:sz w:val="24"/>
          <w:szCs w:val="24"/>
          <w:lang w:val="en-GB"/>
        </w:rPr>
        <w:t>according to the Nyquist-Shannon sampling theorem (where N is the number of pixels along the sample’s longest axis)</w:t>
      </w:r>
      <w:r>
        <w:rPr>
          <w:rFonts w:ascii="Times New Roman" w:eastAsia="Times New Roman" w:hAnsi="Times New Roman" w:cs="Times New Roman"/>
          <w:sz w:val="24"/>
          <w:szCs w:val="24"/>
          <w:lang w:val="en-GB"/>
        </w:rPr>
        <w:fldChar w:fldCharType="begin" w:fldLock="1"/>
      </w:r>
      <w:r>
        <w:rPr>
          <w:rFonts w:ascii="Times New Roman" w:eastAsia="Times New Roman" w:hAnsi="Times New Roman" w:cs="Times New Roman"/>
          <w:sz w:val="24"/>
          <w:szCs w:val="24"/>
          <w:lang w:val="en-GB"/>
        </w:rPr>
        <w:instrText>ADDIN CSL_CITATION {"citationItems":[{"id":"ITEM-1","itemData":{"author":[{"dropping-particle":"","family":"Por","given":"Emiel","non-dropping-particle":"","parse-names":false,"suffix":""},{"dropping-particle":"","family":"Kooten","given":"Maaike","non-dropping-particle":"van","parse-names":false,"suffix":""},{"dropping-particle":"","family":"Sarkovic","given":"Vanja","non-dropping-particle":"","parse-names":false,"suffix":""}],"container-title":"Leiden University","id":"ITEM-1","issue":"1","issued":{"date-parts":[["2019"]]},"page":"1-2","title":"Nyquist–Shannon sampling theorem","type":"article-journal","volume":"1"},"uris":["http://www.mendeley.com/documents/?uuid=45cda998-1de5-4df5-a68f-7936647849ec"]}],"mendeley":{"formattedCitation":"&lt;sup&gt;52&lt;/sup&gt;","plainTextFormattedCitation":"52"},"properties":{"noteIndex":0},"schema":"https://github.com/citation-style-language/schema/raw/master/csl-citation.json"}</w:instrText>
      </w:r>
      <w:r>
        <w:rPr>
          <w:rFonts w:ascii="Times New Roman" w:eastAsia="Times New Roman" w:hAnsi="Times New Roman" w:cs="Times New Roman"/>
          <w:sz w:val="24"/>
          <w:szCs w:val="24"/>
          <w:lang w:val="en-GB"/>
        </w:rPr>
        <w:fldChar w:fldCharType="separate"/>
      </w:r>
      <w:r w:rsidRPr="006A3B5A">
        <w:rPr>
          <w:rFonts w:ascii="Times New Roman" w:eastAsia="Times New Roman" w:hAnsi="Times New Roman" w:cs="Times New Roman"/>
          <w:noProof/>
          <w:sz w:val="24"/>
          <w:szCs w:val="24"/>
          <w:vertAlign w:val="superscript"/>
          <w:lang w:val="en-GB"/>
        </w:rPr>
        <w:t>52</w:t>
      </w:r>
      <w:r>
        <w:rPr>
          <w:rFonts w:ascii="Times New Roman" w:eastAsia="Times New Roman" w:hAnsi="Times New Roman" w:cs="Times New Roman"/>
          <w:sz w:val="24"/>
          <w:szCs w:val="24"/>
          <w:lang w:val="en-GB"/>
        </w:rPr>
        <w:fldChar w:fldCharType="end"/>
      </w:r>
      <w:r w:rsidRPr="003643F2">
        <w:rPr>
          <w:rFonts w:ascii="Times New Roman" w:eastAsia="Times New Roman" w:hAnsi="Times New Roman" w:cs="Times New Roman"/>
          <w:sz w:val="24"/>
          <w:szCs w:val="24"/>
          <w:lang w:val="en-GB"/>
        </w:rPr>
        <w:t xml:space="preserve">. For the murine calcaneus with a </w:t>
      </w:r>
      <w:r>
        <w:rPr>
          <w:rFonts w:ascii="Times New Roman" w:eastAsia="Times New Roman" w:hAnsi="Times New Roman" w:cs="Times New Roman"/>
          <w:sz w:val="24"/>
          <w:szCs w:val="24"/>
        </w:rPr>
        <w:t xml:space="preserve">length of 1015 pixels (1.33 um pixel size), </w:t>
      </w: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p</m:t>
            </m:r>
          </m:sub>
        </m:sSub>
      </m:oMath>
      <w:r>
        <w:rPr>
          <w:rFonts w:ascii="Times New Roman" w:eastAsia="Times New Roman" w:hAnsi="Times New Roman" w:cs="Times New Roman"/>
          <w:sz w:val="24"/>
          <w:szCs w:val="24"/>
        </w:rPr>
        <w:t xml:space="preserve"> equal to 1594</w:t>
      </w:r>
      <w:r w:rsidRPr="003643F2">
        <w:rPr>
          <w:rFonts w:ascii="Times New Roman" w:eastAsia="Times New Roman" w:hAnsi="Times New Roman" w:cs="Times New Roman"/>
          <w:sz w:val="24"/>
          <w:szCs w:val="24"/>
          <w:lang w:val="en-GB"/>
        </w:rPr>
        <w:t xml:space="preserve"> is the minimum value required for a reliable reconstruction that minimizes aliasing distortion.</w:t>
      </w:r>
      <w:r>
        <w:rPr>
          <w:rFonts w:ascii="Times New Roman" w:eastAsia="Times New Roman" w:hAnsi="Times New Roman" w:cs="Times New Roman"/>
          <w:sz w:val="24"/>
          <w:szCs w:val="24"/>
          <w:lang w:val="en-GB"/>
        </w:rPr>
        <w:t xml:space="preserve"> </w:t>
      </w:r>
      <w:r w:rsidRPr="003643F2">
        <w:rPr>
          <w:rFonts w:ascii="Times New Roman" w:eastAsia="Times New Roman" w:hAnsi="Times New Roman" w:cs="Times New Roman"/>
          <w:sz w:val="24"/>
          <w:szCs w:val="24"/>
          <w:lang w:val="en-GB"/>
        </w:rPr>
        <w:t>The filtered back projection (FBP) algorithm, typically used for FDK-type reconstructions, is widely employed in micro-CT imaging due to its simplicity and computational efficiency. However, FDK-type reconstruction relies on a full set of projections, meaning that acquiring high-resolution tomograms before and after applying load can result in extremely long acquisition times (over 6 hours). This prolonged scan time can lead to tissue dehydration and reduce the accuracy of the calculated mechanical and morphometric values. Additionally, FDK reconstructions are often prone to noise and artifacts, particularly when the number of projections is limited or when scanning large samples.</w:t>
      </w:r>
      <w:r>
        <w:rPr>
          <w:rFonts w:ascii="Times New Roman" w:eastAsia="Times New Roman" w:hAnsi="Times New Roman" w:cs="Times New Roman"/>
          <w:sz w:val="24"/>
          <w:szCs w:val="24"/>
          <w:lang w:val="en-GB"/>
        </w:rPr>
        <w:t xml:space="preserve"> </w:t>
      </w:r>
      <w:r w:rsidRPr="003643F2">
        <w:rPr>
          <w:rFonts w:ascii="Times New Roman" w:eastAsia="Times New Roman" w:hAnsi="Times New Roman" w:cs="Times New Roman"/>
          <w:sz w:val="24"/>
          <w:szCs w:val="24"/>
          <w:lang w:val="en-GB"/>
        </w:rPr>
        <w:t xml:space="preserve">In contrast, Deep learning-based reconstruction (DeepRecon) has been employed to improve tomograms with </w:t>
      </w:r>
      <w:r>
        <w:rPr>
          <w:rFonts w:ascii="Times New Roman" w:eastAsia="Times New Roman" w:hAnsi="Times New Roman" w:cs="Times New Roman"/>
          <w:sz w:val="24"/>
          <w:szCs w:val="24"/>
        </w:rPr>
        <w:t xml:space="preserve">insufficient </w:t>
      </w: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p</m:t>
            </m:r>
          </m:sub>
        </m:sSub>
      </m:oMath>
      <w:r w:rsidRPr="003643F2">
        <w:rPr>
          <w:rFonts w:ascii="Times New Roman" w:eastAsia="Times New Roman" w:hAnsi="Times New Roman" w:cs="Times New Roman"/>
          <w:sz w:val="24"/>
          <w:szCs w:val="24"/>
          <w:lang w:val="en-GB"/>
        </w:rPr>
        <w:t>​ by using trained convolutional neural networks (CNNs) derived from high-resolution scans. These networks are applied between the 2D projection stacks and the final reconstructed volume</w:t>
      </w:r>
      <w:r>
        <w:rPr>
          <w:rFonts w:ascii="Times New Roman" w:eastAsia="Times New Roman" w:hAnsi="Times New Roman" w:cs="Times New Roman"/>
          <w:sz w:val="24"/>
          <w:szCs w:val="24"/>
          <w:lang w:val="en-GB"/>
        </w:rPr>
        <w:fldChar w:fldCharType="begin" w:fldLock="1"/>
      </w:r>
      <w:r>
        <w:rPr>
          <w:rFonts w:ascii="Times New Roman" w:eastAsia="Times New Roman" w:hAnsi="Times New Roman" w:cs="Times New Roman"/>
          <w:sz w:val="24"/>
          <w:szCs w:val="24"/>
          <w:lang w:val="en-GB"/>
        </w:rPr>
        <w:instrText>ADDIN CSL_CITATION {"citationItems":[{"id":"ITEM-1","itemData":{"author":[{"dropping-particle":"","family":"Villarraga-Gómez","given":"Herminso","non-dropping-particle":"","parse-names":false,"suffix":""},{"dropping-particle":"","family":"Rad","given":"M Norouzi","non-dropping-particle":"","parse-names":false,"suffix":""},{"dropping-particle":"","family":"Andrew","given":"Matthew","non-dropping-particle":"","parse-names":false,"suffix":""},{"dropping-particle":"","family":"Andreyev","given":"Andriy","non-dropping-particle":"","parse-names":false,"suffix":""},{"dropping-particle":"","family":"Sanapala","given":"Ravikumar","non-dropping-particle":"","parse-names":false,"suffix":""},{"dropping-particle":"","family":"Omlor","given":"Lars","non-dropping-particle":"","parse-names":false,"suffix":""},{"dropping-particle":"","family":"Hagen","given":"C Graf","non-dropping-particle":"vom","parse-names":false,"suffix":""}],"container-title":"11th Conference on Industrial Computed Tomography (iCT)","id":"ITEM-1","issued":{"date-parts":[["2022"]]},"page":"8-11","title":"Improving throughput and image quality of high-resolution 3D X-ray microscopes using deep learning reconstruction techniques","type":"paper-conference"},"uris":["http://www.mendeley.com/documents/?uuid=d8140748-5134-4273-a8c6-032a7df25925"]}],"mendeley":{"formattedCitation":"&lt;sup&gt;53&lt;/sup&gt;","plainTextFormattedCitation":"53","previouslyFormattedCitation":"&lt;sup&gt;52&lt;/sup&gt;"},"properties":{"noteIndex":0},"schema":"https://github.com/citation-style-language/schema/raw/master/csl-citation.json"}</w:instrText>
      </w:r>
      <w:r>
        <w:rPr>
          <w:rFonts w:ascii="Times New Roman" w:eastAsia="Times New Roman" w:hAnsi="Times New Roman" w:cs="Times New Roman"/>
          <w:sz w:val="24"/>
          <w:szCs w:val="24"/>
          <w:lang w:val="en-GB"/>
        </w:rPr>
        <w:fldChar w:fldCharType="separate"/>
      </w:r>
      <w:r w:rsidRPr="006A3B5A">
        <w:rPr>
          <w:rFonts w:ascii="Times New Roman" w:eastAsia="Times New Roman" w:hAnsi="Times New Roman" w:cs="Times New Roman"/>
          <w:noProof/>
          <w:sz w:val="24"/>
          <w:szCs w:val="24"/>
          <w:vertAlign w:val="superscript"/>
          <w:lang w:val="en-GB"/>
        </w:rPr>
        <w:t>53</w:t>
      </w:r>
      <w:r>
        <w:rPr>
          <w:rFonts w:ascii="Times New Roman" w:eastAsia="Times New Roman" w:hAnsi="Times New Roman" w:cs="Times New Roman"/>
          <w:sz w:val="24"/>
          <w:szCs w:val="24"/>
          <w:lang w:val="en-GB"/>
        </w:rPr>
        <w:fldChar w:fldCharType="end"/>
      </w:r>
      <w:r w:rsidRPr="003643F2">
        <w:rPr>
          <w:rFonts w:ascii="Times New Roman" w:eastAsia="Times New Roman" w:hAnsi="Times New Roman" w:cs="Times New Roman"/>
          <w:sz w:val="24"/>
          <w:szCs w:val="24"/>
          <w:lang w:val="en-GB"/>
        </w:rPr>
        <w:t xml:space="preserve">. DeepRecon </w:t>
      </w:r>
      <w:r>
        <w:rPr>
          <w:rFonts w:ascii="Times New Roman" w:eastAsia="Times New Roman" w:hAnsi="Times New Roman" w:cs="Times New Roman"/>
          <w:sz w:val="24"/>
          <w:szCs w:val="24"/>
          <w:lang w:val="en-GB"/>
        </w:rPr>
        <w:t xml:space="preserve">(DR) </w:t>
      </w:r>
      <w:r w:rsidRPr="003643F2">
        <w:rPr>
          <w:rFonts w:ascii="Times New Roman" w:eastAsia="Times New Roman" w:hAnsi="Times New Roman" w:cs="Times New Roman"/>
          <w:sz w:val="24"/>
          <w:szCs w:val="24"/>
          <w:lang w:val="en-GB"/>
        </w:rPr>
        <w:t xml:space="preserve">can significantly enhance image quality, reduce noise, and minimize artifacts compared to traditional FDK-type method. Moreover, </w:t>
      </w:r>
      <w:r>
        <w:rPr>
          <w:rFonts w:ascii="Times New Roman" w:eastAsia="Times New Roman" w:hAnsi="Times New Roman" w:cs="Times New Roman"/>
          <w:sz w:val="24"/>
          <w:szCs w:val="24"/>
          <w:lang w:val="en-GB"/>
        </w:rPr>
        <w:t xml:space="preserve">DR </w:t>
      </w:r>
      <w:r w:rsidRPr="003643F2">
        <w:rPr>
          <w:rFonts w:ascii="Times New Roman" w:eastAsia="Times New Roman" w:hAnsi="Times New Roman" w:cs="Times New Roman"/>
          <w:sz w:val="24"/>
          <w:szCs w:val="24"/>
          <w:lang w:val="en-GB"/>
        </w:rPr>
        <w:t xml:space="preserve">offers faster throughput by achieving high-quality reconstructed volumes from a reduced </w:t>
      </w: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e>
          <m:sub>
            <m:r>
              <w:rPr>
                <w:rFonts w:ascii="Cambria Math" w:eastAsia="Cambria Math" w:hAnsi="Cambria Math" w:cs="Cambria Math"/>
                <w:sz w:val="24"/>
                <w:szCs w:val="24"/>
              </w:rPr>
              <m:t>p</m:t>
            </m:r>
          </m:sub>
        </m:sSub>
      </m:oMath>
      <w:r w:rsidRPr="003643F2">
        <w:rPr>
          <w:rFonts w:ascii="Times New Roman" w:eastAsia="Times New Roman" w:hAnsi="Times New Roman" w:cs="Times New Roman"/>
          <w:sz w:val="24"/>
          <w:szCs w:val="24"/>
          <w:lang w:val="en-GB"/>
        </w:rPr>
        <w:t>​ value, allowing fine structural details to be revealed without the need for a large number of projections.</w:t>
      </w:r>
      <w:r>
        <w:rPr>
          <w:rFonts w:ascii="Times New Roman" w:eastAsia="Times New Roman" w:hAnsi="Times New Roman" w:cs="Times New Roman"/>
          <w:sz w:val="24"/>
          <w:szCs w:val="24"/>
          <w:lang w:val="en-GB"/>
        </w:rPr>
        <w:t xml:space="preserve"> </w:t>
      </w:r>
      <w:r w:rsidRPr="005E7BFF">
        <w:rPr>
          <w:rFonts w:ascii="Times New Roman" w:eastAsia="Times New Roman" w:hAnsi="Times New Roman" w:cs="Times New Roman"/>
          <w:sz w:val="24"/>
          <w:szCs w:val="24"/>
          <w:lang w:val="en-GB"/>
        </w:rPr>
        <w:t>Figure 1 shows a comparison of micro</w:t>
      </w:r>
      <w:r>
        <w:rPr>
          <w:rFonts w:ascii="Times New Roman" w:eastAsia="Times New Roman" w:hAnsi="Times New Roman" w:cs="Times New Roman"/>
          <w:sz w:val="24"/>
          <w:szCs w:val="24"/>
          <w:lang w:val="en-GB"/>
        </w:rPr>
        <w:t>-</w:t>
      </w:r>
      <w:r w:rsidRPr="005E7BFF">
        <w:rPr>
          <w:rFonts w:ascii="Times New Roman" w:eastAsia="Times New Roman" w:hAnsi="Times New Roman" w:cs="Times New Roman"/>
          <w:sz w:val="24"/>
          <w:szCs w:val="24"/>
          <w:lang w:val="en-GB"/>
        </w:rPr>
        <w:t xml:space="preserve">CT </w:t>
      </w:r>
      <w:r>
        <w:rPr>
          <w:rFonts w:ascii="Times New Roman" w:eastAsia="Times New Roman" w:hAnsi="Times New Roman" w:cs="Times New Roman"/>
          <w:sz w:val="24"/>
          <w:szCs w:val="24"/>
          <w:lang w:val="en-GB"/>
        </w:rPr>
        <w:t>datasets</w:t>
      </w:r>
      <w:r w:rsidRPr="005E7BFF">
        <w:rPr>
          <w:rFonts w:ascii="Times New Roman" w:eastAsia="Times New Roman" w:hAnsi="Times New Roman" w:cs="Times New Roman"/>
          <w:sz w:val="24"/>
          <w:szCs w:val="24"/>
          <w:lang w:val="en-GB"/>
        </w:rPr>
        <w:t xml:space="preserve"> acquired with </w:t>
      </w:r>
      <w:r>
        <w:rPr>
          <w:rFonts w:ascii="Times New Roman" w:eastAsia="Times New Roman" w:hAnsi="Times New Roman" w:cs="Times New Roman"/>
          <w:sz w:val="24"/>
          <w:szCs w:val="24"/>
          <w:lang w:val="en-GB"/>
        </w:rPr>
        <w:t>different</w:t>
      </w:r>
      <w:r w:rsidRPr="005E7BFF">
        <w:rPr>
          <w:rFonts w:ascii="Times New Roman" w:eastAsia="Times New Roman" w:hAnsi="Times New Roman" w:cs="Times New Roman"/>
          <w:sz w:val="24"/>
          <w:szCs w:val="24"/>
          <w:lang w:val="en-GB"/>
        </w:rPr>
        <w:t xml:space="preserve"> projection numbers, alongside the corresponding reconstructed tomograms enhanced using </w:t>
      </w:r>
      <w:r>
        <w:rPr>
          <w:rFonts w:ascii="Times New Roman" w:eastAsia="Times New Roman" w:hAnsi="Times New Roman" w:cs="Times New Roman"/>
          <w:sz w:val="24"/>
          <w:szCs w:val="24"/>
          <w:lang w:val="en-GB"/>
        </w:rPr>
        <w:t>DR</w:t>
      </w:r>
      <w:r w:rsidRPr="005E7BFF">
        <w:rPr>
          <w:rFonts w:ascii="Times New Roman" w:eastAsia="Times New Roman" w:hAnsi="Times New Roman" w:cs="Times New Roman"/>
          <w:sz w:val="24"/>
          <w:szCs w:val="24"/>
          <w:lang w:val="en-GB"/>
        </w:rPr>
        <w:t>. The reconstruction model was trained on a high-resolution scan with 480</w:t>
      </w:r>
      <w:r>
        <w:rPr>
          <w:rFonts w:ascii="Times New Roman" w:eastAsia="Times New Roman" w:hAnsi="Times New Roman" w:cs="Times New Roman"/>
          <w:sz w:val="24"/>
          <w:szCs w:val="24"/>
          <w:lang w:val="en-GB"/>
        </w:rPr>
        <w:t>1</w:t>
      </w:r>
      <w:r w:rsidRPr="005E7BFF">
        <w:rPr>
          <w:rFonts w:ascii="Times New Roman" w:eastAsia="Times New Roman" w:hAnsi="Times New Roman" w:cs="Times New Roman"/>
          <w:sz w:val="24"/>
          <w:szCs w:val="24"/>
          <w:lang w:val="en-GB"/>
        </w:rPr>
        <w:t xml:space="preserve"> projections.</w:t>
      </w:r>
      <w:r>
        <w:rPr>
          <w:rFonts w:ascii="Times New Roman" w:eastAsia="Times New Roman" w:hAnsi="Times New Roman" w:cs="Times New Roman"/>
          <w:sz w:val="24"/>
          <w:szCs w:val="24"/>
          <w:lang w:val="en-GB"/>
        </w:rPr>
        <w:t xml:space="preserve"> </w:t>
      </w:r>
      <w:r w:rsidRPr="00676356">
        <w:rPr>
          <w:rFonts w:ascii="Times New Roman" w:eastAsia="Times New Roman" w:hAnsi="Times New Roman" w:cs="Times New Roman"/>
          <w:sz w:val="24"/>
          <w:szCs w:val="24"/>
          <w:lang w:val="en-GB"/>
        </w:rPr>
        <w:t>The histogram intensity of an HA phantom was employed to improve the contrast-to-noise ratio in the DR reconstructed tomograms.</w:t>
      </w:r>
      <w:r w:rsidRPr="005E7BFF">
        <w:rPr>
          <w:rFonts w:ascii="Times New Roman" w:eastAsia="Times New Roman" w:hAnsi="Times New Roman" w:cs="Times New Roman"/>
          <w:sz w:val="24"/>
          <w:szCs w:val="24"/>
          <w:lang w:val="en-GB"/>
        </w:rPr>
        <w:t xml:space="preserve"> The results demonstrate improved image quality and accuracy in structural detail as projection numbers increase</w:t>
      </w:r>
    </w:p>
    <w:p w14:paraId="3A150375" w14:textId="77777777" w:rsidR="003453BB" w:rsidRDefault="003453BB" w:rsidP="003453BB">
      <w:pPr>
        <w:spacing w:after="0"/>
        <w:jc w:val="center"/>
        <w:rPr>
          <w:rFonts w:ascii="Times New Roman" w:eastAsia="Times New Roman" w:hAnsi="Times New Roman" w:cs="Times New Roman"/>
        </w:rPr>
      </w:pPr>
      <w:r>
        <w:rPr>
          <w:rFonts w:ascii="Times New Roman" w:eastAsia="Times New Roman" w:hAnsi="Times New Roman" w:cs="Times New Roman"/>
          <w:noProof/>
        </w:rPr>
        <w:lastRenderedPageBreak/>
        <mc:AlternateContent>
          <mc:Choice Requires="wps">
            <w:drawing>
              <wp:anchor distT="0" distB="0" distL="114300" distR="114300" simplePos="0" relativeHeight="251662336" behindDoc="0" locked="0" layoutInCell="1" allowOverlap="1" wp14:anchorId="15341FFD" wp14:editId="0BBBE496">
                <wp:simplePos x="0" y="0"/>
                <wp:positionH relativeFrom="column">
                  <wp:posOffset>225054</wp:posOffset>
                </wp:positionH>
                <wp:positionV relativeFrom="paragraph">
                  <wp:posOffset>2613025</wp:posOffset>
                </wp:positionV>
                <wp:extent cx="258792" cy="310551"/>
                <wp:effectExtent l="0" t="0" r="27305" b="13335"/>
                <wp:wrapNone/>
                <wp:docPr id="390453943" name="Text Box 18"/>
                <wp:cNvGraphicFramePr/>
                <a:graphic xmlns:a="http://schemas.openxmlformats.org/drawingml/2006/main">
                  <a:graphicData uri="http://schemas.microsoft.com/office/word/2010/wordprocessingShape">
                    <wps:wsp>
                      <wps:cNvSpPr txBox="1"/>
                      <wps:spPr>
                        <a:xfrm>
                          <a:off x="0" y="0"/>
                          <a:ext cx="258792" cy="310551"/>
                        </a:xfrm>
                        <a:prstGeom prst="rect">
                          <a:avLst/>
                        </a:prstGeom>
                        <a:solidFill>
                          <a:schemeClr val="lt1"/>
                        </a:solidFill>
                        <a:ln w="6350">
                          <a:solidFill>
                            <a:prstClr val="black"/>
                          </a:solidFill>
                        </a:ln>
                      </wps:spPr>
                      <wps:txbx>
                        <w:txbxContent>
                          <w:p w14:paraId="1FE7D6A5" w14:textId="77777777" w:rsidR="003453BB" w:rsidRPr="007A4290" w:rsidRDefault="003453BB" w:rsidP="003453BB">
                            <w:pPr>
                              <w:rPr>
                                <w:b/>
                                <w:bCs/>
                                <w:sz w:val="24"/>
                                <w:szCs w:val="24"/>
                                <w:lang w:val="en-GB"/>
                              </w:rPr>
                            </w:pPr>
                            <w:r>
                              <w:rPr>
                                <w:b/>
                                <w:bCs/>
                                <w:sz w:val="24"/>
                                <w:szCs w:val="24"/>
                                <w:lang w:val="en-GB"/>
                              </w:rPr>
                              <w:t>C</w:t>
                            </w:r>
                            <w:r w:rsidRPr="007A4290">
                              <w:rPr>
                                <w:b/>
                                <w:bCs/>
                                <w:noProof/>
                                <w:sz w:val="24"/>
                                <w:szCs w:val="24"/>
                                <w:lang w:val="en-GB"/>
                              </w:rPr>
                              <w:drawing>
                                <wp:inline distT="0" distB="0" distL="0" distR="0" wp14:anchorId="688EDB05" wp14:editId="4B754115">
                                  <wp:extent cx="69215" cy="80010"/>
                                  <wp:effectExtent l="0" t="0" r="6985" b="0"/>
                                  <wp:docPr id="21391757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215" cy="800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341FFD" id="_x0000_t202" coordsize="21600,21600" o:spt="202" path="m,l,21600r21600,l21600,xe">
                <v:stroke joinstyle="miter"/>
                <v:path gradientshapeok="t" o:connecttype="rect"/>
              </v:shapetype>
              <v:shape id="Text Box 18" o:spid="_x0000_s1026" type="#_x0000_t202" style="position:absolute;left:0;text-align:left;margin-left:17.7pt;margin-top:205.75pt;width:20.4pt;height:24.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" fillcolor="white [3201]" strokeweight=".5pt">
                <v:textbox>
                  <w:txbxContent>
                    <w:p w14:paraId="1FE7D6A5" w14:textId="77777777" w:rsidR="003453BB" w:rsidRPr="007A4290" w:rsidRDefault="003453BB" w:rsidP="003453BB">
                      <w:pPr>
                        <w:rPr>
                          <w:b/>
                          <w:bCs/>
                          <w:sz w:val="24"/>
                          <w:szCs w:val="24"/>
                          <w:lang w:val="en-GB"/>
                        </w:rPr>
                      </w:pPr>
                      <w:r>
                        <w:rPr>
                          <w:b/>
                          <w:bCs/>
                          <w:sz w:val="24"/>
                          <w:szCs w:val="24"/>
                          <w:lang w:val="en-GB"/>
                        </w:rPr>
                        <w:t>C</w:t>
                      </w:r>
                      <w:r w:rsidRPr="007A4290">
                        <w:rPr>
                          <w:b/>
                          <w:bCs/>
                          <w:noProof/>
                          <w:sz w:val="24"/>
                          <w:szCs w:val="24"/>
                          <w:lang w:val="en-GB"/>
                        </w:rPr>
                        <w:drawing>
                          <wp:inline distT="0" distB="0" distL="0" distR="0" wp14:anchorId="688EDB05" wp14:editId="4B754115">
                            <wp:extent cx="69215" cy="80010"/>
                            <wp:effectExtent l="0" t="0" r="6985" b="0"/>
                            <wp:docPr id="21391757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215" cy="80010"/>
                                    </a:xfrm>
                                    <a:prstGeom prst="rect">
                                      <a:avLst/>
                                    </a:prstGeom>
                                    <a:noFill/>
                                    <a:ln>
                                      <a:noFill/>
                                    </a:ln>
                                  </pic:spPr>
                                </pic:pic>
                              </a:graphicData>
                            </a:graphic>
                          </wp:inline>
                        </w:drawing>
                      </w:r>
                    </w:p>
                  </w:txbxContent>
                </v:textbox>
              </v:shape>
            </w:pict>
          </mc:Fallback>
        </mc:AlternateContent>
      </w:r>
      <w:r>
        <w:rPr>
          <w:rFonts w:ascii="Times New Roman" w:eastAsia="Times New Roman" w:hAnsi="Times New Roman" w:cs="Times New Roman"/>
          <w:noProof/>
        </w:rPr>
        <mc:AlternateContent>
          <mc:Choice Requires="wps">
            <w:drawing>
              <wp:anchor distT="0" distB="0" distL="114300" distR="114300" simplePos="0" relativeHeight="251661312" behindDoc="0" locked="0" layoutInCell="1" allowOverlap="1" wp14:anchorId="423D0065" wp14:editId="3944FB7B">
                <wp:simplePos x="0" y="0"/>
                <wp:positionH relativeFrom="column">
                  <wp:posOffset>3033659</wp:posOffset>
                </wp:positionH>
                <wp:positionV relativeFrom="paragraph">
                  <wp:posOffset>2601595</wp:posOffset>
                </wp:positionV>
                <wp:extent cx="258792" cy="310551"/>
                <wp:effectExtent l="0" t="0" r="27305" b="13335"/>
                <wp:wrapNone/>
                <wp:docPr id="2006513534" name="Text Box 18"/>
                <wp:cNvGraphicFramePr/>
                <a:graphic xmlns:a="http://schemas.openxmlformats.org/drawingml/2006/main">
                  <a:graphicData uri="http://schemas.microsoft.com/office/word/2010/wordprocessingShape">
                    <wps:wsp>
                      <wps:cNvSpPr txBox="1"/>
                      <wps:spPr>
                        <a:xfrm>
                          <a:off x="0" y="0"/>
                          <a:ext cx="258792" cy="310551"/>
                        </a:xfrm>
                        <a:prstGeom prst="rect">
                          <a:avLst/>
                        </a:prstGeom>
                        <a:solidFill>
                          <a:schemeClr val="lt1"/>
                        </a:solidFill>
                        <a:ln w="6350">
                          <a:solidFill>
                            <a:prstClr val="black"/>
                          </a:solidFill>
                        </a:ln>
                      </wps:spPr>
                      <wps:txbx>
                        <w:txbxContent>
                          <w:p w14:paraId="6C4E9C8A" w14:textId="77777777" w:rsidR="003453BB" w:rsidRPr="007A4290" w:rsidRDefault="003453BB" w:rsidP="003453BB">
                            <w:pPr>
                              <w:rPr>
                                <w:b/>
                                <w:bCs/>
                                <w:sz w:val="24"/>
                                <w:szCs w:val="24"/>
                                <w:lang w:val="en-GB"/>
                              </w:rPr>
                            </w:pPr>
                            <w:r>
                              <w:rPr>
                                <w:b/>
                                <w:bCs/>
                                <w:sz w:val="24"/>
                                <w:szCs w:val="24"/>
                                <w:lang w:val="en-GB"/>
                              </w:rPr>
                              <w:t>D</w:t>
                            </w:r>
                            <w:r w:rsidRPr="007A4290">
                              <w:rPr>
                                <w:b/>
                                <w:bCs/>
                                <w:noProof/>
                                <w:sz w:val="24"/>
                                <w:szCs w:val="24"/>
                                <w:lang w:val="en-GB"/>
                              </w:rPr>
                              <w:drawing>
                                <wp:inline distT="0" distB="0" distL="0" distR="0" wp14:anchorId="6CE0690E" wp14:editId="782B3A04">
                                  <wp:extent cx="69215" cy="80010"/>
                                  <wp:effectExtent l="0" t="0" r="6985" b="0"/>
                                  <wp:docPr id="207354160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215" cy="800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D0065" id="_x0000_s1027" type="#_x0000_t202" style="position:absolute;left:0;text-align:left;margin-left:238.85pt;margin-top:204.85pt;width:20.4pt;height:2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" fillcolor="white [3201]" strokeweight=".5pt">
                <v:textbox>
                  <w:txbxContent>
                    <w:p w14:paraId="6C4E9C8A" w14:textId="77777777" w:rsidR="003453BB" w:rsidRPr="007A4290" w:rsidRDefault="003453BB" w:rsidP="003453BB">
                      <w:pPr>
                        <w:rPr>
                          <w:b/>
                          <w:bCs/>
                          <w:sz w:val="24"/>
                          <w:szCs w:val="24"/>
                          <w:lang w:val="en-GB"/>
                        </w:rPr>
                      </w:pPr>
                      <w:r>
                        <w:rPr>
                          <w:b/>
                          <w:bCs/>
                          <w:sz w:val="24"/>
                          <w:szCs w:val="24"/>
                          <w:lang w:val="en-GB"/>
                        </w:rPr>
                        <w:t>D</w:t>
                      </w:r>
                      <w:r w:rsidRPr="007A4290">
                        <w:rPr>
                          <w:b/>
                          <w:bCs/>
                          <w:noProof/>
                          <w:sz w:val="24"/>
                          <w:szCs w:val="24"/>
                          <w:lang w:val="en-GB"/>
                        </w:rPr>
                        <w:drawing>
                          <wp:inline distT="0" distB="0" distL="0" distR="0" wp14:anchorId="6CE0690E" wp14:editId="782B3A04">
                            <wp:extent cx="69215" cy="80010"/>
                            <wp:effectExtent l="0" t="0" r="6985" b="0"/>
                            <wp:docPr id="207354160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215" cy="80010"/>
                                    </a:xfrm>
                                    <a:prstGeom prst="rect">
                                      <a:avLst/>
                                    </a:prstGeom>
                                    <a:noFill/>
                                    <a:ln>
                                      <a:noFill/>
                                    </a:ln>
                                  </pic:spPr>
                                </pic:pic>
                              </a:graphicData>
                            </a:graphic>
                          </wp:inline>
                        </w:drawing>
                      </w:r>
                    </w:p>
                  </w:txbxContent>
                </v:textbox>
              </v:shape>
            </w:pict>
          </mc:Fallback>
        </mc:AlternateContent>
      </w:r>
      <w:r>
        <w:rPr>
          <w:rFonts w:ascii="Times New Roman" w:eastAsia="Times New Roman" w:hAnsi="Times New Roman" w:cs="Times New Roman"/>
          <w:noProof/>
        </w:rPr>
        <mc:AlternateContent>
          <mc:Choice Requires="wps">
            <w:drawing>
              <wp:anchor distT="0" distB="0" distL="114300" distR="114300" simplePos="0" relativeHeight="251660288" behindDoc="0" locked="0" layoutInCell="1" allowOverlap="1" wp14:anchorId="267080E4" wp14:editId="450D7130">
                <wp:simplePos x="0" y="0"/>
                <wp:positionH relativeFrom="column">
                  <wp:posOffset>3020431</wp:posOffset>
                </wp:positionH>
                <wp:positionV relativeFrom="paragraph">
                  <wp:posOffset>1153160</wp:posOffset>
                </wp:positionV>
                <wp:extent cx="258792" cy="310551"/>
                <wp:effectExtent l="0" t="0" r="27305" b="13335"/>
                <wp:wrapNone/>
                <wp:docPr id="139323616" name="Text Box 18"/>
                <wp:cNvGraphicFramePr/>
                <a:graphic xmlns:a="http://schemas.openxmlformats.org/drawingml/2006/main">
                  <a:graphicData uri="http://schemas.microsoft.com/office/word/2010/wordprocessingShape">
                    <wps:wsp>
                      <wps:cNvSpPr txBox="1"/>
                      <wps:spPr>
                        <a:xfrm>
                          <a:off x="0" y="0"/>
                          <a:ext cx="258792" cy="310551"/>
                        </a:xfrm>
                        <a:prstGeom prst="rect">
                          <a:avLst/>
                        </a:prstGeom>
                        <a:solidFill>
                          <a:schemeClr val="lt1"/>
                        </a:solidFill>
                        <a:ln w="6350">
                          <a:solidFill>
                            <a:prstClr val="black"/>
                          </a:solidFill>
                        </a:ln>
                      </wps:spPr>
                      <wps:txbx>
                        <w:txbxContent>
                          <w:p w14:paraId="2D5D9614" w14:textId="77777777" w:rsidR="003453BB" w:rsidRPr="007A4290" w:rsidRDefault="003453BB" w:rsidP="003453BB">
                            <w:pPr>
                              <w:rPr>
                                <w:b/>
                                <w:bCs/>
                                <w:sz w:val="24"/>
                                <w:szCs w:val="24"/>
                                <w:lang w:val="en-GB"/>
                              </w:rPr>
                            </w:pPr>
                            <w:r>
                              <w:rPr>
                                <w:b/>
                                <w:bCs/>
                                <w:sz w:val="24"/>
                                <w:szCs w:val="24"/>
                                <w:lang w:val="en-GB"/>
                              </w:rPr>
                              <w:t>B</w:t>
                            </w:r>
                            <w:r w:rsidRPr="007A4290">
                              <w:rPr>
                                <w:b/>
                                <w:bCs/>
                                <w:noProof/>
                                <w:sz w:val="24"/>
                                <w:szCs w:val="24"/>
                                <w:lang w:val="en-GB"/>
                              </w:rPr>
                              <w:drawing>
                                <wp:inline distT="0" distB="0" distL="0" distR="0" wp14:anchorId="673F1B23" wp14:editId="7B010586">
                                  <wp:extent cx="69215" cy="80010"/>
                                  <wp:effectExtent l="0" t="0" r="6985" b="0"/>
                                  <wp:docPr id="90359776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215" cy="800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7080E4" id="_x0000_s1028" type="#_x0000_t202" style="position:absolute;left:0;text-align:left;margin-left:237.85pt;margin-top:90.8pt;width:20.4pt;height:24.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" fillcolor="white [3201]" strokeweight=".5pt">
                <v:textbox>
                  <w:txbxContent>
                    <w:p w14:paraId="2D5D9614" w14:textId="77777777" w:rsidR="003453BB" w:rsidRPr="007A4290" w:rsidRDefault="003453BB" w:rsidP="003453BB">
                      <w:pPr>
                        <w:rPr>
                          <w:b/>
                          <w:bCs/>
                          <w:sz w:val="24"/>
                          <w:szCs w:val="24"/>
                          <w:lang w:val="en-GB"/>
                        </w:rPr>
                      </w:pPr>
                      <w:r>
                        <w:rPr>
                          <w:b/>
                          <w:bCs/>
                          <w:sz w:val="24"/>
                          <w:szCs w:val="24"/>
                          <w:lang w:val="en-GB"/>
                        </w:rPr>
                        <w:t>B</w:t>
                      </w:r>
                      <w:r w:rsidRPr="007A4290">
                        <w:rPr>
                          <w:b/>
                          <w:bCs/>
                          <w:noProof/>
                          <w:sz w:val="24"/>
                          <w:szCs w:val="24"/>
                          <w:lang w:val="en-GB"/>
                        </w:rPr>
                        <w:drawing>
                          <wp:inline distT="0" distB="0" distL="0" distR="0" wp14:anchorId="673F1B23" wp14:editId="7B010586">
                            <wp:extent cx="69215" cy="80010"/>
                            <wp:effectExtent l="0" t="0" r="6985" b="0"/>
                            <wp:docPr id="90359776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215" cy="80010"/>
                                    </a:xfrm>
                                    <a:prstGeom prst="rect">
                                      <a:avLst/>
                                    </a:prstGeom>
                                    <a:noFill/>
                                    <a:ln>
                                      <a:noFill/>
                                    </a:ln>
                                  </pic:spPr>
                                </pic:pic>
                              </a:graphicData>
                            </a:graphic>
                          </wp:inline>
                        </w:drawing>
                      </w:r>
                    </w:p>
                  </w:txbxContent>
                </v:textbox>
              </v:shape>
            </w:pict>
          </mc:Fallback>
        </mc:AlternateContent>
      </w:r>
      <w:r>
        <w:rPr>
          <w:rFonts w:ascii="Times New Roman" w:eastAsia="Times New Roman" w:hAnsi="Times New Roman" w:cs="Times New Roman"/>
          <w:noProof/>
        </w:rPr>
        <mc:AlternateContent>
          <mc:Choice Requires="wps">
            <w:drawing>
              <wp:anchor distT="0" distB="0" distL="114300" distR="114300" simplePos="0" relativeHeight="251659264" behindDoc="0" locked="0" layoutInCell="1" allowOverlap="1" wp14:anchorId="2FBC076B" wp14:editId="5B756A90">
                <wp:simplePos x="0" y="0"/>
                <wp:positionH relativeFrom="column">
                  <wp:posOffset>233045</wp:posOffset>
                </wp:positionH>
                <wp:positionV relativeFrom="paragraph">
                  <wp:posOffset>1171839</wp:posOffset>
                </wp:positionV>
                <wp:extent cx="258792" cy="310551"/>
                <wp:effectExtent l="0" t="0" r="27305" b="13335"/>
                <wp:wrapNone/>
                <wp:docPr id="125618008" name="Text Box 18"/>
                <wp:cNvGraphicFramePr/>
                <a:graphic xmlns:a="http://schemas.openxmlformats.org/drawingml/2006/main">
                  <a:graphicData uri="http://schemas.microsoft.com/office/word/2010/wordprocessingShape">
                    <wps:wsp>
                      <wps:cNvSpPr txBox="1"/>
                      <wps:spPr>
                        <a:xfrm>
                          <a:off x="0" y="0"/>
                          <a:ext cx="258792" cy="310551"/>
                        </a:xfrm>
                        <a:prstGeom prst="rect">
                          <a:avLst/>
                        </a:prstGeom>
                        <a:solidFill>
                          <a:schemeClr val="lt1"/>
                        </a:solidFill>
                        <a:ln w="6350">
                          <a:solidFill>
                            <a:prstClr val="black"/>
                          </a:solidFill>
                        </a:ln>
                      </wps:spPr>
                      <wps:txbx>
                        <w:txbxContent>
                          <w:p w14:paraId="713DD086" w14:textId="77777777" w:rsidR="003453BB" w:rsidRPr="007A4290" w:rsidRDefault="003453BB" w:rsidP="003453BB">
                            <w:pPr>
                              <w:rPr>
                                <w:b/>
                                <w:bCs/>
                                <w:sz w:val="24"/>
                                <w:szCs w:val="24"/>
                                <w:lang w:val="en-GB"/>
                              </w:rPr>
                            </w:pPr>
                            <w:r w:rsidRPr="007A4290">
                              <w:rPr>
                                <w:b/>
                                <w:bCs/>
                                <w:sz w:val="24"/>
                                <w:szCs w:val="24"/>
                                <w:lang w:val="en-G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C076B" id="_x0000_s1029" type="#_x0000_t202" style="position:absolute;left:0;text-align:left;margin-left:18.35pt;margin-top:92.25pt;width:20.4pt;height:24.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" fillcolor="white [3201]" strokeweight=".5pt">
                <v:textbox>
                  <w:txbxContent>
                    <w:p w14:paraId="713DD086" w14:textId="77777777" w:rsidR="003453BB" w:rsidRPr="007A4290" w:rsidRDefault="003453BB" w:rsidP="003453BB">
                      <w:pPr>
                        <w:rPr>
                          <w:b/>
                          <w:bCs/>
                          <w:sz w:val="24"/>
                          <w:szCs w:val="24"/>
                          <w:lang w:val="en-GB"/>
                        </w:rPr>
                      </w:pPr>
                      <w:r w:rsidRPr="007A4290">
                        <w:rPr>
                          <w:b/>
                          <w:bCs/>
                          <w:sz w:val="24"/>
                          <w:szCs w:val="24"/>
                          <w:lang w:val="en-GB"/>
                        </w:rPr>
                        <w:t>A</w:t>
                      </w:r>
                    </w:p>
                  </w:txbxContent>
                </v:textbox>
              </v:shape>
            </w:pict>
          </mc:Fallback>
        </mc:AlternateContent>
      </w:r>
      <w:r>
        <w:rPr>
          <w:rFonts w:ascii="Times New Roman" w:eastAsia="Times New Roman" w:hAnsi="Times New Roman" w:cs="Times New Roman"/>
          <w:noProof/>
        </w:rPr>
        <w:drawing>
          <wp:inline distT="0" distB="0" distL="0" distR="0" wp14:anchorId="4285F639" wp14:editId="2843AF5E">
            <wp:extent cx="5900468" cy="3071004"/>
            <wp:effectExtent l="0" t="0" r="5080" b="0"/>
            <wp:docPr id="1862890399" name="image13.png" descr="A collage of images of a person's fac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A collage of images of a person's face&#10;&#10;Description automatically generated"/>
                    <pic:cNvPicPr preferRelativeResize="0"/>
                  </pic:nvPicPr>
                  <pic:blipFill>
                    <a:blip r:embed="rId5"/>
                    <a:srcRect/>
                    <a:stretch>
                      <a:fillRect/>
                    </a:stretch>
                  </pic:blipFill>
                  <pic:spPr>
                    <a:xfrm>
                      <a:off x="0" y="0"/>
                      <a:ext cx="5921556" cy="3081980"/>
                    </a:xfrm>
                    <a:prstGeom prst="rect">
                      <a:avLst/>
                    </a:prstGeom>
                    <a:ln/>
                  </pic:spPr>
                </pic:pic>
              </a:graphicData>
            </a:graphic>
          </wp:inline>
        </w:drawing>
      </w:r>
    </w:p>
    <w:p w14:paraId="5332828F" w14:textId="77777777" w:rsidR="003453BB" w:rsidRPr="00AF1581" w:rsidRDefault="003453BB" w:rsidP="003453BB">
      <w:pPr>
        <w:jc w:val="both"/>
        <w:rPr>
          <w:rFonts w:ascii="Times New Roman" w:eastAsia="Times New Roman" w:hAnsi="Times New Roman" w:cs="Times New Roman"/>
          <w:sz w:val="24"/>
        </w:rPr>
      </w:pPr>
      <w:r w:rsidRPr="006F46FB">
        <w:rPr>
          <w:rFonts w:ascii="Times New Roman" w:eastAsia="Times New Roman" w:hAnsi="Times New Roman" w:cs="Times New Roman"/>
          <w:b/>
          <w:i/>
          <w:sz w:val="24"/>
        </w:rPr>
        <w:t>Sup. Figure 1</w:t>
      </w:r>
      <w:r w:rsidRPr="006F46FB">
        <w:rPr>
          <w:rFonts w:ascii="Times New Roman" w:eastAsia="Times New Roman" w:hAnsi="Times New Roman" w:cs="Times New Roman"/>
          <w:b/>
          <w:i/>
          <w:sz w:val="24"/>
          <w:lang w:val="en-GB"/>
        </w:rPr>
        <w:t>.</w:t>
      </w:r>
      <w:r w:rsidRPr="00AF1581">
        <w:rPr>
          <w:rFonts w:ascii="Times New Roman" w:eastAsia="Times New Roman" w:hAnsi="Times New Roman" w:cs="Times New Roman"/>
          <w:sz w:val="24"/>
          <w:lang w:val="en-GB"/>
        </w:rPr>
        <w:t xml:space="preserve"> </w:t>
      </w:r>
      <w:r w:rsidRPr="00AF1581">
        <w:rPr>
          <w:rFonts w:ascii="Times New Roman" w:eastAsia="Times New Roman" w:hAnsi="Times New Roman" w:cs="Times New Roman"/>
          <w:sz w:val="24"/>
        </w:rPr>
        <w:t xml:space="preserve">Comparison of micro-CT images acquired with 201 (A), 401 (B), 801 (C), and 1601 (D) projection numbers. On the left, the images are reconstructed using </w:t>
      </w:r>
      <w:bookmarkStart w:id="1" w:name="OLE_LINK1"/>
      <w:r w:rsidRPr="00AF1581">
        <w:rPr>
          <w:rFonts w:ascii="Times New Roman" w:eastAsia="Times New Roman" w:hAnsi="Times New Roman" w:cs="Times New Roman"/>
          <w:sz w:val="24"/>
        </w:rPr>
        <w:t>FDK</w:t>
      </w:r>
      <w:bookmarkEnd w:id="1"/>
      <w:r w:rsidRPr="00AF1581">
        <w:rPr>
          <w:rFonts w:ascii="Times New Roman" w:eastAsia="Times New Roman" w:hAnsi="Times New Roman" w:cs="Times New Roman"/>
          <w:sz w:val="24"/>
        </w:rPr>
        <w:t xml:space="preserve"> technique, while the right images show the corresponding tomograms reconstructed with DR, which was trained using a high-resolution scan captured with 4800 projection numbers. At the same time, the CNR was enhanced through the use of a high-quality HA phantom.</w:t>
      </w:r>
    </w:p>
    <w:p w14:paraId="53C786BC" w14:textId="77777777" w:rsidR="003453BB" w:rsidRDefault="003453BB" w:rsidP="003453BB">
      <w:pPr>
        <w:rPr>
          <w:rFonts w:ascii="Times New Roman" w:eastAsia="Times New Roman" w:hAnsi="Times New Roman" w:cs="Times New Roman"/>
        </w:rPr>
      </w:pPr>
      <w:r>
        <w:rPr>
          <w:rFonts w:ascii="Times New Roman" w:eastAsia="Times New Roman" w:hAnsi="Times New Roman" w:cs="Times New Roman"/>
        </w:rPr>
        <w:br w:type="page"/>
      </w:r>
    </w:p>
    <w:p w14:paraId="2888AB85" w14:textId="77777777" w:rsidR="003453BB" w:rsidRDefault="003453BB" w:rsidP="003453BB">
      <w:pPr>
        <w:jc w:val="both"/>
        <w:rPr>
          <w:rFonts w:ascii="Times New Roman" w:eastAsia="Times New Roman" w:hAnsi="Times New Roman" w:cs="Times New Roman"/>
        </w:rPr>
      </w:pPr>
    </w:p>
    <w:p w14:paraId="1E28E343" w14:textId="77777777" w:rsidR="003453BB" w:rsidRDefault="003453BB" w:rsidP="003453BB">
      <w:pPr>
        <w:jc w:val="center"/>
        <w:rPr>
          <w:rFonts w:ascii="Times New Roman" w:eastAsia="Times New Roman" w:hAnsi="Times New Roman" w:cs="Times New Roman"/>
        </w:rPr>
      </w:pPr>
    </w:p>
    <w:p w14:paraId="21A341EE" w14:textId="77777777" w:rsidR="003453BB" w:rsidRDefault="003453BB" w:rsidP="003453BB">
      <w:pPr>
        <w:spacing w:after="0"/>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7AB67A3" wp14:editId="3A305A42">
            <wp:extent cx="5765567" cy="3127794"/>
            <wp:effectExtent l="0" t="0" r="6985" b="0"/>
            <wp:docPr id="1774029089" name="Picture 21" descr="A screenshot of a gri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029089" name="Picture 21" descr="A screenshot of a grid&#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86383" cy="3139087"/>
                    </a:xfrm>
                    <a:prstGeom prst="rect">
                      <a:avLst/>
                    </a:prstGeom>
                    <a:noFill/>
                  </pic:spPr>
                </pic:pic>
              </a:graphicData>
            </a:graphic>
          </wp:inline>
        </w:drawing>
      </w:r>
    </w:p>
    <w:p w14:paraId="0F2510F8" w14:textId="77777777" w:rsidR="003453BB" w:rsidRDefault="003453BB" w:rsidP="003453BB">
      <w:pPr>
        <w:spacing w:after="0"/>
        <w:jc w:val="center"/>
        <w:rPr>
          <w:rFonts w:ascii="Times New Roman" w:eastAsia="Times New Roman" w:hAnsi="Times New Roman" w:cs="Times New Roman"/>
        </w:rPr>
      </w:pPr>
      <w:r w:rsidRPr="007F3C9F">
        <w:rPr>
          <w:rFonts w:ascii="Times New Roman" w:eastAsia="Times New Roman" w:hAnsi="Times New Roman" w:cs="Times New Roman"/>
          <w:b/>
          <w:bCs/>
        </w:rPr>
        <w:t>E.</w:t>
      </w:r>
      <w:r>
        <w:rPr>
          <w:rFonts w:ascii="Times New Roman" w:eastAsia="Times New Roman" w:hAnsi="Times New Roman" w:cs="Times New Roman"/>
        </w:rPr>
        <w:t xml:space="preserve"> </w:t>
      </w:r>
      <w:r>
        <w:rPr>
          <w:noProof/>
        </w:rPr>
        <w:drawing>
          <wp:inline distT="0" distB="0" distL="0" distR="0" wp14:anchorId="2C91346E" wp14:editId="59951888">
            <wp:extent cx="1251614" cy="1251614"/>
            <wp:effectExtent l="38100" t="38100" r="43815" b="43815"/>
            <wp:docPr id="834292311" name="Picture 22" descr="A grey background with a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292311" name="Picture 22" descr="A grey background with a ligh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1274408" cy="1274408"/>
                    </a:xfrm>
                    <a:prstGeom prst="rect">
                      <a:avLst/>
                    </a:prstGeom>
                    <a:noFill/>
                    <a:ln w="38100">
                      <a:solidFill>
                        <a:schemeClr val="tx1"/>
                      </a:solidFill>
                    </a:ln>
                  </pic:spPr>
                </pic:pic>
              </a:graphicData>
            </a:graphic>
          </wp:inline>
        </w:drawing>
      </w:r>
    </w:p>
    <w:p w14:paraId="1C08B4D7" w14:textId="77777777" w:rsidR="003453BB" w:rsidRPr="00AF1581" w:rsidRDefault="003453BB" w:rsidP="003453BB">
      <w:pPr>
        <w:jc w:val="both"/>
        <w:rPr>
          <w:rFonts w:ascii="Times New Roman" w:eastAsia="Times New Roman" w:hAnsi="Times New Roman" w:cs="Times New Roman"/>
          <w:sz w:val="24"/>
        </w:rPr>
      </w:pPr>
      <w:r w:rsidRPr="006F46FB">
        <w:rPr>
          <w:rFonts w:ascii="Times New Roman" w:eastAsia="Times New Roman" w:hAnsi="Times New Roman" w:cs="Times New Roman"/>
          <w:b/>
          <w:i/>
          <w:sz w:val="24"/>
        </w:rPr>
        <w:t>Sup. Figure 2.</w:t>
      </w:r>
      <w:r w:rsidRPr="00AF1581">
        <w:rPr>
          <w:rFonts w:ascii="Times New Roman" w:eastAsia="Times New Roman" w:hAnsi="Times New Roman" w:cs="Times New Roman"/>
          <w:sz w:val="24"/>
        </w:rPr>
        <w:t xml:space="preserve"> Fourier transform (FFT) spectra of micro-CT images showing different projection numbers. A, B, C, and D represent FFT spectra for 201, 401, 801, and 1601 projections, respectively. The left images show the spectra of the raw data, while the right images display the corresponding improved FFT after applying DR reconstruction technique (using 4801 projections dataset; (E) corresponding FFT spectra). The central peak in each image represents the low-frequency components and the surrounding diffraction patterns indicating higher frequencies. The changes in the spectra showed the improvement in resolution and frequency distribution with increasing projection numbers and DR reconstruction.</w:t>
      </w:r>
    </w:p>
    <w:p w14:paraId="150E5F2B" w14:textId="77777777" w:rsidR="003453BB" w:rsidRDefault="003453BB" w:rsidP="003453BB">
      <w:pPr>
        <w:jc w:val="center"/>
        <w:rPr>
          <w:rFonts w:ascii="Times New Roman" w:eastAsia="Times New Roman" w:hAnsi="Times New Roman" w:cs="Times New Roman"/>
        </w:rPr>
      </w:pPr>
    </w:p>
    <w:p w14:paraId="6365BDE6" w14:textId="77777777" w:rsidR="003453BB" w:rsidRDefault="003453BB" w:rsidP="003453BB">
      <w:pPr>
        <w:jc w:val="center"/>
        <w:rPr>
          <w:rFonts w:ascii="Times New Roman" w:eastAsia="Times New Roman" w:hAnsi="Times New Roman" w:cs="Times New Roman"/>
        </w:rPr>
      </w:pPr>
    </w:p>
    <w:p w14:paraId="5133131F" w14:textId="77777777" w:rsidR="003453BB" w:rsidRDefault="003453BB" w:rsidP="003453BB">
      <w:pPr>
        <w:rPr>
          <w:rFonts w:ascii="Times New Roman" w:eastAsia="Times New Roman" w:hAnsi="Times New Roman" w:cs="Times New Roman"/>
        </w:rPr>
      </w:pPr>
      <w:r>
        <w:rPr>
          <w:rFonts w:ascii="Times New Roman" w:eastAsia="Times New Roman" w:hAnsi="Times New Roman" w:cs="Times New Roman"/>
        </w:rPr>
        <w:br w:type="page"/>
      </w:r>
    </w:p>
    <w:p w14:paraId="2F715BB0" w14:textId="77777777" w:rsidR="003453BB" w:rsidRDefault="003453BB" w:rsidP="003453BB">
      <w:pPr>
        <w:spacing w:line="48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Signal to noise ratio (SNR), and Contrast to noise ratio (CNR):</w:t>
      </w:r>
    </w:p>
    <w:p w14:paraId="2AD73718" w14:textId="77777777" w:rsidR="003453BB" w:rsidRPr="00701BA2" w:rsidRDefault="003453BB" w:rsidP="003453BB">
      <w:pPr>
        <w:spacing w:line="360" w:lineRule="auto"/>
        <w:jc w:val="both"/>
        <w:rPr>
          <w:rFonts w:ascii="Times New Roman" w:eastAsia="Times New Roman" w:hAnsi="Times New Roman" w:cs="Times New Roman"/>
          <w:sz w:val="24"/>
          <w:szCs w:val="24"/>
        </w:rPr>
      </w:pPr>
      <w:r w:rsidRPr="00BE5BFB">
        <w:rPr>
          <w:rFonts w:ascii="Times New Roman" w:eastAsia="Times New Roman" w:hAnsi="Times New Roman" w:cs="Times New Roman"/>
          <w:sz w:val="24"/>
          <w:szCs w:val="24"/>
        </w:rPr>
        <w:t xml:space="preserve">To assess image quality </w:t>
      </w:r>
      <w:r>
        <w:rPr>
          <w:rFonts w:ascii="Times New Roman" w:eastAsia="Times New Roman" w:hAnsi="Times New Roman" w:cs="Times New Roman"/>
          <w:sz w:val="24"/>
          <w:szCs w:val="24"/>
        </w:rPr>
        <w:t>of FDK and DR reconstructed images</w:t>
      </w:r>
      <w:r w:rsidRPr="00BE5BFB">
        <w:rPr>
          <w:rFonts w:ascii="Times New Roman" w:eastAsia="Times New Roman" w:hAnsi="Times New Roman" w:cs="Times New Roman"/>
          <w:sz w:val="24"/>
          <w:szCs w:val="24"/>
        </w:rPr>
        <w:t>, the SNR</w:t>
      </w:r>
      <w:r>
        <w:rPr>
          <w:rFonts w:ascii="Times New Roman" w:eastAsia="Times New Roman" w:hAnsi="Times New Roman" w:cs="Times New Roman"/>
          <w:sz w:val="24"/>
          <w:szCs w:val="24"/>
        </w:rPr>
        <w:t xml:space="preserve"> and CNR</w:t>
      </w:r>
      <w:r w:rsidRPr="00BE5BF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were </w:t>
      </w:r>
      <w:r w:rsidRPr="00BE5BFB">
        <w:rPr>
          <w:rFonts w:ascii="Times New Roman" w:eastAsia="Times New Roman" w:hAnsi="Times New Roman" w:cs="Times New Roman"/>
          <w:sz w:val="24"/>
          <w:szCs w:val="24"/>
        </w:rPr>
        <w:t>calculated</w:t>
      </w:r>
      <w:r>
        <w:rPr>
          <w:rFonts w:ascii="Times New Roman" w:eastAsia="Times New Roman" w:hAnsi="Times New Roman" w:cs="Times New Roman"/>
          <w:sz w:val="24"/>
          <w:szCs w:val="24"/>
        </w:rPr>
        <w:t xml:space="preserve"> based on the formula</w:t>
      </w: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{"citationItems":[{"id":"ITEM-1","itemData":{"ISSN":"2157-846X","author":[{"dropping-particle":"","family":"Madi","given":"Kamel","non-dropping-particle":"","parse-names":false,"suffix":""},{"dropping-particle":"","family":"Staines","given":"Katherine A","non-dropping-particle":"","parse-names":false,"suffix":""},{"dropping-particle":"","family":"Bay","given":"Brian K","non-dropping-particle":"","parse-names":false,"suffix":""},{"dropping-particle":"","family":"Javaheri","given":"Behzad","non-dropping-particle":"","parse-names":false,"suffix":""},{"dropping-particle":"","family":"Geng","given":"Hua","non-dropping-particle":"","parse-names":false,"suffix":""},{"dropping-particle":"","family":"Bodey","given":"Andrew J","non-dropping-particle":"","parse-names":false,"suffix":""},{"dropping-particle":"","family":"Cartmell","given":"Sarah","non-dropping-particle":"","parse-names":false,"suffix":""},{"dropping-particle":"","family":"Pitsillides","given":"Andrew A","non-dropping-particle":"","parse-names":false,"suffix":""},{"dropping-particle":"","family":"Lee","given":"Peter D","non-dropping-particle":"","parse-names":false,"suffix":""}],"container-title":"Nature biomedical engineering","id":"ITEM-1","issue":"3","issued":{"date-parts":[["2020"]]},"page":"343-354","publisher":"Nature Publishing Group UK London","title":"In situ characterization of nanoscale strains in loaded whole joints via synchrotron X-ray tomography","type":"article-journal","volume":"4"},"uris":["http://www.mendeley.com/documents/?uuid=0a6c89c5-613e-4088-8c82-19c6be6f5bb1"]}],"mendeley":{"formattedCitation":"&lt;sup&gt;25&lt;/sup&gt;","plainTextFormattedCitation":"25","previouslyFormattedCitation":"&lt;sup&gt;25&lt;/sup&gt;"},"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4C1076">
        <w:rPr>
          <w:rFonts w:ascii="Times New Roman" w:eastAsia="Times New Roman" w:hAnsi="Times New Roman" w:cs="Times New Roman"/>
          <w:noProof/>
          <w:sz w:val="24"/>
          <w:szCs w:val="24"/>
          <w:vertAlign w:val="superscript"/>
        </w:rPr>
        <w:t>25</w:t>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w:t>
      </w:r>
    </w:p>
    <w:p w14:paraId="1D696A7D" w14:textId="77777777" w:rsidR="003453BB" w:rsidRDefault="003453BB" w:rsidP="003453BB">
      <w:pPr>
        <w:jc w:val="center"/>
        <w:rPr>
          <w:rFonts w:ascii="Cambria Math" w:eastAsia="Cambria Math" w:hAnsi="Cambria Math" w:cs="Cambria Math"/>
        </w:rPr>
      </w:pPr>
      <m:oMath>
        <m:r>
          <w:rPr>
            <w:rFonts w:ascii="Cambria Math" w:eastAsia="Cambria Math" w:hAnsi="Cambria Math" w:cs="Cambria Math"/>
          </w:rPr>
          <m:t xml:space="preserve">SNR= </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µ</m:t>
                </m:r>
              </m:e>
              <m:sub>
                <m:r>
                  <w:rPr>
                    <w:rFonts w:ascii="Cambria Math" w:eastAsia="Cambria Math" w:hAnsi="Cambria Math" w:cs="Cambria Math"/>
                  </w:rPr>
                  <m:t>bone</m:t>
                </m:r>
              </m:sub>
            </m:sSub>
            <m:r>
              <w:rPr>
                <w:rFonts w:ascii="Cambria Math" w:eastAsia="Cambria Math" w:hAnsi="Cambria Math" w:cs="Cambria Math"/>
              </w:rPr>
              <m:t xml:space="preserve">- </m:t>
            </m:r>
            <m:sSub>
              <m:sSubPr>
                <m:ctrlPr>
                  <w:rPr>
                    <w:rFonts w:ascii="Cambria Math" w:eastAsia="Cambria Math" w:hAnsi="Cambria Math" w:cs="Cambria Math"/>
                  </w:rPr>
                </m:ctrlPr>
              </m:sSubPr>
              <m:e>
                <m:r>
                  <w:rPr>
                    <w:rFonts w:ascii="Cambria Math" w:eastAsia="Cambria Math" w:hAnsi="Cambria Math" w:cs="Cambria Math"/>
                  </w:rPr>
                  <m:t>µ</m:t>
                </m:r>
              </m:e>
              <m:sub>
                <m:r>
                  <w:rPr>
                    <w:rFonts w:ascii="Cambria Math" w:eastAsia="Cambria Math" w:hAnsi="Cambria Math" w:cs="Cambria Math"/>
                  </w:rPr>
                  <m:t>air</m:t>
                </m:r>
              </m:sub>
            </m:sSub>
          </m:num>
          <m:den>
            <m:rad>
              <m:radPr>
                <m:degHide m:val="1"/>
                <m:ctrlPr>
                  <w:rPr>
                    <w:rFonts w:ascii="Cambria Math" w:eastAsia="Cambria Math" w:hAnsi="Cambria Math" w:cs="Cambria Math"/>
                  </w:rPr>
                </m:ctrlPr>
              </m:radPr>
              <m:deg/>
              <m:e>
                <m:sSubSup>
                  <m:sSubSupPr>
                    <m:ctrlPr>
                      <w:rPr>
                        <w:rFonts w:ascii="Cambria Math" w:eastAsia="Cambria Math" w:hAnsi="Cambria Math" w:cs="Cambria Math"/>
                      </w:rPr>
                    </m:ctrlPr>
                  </m:sSubSupPr>
                  <m:e>
                    <m:r>
                      <w:rPr>
                        <w:rFonts w:ascii="Cambria Math" w:eastAsia="Cambria Math" w:hAnsi="Cambria Math" w:cs="Cambria Math"/>
                      </w:rPr>
                      <m:t>σ</m:t>
                    </m:r>
                  </m:e>
                  <m:sub>
                    <m:r>
                      <w:rPr>
                        <w:rFonts w:ascii="Cambria Math" w:eastAsia="Cambria Math" w:hAnsi="Cambria Math" w:cs="Cambria Math"/>
                      </w:rPr>
                      <m:t>bone</m:t>
                    </m:r>
                  </m:sub>
                  <m:sup>
                    <m:r>
                      <w:rPr>
                        <w:rFonts w:ascii="Cambria Math" w:eastAsia="Cambria Math" w:hAnsi="Cambria Math" w:cs="Cambria Math"/>
                      </w:rPr>
                      <m:t>2</m:t>
                    </m:r>
                  </m:sup>
                </m:sSubSup>
                <m:r>
                  <w:rPr>
                    <w:rFonts w:ascii="Cambria Math" w:eastAsia="Cambria Math" w:hAnsi="Cambria Math" w:cs="Cambria Math"/>
                  </w:rPr>
                  <m:t xml:space="preserve">- </m:t>
                </m:r>
                <m:sSubSup>
                  <m:sSubSupPr>
                    <m:ctrlPr>
                      <w:rPr>
                        <w:rFonts w:ascii="Cambria Math" w:eastAsia="Cambria Math" w:hAnsi="Cambria Math" w:cs="Cambria Math"/>
                      </w:rPr>
                    </m:ctrlPr>
                  </m:sSubSupPr>
                  <m:e>
                    <m:r>
                      <w:rPr>
                        <w:rFonts w:ascii="Cambria Math" w:eastAsia="Cambria Math" w:hAnsi="Cambria Math" w:cs="Cambria Math"/>
                      </w:rPr>
                      <m:t>σ</m:t>
                    </m:r>
                  </m:e>
                  <m:sub>
                    <m:r>
                      <w:rPr>
                        <w:rFonts w:ascii="Cambria Math" w:eastAsia="Cambria Math" w:hAnsi="Cambria Math" w:cs="Cambria Math"/>
                      </w:rPr>
                      <m:t>air</m:t>
                    </m:r>
                  </m:sub>
                  <m:sup>
                    <m:r>
                      <w:rPr>
                        <w:rFonts w:ascii="Cambria Math" w:eastAsia="Cambria Math" w:hAnsi="Cambria Math" w:cs="Cambria Math"/>
                      </w:rPr>
                      <m:t>2</m:t>
                    </m:r>
                  </m:sup>
                </m:sSubSup>
              </m:e>
            </m:rad>
          </m:den>
        </m:f>
      </m:oMath>
      <w:r>
        <w:rPr>
          <w:rFonts w:ascii="Cambria Math" w:eastAsia="Cambria Math" w:hAnsi="Cambria Math" w:cs="Cambria Math"/>
        </w:rPr>
        <w:t xml:space="preserve">     </w:t>
      </w:r>
      <m:oMath>
        <m:r>
          <w:rPr>
            <w:rFonts w:ascii="Cambria Math" w:eastAsia="Cambria Math" w:hAnsi="Cambria Math" w:cs="Cambria Math"/>
          </w:rPr>
          <m:t xml:space="preserve">CNR= </m:t>
        </m:r>
        <m:f>
          <m:fPr>
            <m:ctrlPr>
              <w:rPr>
                <w:rFonts w:ascii="Cambria Math" w:eastAsia="Cambria Math" w:hAnsi="Cambria Math" w:cs="Cambria Math"/>
              </w:rPr>
            </m:ctrlPr>
          </m:fPr>
          <m:num>
            <m:sSub>
              <m:sSubPr>
                <m:ctrlPr>
                  <w:rPr>
                    <w:rFonts w:ascii="Cambria Math" w:eastAsia="Cambria Math" w:hAnsi="Cambria Math" w:cs="Cambria Math"/>
                  </w:rPr>
                </m:ctrlPr>
              </m:sSubPr>
              <m:e>
                <m:r>
                  <w:rPr>
                    <w:rFonts w:ascii="Cambria Math" w:eastAsia="Cambria Math" w:hAnsi="Cambria Math" w:cs="Cambria Math"/>
                  </w:rPr>
                  <m:t>µ</m:t>
                </m:r>
              </m:e>
              <m:sub>
                <m:r>
                  <w:rPr>
                    <w:rFonts w:ascii="Cambria Math" w:eastAsia="Cambria Math" w:hAnsi="Cambria Math" w:cs="Cambria Math"/>
                  </w:rPr>
                  <m:t>bone</m:t>
                </m:r>
              </m:sub>
            </m:sSub>
            <m:r>
              <w:rPr>
                <w:rFonts w:ascii="Cambria Math" w:eastAsia="Cambria Math" w:hAnsi="Cambria Math" w:cs="Cambria Math"/>
              </w:rPr>
              <m:t xml:space="preserve">- </m:t>
            </m:r>
            <m:sSub>
              <m:sSubPr>
                <m:ctrlPr>
                  <w:rPr>
                    <w:rFonts w:ascii="Cambria Math" w:eastAsia="Cambria Math" w:hAnsi="Cambria Math" w:cs="Cambria Math"/>
                  </w:rPr>
                </m:ctrlPr>
              </m:sSubPr>
              <m:e>
                <m:r>
                  <w:rPr>
                    <w:rFonts w:ascii="Cambria Math" w:eastAsia="Cambria Math" w:hAnsi="Cambria Math" w:cs="Cambria Math"/>
                  </w:rPr>
                  <m:t>µ</m:t>
                </m:r>
              </m:e>
              <m:sub>
                <m:r>
                  <w:rPr>
                    <w:rFonts w:ascii="Cambria Math" w:eastAsia="Cambria Math" w:hAnsi="Cambria Math" w:cs="Cambria Math"/>
                  </w:rPr>
                  <m:t>air</m:t>
                </m:r>
              </m:sub>
            </m:sSub>
          </m:num>
          <m:den>
            <m:sSub>
              <m:sSubPr>
                <m:ctrlPr>
                  <w:rPr>
                    <w:rFonts w:ascii="Cambria Math" w:eastAsia="Cambria Math" w:hAnsi="Cambria Math" w:cs="Cambria Math"/>
                  </w:rPr>
                </m:ctrlPr>
              </m:sSubPr>
              <m:e>
                <m:r>
                  <w:rPr>
                    <w:rFonts w:ascii="Cambria Math" w:eastAsia="Cambria Math" w:hAnsi="Cambria Math" w:cs="Cambria Math"/>
                  </w:rPr>
                  <m:t>σ</m:t>
                </m:r>
              </m:e>
              <m:sub>
                <m:r>
                  <w:rPr>
                    <w:rFonts w:ascii="Cambria Math" w:eastAsia="Cambria Math" w:hAnsi="Cambria Math" w:cs="Cambria Math"/>
                  </w:rPr>
                  <m:t>air</m:t>
                </m:r>
              </m:sub>
            </m:sSub>
          </m:den>
        </m:f>
      </m:oMath>
    </w:p>
    <w:p w14:paraId="7026FDEC" w14:textId="77777777" w:rsidR="003453BB" w:rsidRPr="00701BA2" w:rsidRDefault="003453BB" w:rsidP="003453BB">
      <w:pPr>
        <w:spacing w:line="360" w:lineRule="auto"/>
        <w:jc w:val="both"/>
        <w:rPr>
          <w:rFonts w:ascii="Times New Roman" w:eastAsia="Times New Roman" w:hAnsi="Times New Roman" w:cs="Times New Roman"/>
          <w:sz w:val="24"/>
          <w:szCs w:val="24"/>
        </w:rPr>
      </w:pPr>
      <w:r w:rsidRPr="00701BA2">
        <w:rPr>
          <w:rFonts w:ascii="Times New Roman" w:eastAsia="Times New Roman" w:hAnsi="Times New Roman" w:cs="Times New Roman"/>
          <w:sz w:val="24"/>
          <w:szCs w:val="24"/>
        </w:rPr>
        <w:t xml:space="preserve">Where, </w:t>
      </w: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µ</m:t>
            </m:r>
          </m:e>
          <m:sub>
            <m:r>
              <w:rPr>
                <w:rFonts w:ascii="Cambria Math" w:eastAsia="Times New Roman" w:hAnsi="Cambria Math" w:cs="Times New Roman"/>
                <w:sz w:val="24"/>
                <w:szCs w:val="24"/>
              </w:rPr>
              <m:t>bone</m:t>
            </m:r>
          </m:sub>
        </m:sSub>
      </m:oMath>
      <w:r>
        <w:rPr>
          <w:rFonts w:ascii="Times New Roman" w:eastAsia="Times New Roman" w:hAnsi="Times New Roman" w:cs="Times New Roman"/>
          <w:sz w:val="24"/>
          <w:szCs w:val="24"/>
        </w:rPr>
        <w:t xml:space="preserve"> and </w:t>
      </w: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µ</m:t>
            </m:r>
          </m:e>
          <m:sub>
            <m:r>
              <w:rPr>
                <w:rFonts w:ascii="Cambria Math" w:eastAsia="Times New Roman" w:hAnsi="Cambria Math" w:cs="Times New Roman"/>
                <w:sz w:val="24"/>
                <w:szCs w:val="24"/>
              </w:rPr>
              <m:t>air</m:t>
            </m:r>
          </m:sub>
        </m:sSub>
      </m:oMath>
      <w:r>
        <w:rPr>
          <w:rFonts w:ascii="Times New Roman" w:eastAsia="Times New Roman" w:hAnsi="Times New Roman" w:cs="Times New Roman"/>
          <w:sz w:val="24"/>
          <w:szCs w:val="24"/>
        </w:rPr>
        <w:t xml:space="preserve"> </w:t>
      </w:r>
      <w:r w:rsidRPr="00701BA2">
        <w:rPr>
          <w:rFonts w:ascii="Times New Roman" w:eastAsia="Times New Roman" w:hAnsi="Times New Roman" w:cs="Times New Roman"/>
          <w:sz w:val="24"/>
          <w:szCs w:val="24"/>
        </w:rPr>
        <w:t xml:space="preserve">represent the mean intensities of patches corresponding to bone and background regions, respectively. </w:t>
      </w: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σ</m:t>
            </m:r>
          </m:e>
          <m:sub>
            <m:r>
              <w:rPr>
                <w:rFonts w:ascii="Cambria Math" w:eastAsia="Times New Roman" w:hAnsi="Cambria Math" w:cs="Times New Roman"/>
                <w:sz w:val="24"/>
                <w:szCs w:val="24"/>
              </w:rPr>
              <m:t>bone</m:t>
            </m:r>
          </m:sub>
        </m:sSub>
      </m:oMath>
      <w:r>
        <w:rPr>
          <w:rFonts w:ascii="Times New Roman" w:eastAsia="Times New Roman" w:hAnsi="Times New Roman" w:cs="Times New Roman"/>
          <w:sz w:val="24"/>
          <w:szCs w:val="24"/>
        </w:rPr>
        <w:t xml:space="preserve"> and </w:t>
      </w: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σ</m:t>
            </m:r>
          </m:e>
          <m:sub>
            <m:r>
              <w:rPr>
                <w:rFonts w:ascii="Cambria Math" w:eastAsia="Times New Roman" w:hAnsi="Cambria Math" w:cs="Times New Roman"/>
                <w:sz w:val="24"/>
                <w:szCs w:val="24"/>
              </w:rPr>
              <m:t>air</m:t>
            </m:r>
          </m:sub>
        </m:sSub>
      </m:oMath>
      <w:r>
        <w:rPr>
          <w:rFonts w:ascii="Times New Roman" w:eastAsia="Times New Roman" w:hAnsi="Times New Roman" w:cs="Times New Roman"/>
          <w:sz w:val="24"/>
          <w:szCs w:val="24"/>
        </w:rPr>
        <w:t xml:space="preserve"> </w:t>
      </w:r>
      <w:r w:rsidRPr="00701BA2">
        <w:rPr>
          <w:rFonts w:ascii="Times New Roman" w:eastAsia="Times New Roman" w:hAnsi="Times New Roman" w:cs="Times New Roman"/>
          <w:sz w:val="24"/>
          <w:szCs w:val="24"/>
        </w:rPr>
        <w:t>denote the standard deviations of pixel intensities within the same bone and background patches.</w:t>
      </w:r>
      <w:r>
        <w:rPr>
          <w:rFonts w:ascii="Times New Roman" w:eastAsia="Times New Roman" w:hAnsi="Times New Roman" w:cs="Times New Roman"/>
          <w:sz w:val="24"/>
          <w:szCs w:val="24"/>
        </w:rPr>
        <w:t xml:space="preserve"> For CNR, a</w:t>
      </w:r>
      <w:r w:rsidRPr="00145543">
        <w:rPr>
          <w:rFonts w:ascii="Times New Roman" w:eastAsia="Times New Roman" w:hAnsi="Times New Roman" w:cs="Times New Roman"/>
          <w:sz w:val="24"/>
          <w:szCs w:val="24"/>
        </w:rPr>
        <w:t xml:space="preserve"> Small bone assembly CT phantom was utilized in this study to evaluate and calibrate imaging quality. The phantom is made with calcium inserts that simulate bone-like materials, featuring densities of 1.82 g/cm³ (1073 mg HA/cm³) and 1.56 g/cm³ (695 mg HA/cm³), which are representative of bone and mineralized tissue ranges. </w:t>
      </w:r>
    </w:p>
    <w:p w14:paraId="22E82FA3" w14:textId="77777777" w:rsidR="003453BB" w:rsidRDefault="003453BB" w:rsidP="003453BB">
      <w:pPr>
        <w:jc w:val="center"/>
        <w:rPr>
          <w:noProof/>
        </w:rPr>
      </w:pPr>
      <w:r w:rsidRPr="00A215C4">
        <w:rPr>
          <w:noProof/>
        </w:rPr>
        <w:t xml:space="preserve"> </w:t>
      </w:r>
      <w:r w:rsidRPr="006C1E0E">
        <w:rPr>
          <w:noProof/>
        </w:rPr>
        <w:drawing>
          <wp:inline distT="0" distB="0" distL="0" distR="0" wp14:anchorId="47DAF891" wp14:editId="25150904">
            <wp:extent cx="5501640" cy="2911534"/>
            <wp:effectExtent l="0" t="0" r="3810" b="0"/>
            <wp:docPr id="16" name="Picture 11" descr="A close-up of a microscope&#10;&#10;AI-generated content may be incorrect.">
              <a:extLst xmlns:a="http://schemas.openxmlformats.org/drawingml/2006/main">
                <a:ext uri="{FF2B5EF4-FFF2-40B4-BE49-F238E27FC236}">
                  <a16:creationId xmlns:a16="http://schemas.microsoft.com/office/drawing/2014/main" id="{CA14438B-6944-4710-9C6B-3AFE74A83C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1" descr="A close-up of a microscope&#10;&#10;AI-generated content may be incorrect.">
                      <a:extLst>
                        <a:ext uri="{FF2B5EF4-FFF2-40B4-BE49-F238E27FC236}">
                          <a16:creationId xmlns:a16="http://schemas.microsoft.com/office/drawing/2014/main" id="{CA14438B-6944-4710-9C6B-3AFE74A83C39}"/>
                        </a:ext>
                      </a:extLst>
                    </pic:cNvPr>
                    <pic:cNvPicPr>
                      <a:picLocks noChangeAspect="1"/>
                    </pic:cNvPicPr>
                  </pic:nvPicPr>
                  <pic:blipFill rotWithShape="1">
                    <a:blip r:embed="rId8"/>
                    <a:srcRect t="2877"/>
                    <a:stretch/>
                  </pic:blipFill>
                  <pic:spPr bwMode="auto">
                    <a:xfrm>
                      <a:off x="0" y="0"/>
                      <a:ext cx="5518304" cy="2920353"/>
                    </a:xfrm>
                    <a:prstGeom prst="rect">
                      <a:avLst/>
                    </a:prstGeom>
                    <a:ln>
                      <a:noFill/>
                    </a:ln>
                    <a:extLst>
                      <a:ext uri="{53640926-AAD7-44D8-BBD7-CCE9431645EC}">
                        <a14:shadowObscured xmlns:a14="http://schemas.microsoft.com/office/drawing/2010/main"/>
                      </a:ext>
                    </a:extLst>
                  </pic:spPr>
                </pic:pic>
              </a:graphicData>
            </a:graphic>
          </wp:inline>
        </w:drawing>
      </w:r>
      <w:r w:rsidRPr="00A215C4">
        <w:rPr>
          <w:noProof/>
        </w:rPr>
        <w:t xml:space="preserve"> </w:t>
      </w:r>
    </w:p>
    <w:p w14:paraId="40783F14" w14:textId="77777777" w:rsidR="003453BB" w:rsidRPr="00AF1581" w:rsidRDefault="003453BB" w:rsidP="003453BB">
      <w:pPr>
        <w:jc w:val="both"/>
        <w:rPr>
          <w:rFonts w:ascii="Times New Roman" w:hAnsi="Times New Roman" w:cs="Times New Roman"/>
          <w:noProof/>
          <w:sz w:val="24"/>
        </w:rPr>
      </w:pPr>
      <w:r w:rsidRPr="006F46FB">
        <w:rPr>
          <w:rFonts w:ascii="Times New Roman" w:hAnsi="Times New Roman" w:cs="Times New Roman"/>
          <w:b/>
          <w:i/>
          <w:noProof/>
          <w:sz w:val="24"/>
        </w:rPr>
        <w:t>Sup. Figure 3.</w:t>
      </w:r>
      <w:r w:rsidRPr="00AF1581">
        <w:rPr>
          <w:rFonts w:ascii="Times New Roman" w:hAnsi="Times New Roman" w:cs="Times New Roman"/>
          <w:noProof/>
          <w:sz w:val="24"/>
        </w:rPr>
        <w:t xml:space="preserve"> (A) Micro-CT image illustrating the placement of the circular patches within the quasi uniform-density of two distinct regions of the image. Five pairs of patches were randomly selected across the field of view. Regions of interest selected for SNR and CNR calculation are highlighted: red circles indicate areas of signal measurement within the bone or CFC tissues, while yellow circles mark background and soft tissues noise regions. (B) SNR comparison between original FDK and DR reconstruction methods across different projection numbers (201, 401, 801, and 1601). The DR method shows a significant increase in SNR.</w:t>
      </w:r>
    </w:p>
    <w:p w14:paraId="6018CB50" w14:textId="77777777" w:rsidR="003453BB" w:rsidRDefault="003453BB" w:rsidP="003453BB">
      <w:pPr>
        <w:jc w:val="center"/>
        <w:rPr>
          <w:rFonts w:ascii="Times New Roman" w:eastAsia="Times New Roman" w:hAnsi="Times New Roman" w:cs="Times New Roman"/>
        </w:rPr>
      </w:pPr>
    </w:p>
    <w:p w14:paraId="323CAF3A" w14:textId="77777777" w:rsidR="003453BB" w:rsidRDefault="003453BB" w:rsidP="003453BB">
      <w:pPr>
        <w:rPr>
          <w:rFonts w:ascii="Times New Roman" w:eastAsia="Times New Roman" w:hAnsi="Times New Roman" w:cs="Times New Roman"/>
        </w:rPr>
      </w:pPr>
      <w:r>
        <w:rPr>
          <w:rFonts w:ascii="Times New Roman" w:eastAsia="Times New Roman" w:hAnsi="Times New Roman" w:cs="Times New Roman"/>
        </w:rPr>
        <w:br w:type="page"/>
      </w:r>
    </w:p>
    <w:p w14:paraId="5D1B24E0" w14:textId="77777777" w:rsidR="003453BB" w:rsidRDefault="003453BB" w:rsidP="003453BB">
      <w:pPr>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DVC Correlation Value, and accuracy (MAER)</w:t>
      </w:r>
    </w:p>
    <w:p w14:paraId="75629949" w14:textId="77777777" w:rsidR="003453BB" w:rsidRDefault="003453BB" w:rsidP="003453BB">
      <w:pPr>
        <w:spacing w:line="360" w:lineRule="auto"/>
        <w:jc w:val="both"/>
        <w:rPr>
          <w:rFonts w:ascii="Times New Roman" w:eastAsia="Times New Roman" w:hAnsi="Times New Roman" w:cs="Times New Roman"/>
          <w:sz w:val="24"/>
          <w:szCs w:val="24"/>
        </w:rPr>
      </w:pPr>
      <w:r w:rsidRPr="00E94116">
        <w:rPr>
          <w:rFonts w:ascii="Times New Roman" w:eastAsia="Times New Roman" w:hAnsi="Times New Roman" w:cs="Times New Roman"/>
          <w:sz w:val="24"/>
          <w:szCs w:val="24"/>
        </w:rPr>
        <w:t>For the analysis of DVC uncertainties, two consecutive tomograms were acquired under zero-strain conditions</w:t>
      </w: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{"citationItems":[{"id":"ITEM-1","itemData":{"DOI":"10.1016/j.jbiomech.2007.04.019","ISSN":"00219290","abstract":"Strain measurement is an essential tool in the study of trabecular bone structure-function relationships. Digital volume correlation (DVC) is a measurement technique that quantifies strains throughout the interior of a specimen, rather than simply those on the surface. DVC relies on tracking the movement of microstructural features, and as such, the accuracy and precision of this technique may depend on trabecular structure. This study quantified displacement and strain measurement errors in six types of trabecular bone that spanned a wide range of volume fraction and trabecular architecture. Accuracy and precision were compared across bone type and also across three DVC methods. Both simulated and real displacement fields were analyzed using micro-computed tomography images of specimens from the bovine distal femur, bovine proximal tibia, rabbit distal femur, rabbit proximal tibia, rabbit vertebra, and human vertebra. Differences as large as three-fold in accuracy and precision of the displacements and strains were found among DVC methods and among bone types. The displacement precision and the strain accuracy and precision were correlated with measures of trabecular structure such as structural model index. These results demonstrate that the performance of the DVC technique can depend on trabecular structure. Across all bone types, the displacement and strain errors ranged 1.86-3.39 μm and 345-794 με, respectively. For specimens from the human vertebra and bovine distal femur, the measurement errors were approximately 20 times smaller than the yield strain. In these cases, DVC is a viable technique for measuring pre- and post-yield strains throughout trabecular bone specimens and the trabecular compartment of whole bones. © 2007 Elsevier Ltd. All rights reserved.","author":[{"dropping-particle":"","family":"Liu","given":"Li","non-dropping-particle":"","parse-names":false,"suffix":""},{"dropping-particle":"","family":"Morgan","given":"Elise F.","non-dropping-particle":"","parse-names":false,"suffix":""}],"container-title":"Journal of Biomechanics","id":"ITEM-1","issue":"15","issued":{"date-parts":[["2007"]]},"title":"Accuracy and precision of digital volume correlation in quantifying displacements and strains in trabecular bone","type":"article-journal","volume":"40"},"uris":["http://www.mendeley.com/documents/?uuid=50af1932-fbc5-31f0-b32c-4d78c8a5e776"]}],"mendeley":{"formattedCitation":"&lt;sup&gt;51&lt;/sup&gt;","plainTextFormattedCitation":"51","previouslyFormattedCitation":"&lt;sup&gt;51&lt;/sup&gt;"},"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5B181E">
        <w:rPr>
          <w:rFonts w:ascii="Times New Roman" w:eastAsia="Times New Roman" w:hAnsi="Times New Roman" w:cs="Times New Roman"/>
          <w:noProof/>
          <w:sz w:val="24"/>
          <w:szCs w:val="24"/>
          <w:vertAlign w:val="superscript"/>
        </w:rPr>
        <w:t>51</w:t>
      </w:r>
      <w:r>
        <w:rPr>
          <w:rFonts w:ascii="Times New Roman" w:eastAsia="Times New Roman" w:hAnsi="Times New Roman" w:cs="Times New Roman"/>
          <w:sz w:val="24"/>
          <w:szCs w:val="24"/>
        </w:rPr>
        <w:fldChar w:fldCharType="end"/>
      </w:r>
      <w:r w:rsidRPr="00E94116">
        <w:rPr>
          <w:rFonts w:ascii="Times New Roman" w:eastAsia="Times New Roman" w:hAnsi="Times New Roman" w:cs="Times New Roman"/>
          <w:sz w:val="24"/>
          <w:szCs w:val="24"/>
        </w:rPr>
        <w:t xml:space="preserve">. The DVC strain uncertainties were evaluated using a single-step sub-volume approach, starting with a sub-volume voxel size </w:t>
      </w:r>
      <w:r>
        <w:rPr>
          <w:rFonts w:ascii="Times New Roman" w:eastAsia="Times New Roman" w:hAnsi="Times New Roman" w:cs="Times New Roman"/>
          <w:sz w:val="24"/>
          <w:szCs w:val="24"/>
        </w:rPr>
        <w:t>12</w:t>
      </w:r>
      <w:r w:rsidRPr="00E9411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E94116">
        <w:rPr>
          <w:rFonts w:ascii="Times New Roman" w:eastAsia="Times New Roman" w:hAnsi="Times New Roman" w:cs="Times New Roman"/>
          <w:sz w:val="24"/>
          <w:szCs w:val="24"/>
        </w:rPr>
        <w:t>pixel size 1.33 μm) and progressively increasing up to 5</w:t>
      </w:r>
      <w:r>
        <w:rPr>
          <w:rFonts w:ascii="Times New Roman" w:eastAsia="Times New Roman" w:hAnsi="Times New Roman" w:cs="Times New Roman"/>
          <w:sz w:val="24"/>
          <w:szCs w:val="24"/>
        </w:rPr>
        <w:t>2</w:t>
      </w:r>
      <w:r w:rsidRPr="00E94116">
        <w:rPr>
          <w:rFonts w:ascii="Times New Roman" w:eastAsia="Times New Roman" w:hAnsi="Times New Roman" w:cs="Times New Roman"/>
          <w:sz w:val="24"/>
          <w:szCs w:val="24"/>
        </w:rPr>
        <w:t xml:space="preserve">. </w:t>
      </w:r>
      <w:r w:rsidRPr="00A41FD3">
        <w:rPr>
          <w:rFonts w:ascii="Times New Roman" w:eastAsia="Times New Roman" w:hAnsi="Times New Roman" w:cs="Times New Roman"/>
          <w:sz w:val="24"/>
          <w:szCs w:val="24"/>
        </w:rPr>
        <w:t>The six components of deformation (Ɛxx, Ɛxy, Ɛxz, Ɛyy, Ɛyz, Ɛzz) were extracted</w:t>
      </w:r>
      <w:r>
        <w:rPr>
          <w:rFonts w:ascii="Times New Roman" w:eastAsia="Times New Roman" w:hAnsi="Times New Roman" w:cs="Times New Roman"/>
          <w:sz w:val="24"/>
          <w:szCs w:val="24"/>
        </w:rPr>
        <w:t xml:space="preserve"> and t</w:t>
      </w:r>
      <w:r w:rsidRPr="00E94116">
        <w:rPr>
          <w:rFonts w:ascii="Times New Roman" w:eastAsia="Times New Roman" w:hAnsi="Times New Roman" w:cs="Times New Roman"/>
          <w:sz w:val="24"/>
          <w:szCs w:val="24"/>
        </w:rPr>
        <w:t>he mean absolute error (MAER) w</w:t>
      </w:r>
      <w:r>
        <w:rPr>
          <w:rFonts w:ascii="Times New Roman" w:eastAsia="Times New Roman" w:hAnsi="Times New Roman" w:cs="Times New Roman"/>
          <w:sz w:val="24"/>
          <w:szCs w:val="24"/>
        </w:rPr>
        <w:t>as</w:t>
      </w:r>
      <w:r w:rsidRPr="00E94116">
        <w:rPr>
          <w:rFonts w:ascii="Times New Roman" w:eastAsia="Times New Roman" w:hAnsi="Times New Roman" w:cs="Times New Roman"/>
          <w:sz w:val="24"/>
          <w:szCs w:val="24"/>
        </w:rPr>
        <w:t xml:space="preserve"> calculated</w:t>
      </w:r>
      <w:r>
        <w:rPr>
          <w:rFonts w:ascii="Times New Roman" w:eastAsia="Times New Roman" w:hAnsi="Times New Roman" w:cs="Times New Roman"/>
          <w:sz w:val="24"/>
          <w:szCs w:val="24"/>
        </w:rPr>
        <w:t xml:space="preserve"> for different reconstruction methods and projection number.</w:t>
      </w:r>
    </w:p>
    <w:p w14:paraId="629F85A5" w14:textId="77777777" w:rsidR="003453BB" w:rsidRDefault="003453BB" w:rsidP="003453BB">
      <w:pPr>
        <w:spacing w:line="360" w:lineRule="auto"/>
        <w:jc w:val="both"/>
        <w:rPr>
          <w:rFonts w:ascii="Times New Roman" w:eastAsia="Times New Roman" w:hAnsi="Times New Roman" w:cs="Times New Roman"/>
          <w:sz w:val="24"/>
          <w:szCs w:val="24"/>
        </w:rPr>
      </w:pPr>
      <w:r w:rsidRPr="004D1CC2">
        <w:rPr>
          <w:rFonts w:ascii="Times New Roman" w:eastAsia="Times New Roman" w:hAnsi="Times New Roman" w:cs="Times New Roman"/>
          <w:sz w:val="24"/>
          <w:szCs w:val="24"/>
        </w:rPr>
        <w:t>By measuring the DVC correlation values for Filtered Back Projection and Deep Reconstruction</w:t>
      </w:r>
      <w:r>
        <w:rPr>
          <w:rFonts w:ascii="Times New Roman" w:eastAsia="Times New Roman" w:hAnsi="Times New Roman" w:cs="Times New Roman"/>
          <w:sz w:val="24"/>
          <w:szCs w:val="24"/>
        </w:rPr>
        <w:t xml:space="preserve"> </w:t>
      </w:r>
      <w:r w:rsidRPr="004D1CC2">
        <w:rPr>
          <w:rFonts w:ascii="Times New Roman" w:eastAsia="Times New Roman" w:hAnsi="Times New Roman" w:cs="Times New Roman"/>
          <w:sz w:val="24"/>
          <w:szCs w:val="24"/>
        </w:rPr>
        <w:t xml:space="preserve">methods under </w:t>
      </w:r>
      <w:r>
        <w:rPr>
          <w:rFonts w:ascii="Times New Roman" w:eastAsia="Times New Roman" w:hAnsi="Times New Roman" w:cs="Times New Roman"/>
          <w:sz w:val="24"/>
          <w:szCs w:val="24"/>
        </w:rPr>
        <w:t>different</w:t>
      </w:r>
      <w:r w:rsidRPr="004D1CC2">
        <w:rPr>
          <w:rFonts w:ascii="Times New Roman" w:eastAsia="Times New Roman" w:hAnsi="Times New Roman" w:cs="Times New Roman"/>
          <w:sz w:val="24"/>
          <w:szCs w:val="24"/>
        </w:rPr>
        <w:t xml:space="preserve"> projection numbers, we observed that DR consistently demonstrated higher </w:t>
      </w:r>
      <w:r>
        <w:rPr>
          <w:rFonts w:ascii="Times New Roman" w:eastAsia="Times New Roman" w:hAnsi="Times New Roman" w:cs="Times New Roman"/>
          <w:sz w:val="24"/>
          <w:szCs w:val="24"/>
        </w:rPr>
        <w:t xml:space="preserve">DVC </w:t>
      </w:r>
      <w:r w:rsidRPr="004D1CC2">
        <w:rPr>
          <w:rFonts w:ascii="Times New Roman" w:eastAsia="Times New Roman" w:hAnsi="Times New Roman" w:cs="Times New Roman"/>
          <w:sz w:val="24"/>
          <w:szCs w:val="24"/>
        </w:rPr>
        <w:t>correlation values compared to FDK. The improvement was most notable at lower projection numbers (e.g., 201), where FDK displayed significantly lower correlation values. As the number of projections increased, the correlation values for both methods improved</w:t>
      </w:r>
      <w:r>
        <w:rPr>
          <w:rFonts w:ascii="Times New Roman" w:eastAsia="Times New Roman" w:hAnsi="Times New Roman" w:cs="Times New Roman"/>
          <w:sz w:val="24"/>
          <w:szCs w:val="24"/>
        </w:rPr>
        <w:t xml:space="preserve">. Nevertheless, </w:t>
      </w:r>
      <w:r w:rsidRPr="004D1CC2">
        <w:rPr>
          <w:rFonts w:ascii="Times New Roman" w:eastAsia="Times New Roman" w:hAnsi="Times New Roman" w:cs="Times New Roman"/>
          <w:sz w:val="24"/>
          <w:szCs w:val="24"/>
        </w:rPr>
        <w:t xml:space="preserve">DR maintained a consistently </w:t>
      </w:r>
      <w:r>
        <w:rPr>
          <w:rFonts w:ascii="Times New Roman" w:eastAsia="Times New Roman" w:hAnsi="Times New Roman" w:cs="Times New Roman"/>
          <w:sz w:val="24"/>
          <w:szCs w:val="24"/>
        </w:rPr>
        <w:t>higher value</w:t>
      </w:r>
      <w:r w:rsidRPr="004D1CC2">
        <w:rPr>
          <w:rFonts w:ascii="Times New Roman" w:eastAsia="Times New Roman" w:hAnsi="Times New Roman" w:cs="Times New Roman"/>
          <w:sz w:val="24"/>
          <w:szCs w:val="24"/>
        </w:rPr>
        <w:t xml:space="preserve">. The statistical analysis </w:t>
      </w:r>
      <w:r>
        <w:rPr>
          <w:rFonts w:ascii="Times New Roman" w:eastAsia="Times New Roman" w:hAnsi="Times New Roman" w:cs="Times New Roman"/>
          <w:sz w:val="24"/>
          <w:szCs w:val="24"/>
        </w:rPr>
        <w:t>showed the</w:t>
      </w:r>
      <w:r w:rsidRPr="004D1CC2">
        <w:rPr>
          <w:rFonts w:ascii="Times New Roman" w:eastAsia="Times New Roman" w:hAnsi="Times New Roman" w:cs="Times New Roman"/>
          <w:sz w:val="24"/>
          <w:szCs w:val="24"/>
        </w:rPr>
        <w:t xml:space="preserve"> significant differences between the methods</w:t>
      </w:r>
      <w:r>
        <w:rPr>
          <w:rFonts w:ascii="Times New Roman" w:eastAsia="Times New Roman" w:hAnsi="Times New Roman" w:cs="Times New Roman"/>
          <w:sz w:val="24"/>
          <w:szCs w:val="24"/>
        </w:rPr>
        <w:t>, especially for</w:t>
      </w:r>
      <w:r w:rsidRPr="004D1CC2">
        <w:rPr>
          <w:rFonts w:ascii="Times New Roman" w:eastAsia="Times New Roman" w:hAnsi="Times New Roman" w:cs="Times New Roman"/>
          <w:sz w:val="24"/>
          <w:szCs w:val="24"/>
        </w:rPr>
        <w:t xml:space="preserve"> smaller projection numbers</w:t>
      </w:r>
      <w:r>
        <w:rPr>
          <w:rFonts w:ascii="Times New Roman" w:eastAsia="Times New Roman" w:hAnsi="Times New Roman" w:cs="Times New Roman"/>
          <w:sz w:val="24"/>
          <w:szCs w:val="24"/>
        </w:rPr>
        <w:t xml:space="preserve">. Nevertheless, </w:t>
      </w:r>
      <w:r w:rsidRPr="004D1CC2">
        <w:rPr>
          <w:rFonts w:ascii="Times New Roman" w:eastAsia="Times New Roman" w:hAnsi="Times New Roman" w:cs="Times New Roman"/>
          <w:sz w:val="24"/>
          <w:szCs w:val="24"/>
        </w:rPr>
        <w:t xml:space="preserve">differences </w:t>
      </w:r>
      <w:r>
        <w:rPr>
          <w:rFonts w:ascii="Times New Roman" w:eastAsia="Times New Roman" w:hAnsi="Times New Roman" w:cs="Times New Roman"/>
          <w:sz w:val="24"/>
          <w:szCs w:val="24"/>
        </w:rPr>
        <w:t>are not significant</w:t>
      </w:r>
      <w:r w:rsidRPr="004D1CC2">
        <w:rPr>
          <w:rFonts w:ascii="Times New Roman" w:eastAsia="Times New Roman" w:hAnsi="Times New Roman" w:cs="Times New Roman"/>
          <w:sz w:val="24"/>
          <w:szCs w:val="24"/>
        </w:rPr>
        <w:t xml:space="preserve"> at higher projection counts (801 and 1601)</w:t>
      </w:r>
      <w:r>
        <w:rPr>
          <w:rFonts w:ascii="Times New Roman" w:eastAsia="Times New Roman" w:hAnsi="Times New Roman" w:cs="Times New Roman"/>
          <w:sz w:val="24"/>
          <w:szCs w:val="24"/>
        </w:rPr>
        <w:t xml:space="preserve">. </w:t>
      </w:r>
      <w:r w:rsidRPr="00586D4C">
        <w:rPr>
          <w:rFonts w:ascii="Times New Roman" w:eastAsia="Times New Roman" w:hAnsi="Times New Roman" w:cs="Times New Roman"/>
          <w:sz w:val="24"/>
          <w:szCs w:val="24"/>
        </w:rPr>
        <w:t xml:space="preserve">Each point represents </w:t>
      </w:r>
      <w:r>
        <w:rPr>
          <w:rFonts w:ascii="Times New Roman" w:eastAsia="Times New Roman" w:hAnsi="Times New Roman" w:cs="Times New Roman"/>
          <w:sz w:val="24"/>
          <w:szCs w:val="24"/>
        </w:rPr>
        <w:t>the</w:t>
      </w:r>
      <w:r w:rsidRPr="00586D4C">
        <w:rPr>
          <w:rFonts w:ascii="Times New Roman" w:eastAsia="Times New Roman" w:hAnsi="Times New Roman" w:cs="Times New Roman"/>
          <w:sz w:val="24"/>
          <w:szCs w:val="24"/>
        </w:rPr>
        <w:t xml:space="preserve"> average of </w:t>
      </w:r>
      <w:r>
        <w:rPr>
          <w:rFonts w:ascii="Times New Roman" w:eastAsia="Times New Roman" w:hAnsi="Times New Roman" w:cs="Times New Roman"/>
          <w:sz w:val="24"/>
          <w:szCs w:val="24"/>
        </w:rPr>
        <w:t xml:space="preserve">correlation value of </w:t>
      </w:r>
      <w:r w:rsidRPr="00586D4C">
        <w:rPr>
          <w:rFonts w:ascii="Times New Roman" w:eastAsia="Times New Roman" w:hAnsi="Times New Roman" w:cs="Times New Roman"/>
          <w:sz w:val="24"/>
          <w:szCs w:val="24"/>
        </w:rPr>
        <w:t>progressively refined sub-volumes used in DVC accuracy analysis.</w:t>
      </w:r>
    </w:p>
    <w:p w14:paraId="1CD6FC29" w14:textId="77777777" w:rsidR="003453BB" w:rsidRDefault="003453BB" w:rsidP="003453BB">
      <w:pPr>
        <w:spacing w:line="360" w:lineRule="auto"/>
        <w:jc w:val="center"/>
        <w:rPr>
          <w:rFonts w:ascii="Times New Roman" w:eastAsia="Times New Roman" w:hAnsi="Times New Roman" w:cs="Times New Roman"/>
          <w:sz w:val="24"/>
          <w:szCs w:val="24"/>
        </w:rPr>
      </w:pPr>
      <w:r>
        <w:rPr>
          <w:noProof/>
        </w:rPr>
        <w:lastRenderedPageBreak/>
        <w:drawing>
          <wp:inline distT="0" distB="0" distL="0" distR="0" wp14:anchorId="32DB6A94" wp14:editId="330795C0">
            <wp:extent cx="2983577" cy="3888757"/>
            <wp:effectExtent l="0" t="0" r="7620" b="0"/>
            <wp:docPr id="20" name="Picture 20"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diagram of a graph&#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01350" cy="3911922"/>
                    </a:xfrm>
                    <a:prstGeom prst="rect">
                      <a:avLst/>
                    </a:prstGeom>
                    <a:noFill/>
                    <a:ln>
                      <a:noFill/>
                    </a:ln>
                  </pic:spPr>
                </pic:pic>
              </a:graphicData>
            </a:graphic>
          </wp:inline>
        </w:drawing>
      </w:r>
    </w:p>
    <w:p w14:paraId="7E9475FA" w14:textId="77777777" w:rsidR="003453BB" w:rsidRDefault="003453BB" w:rsidP="003453BB">
      <w:pPr>
        <w:spacing w:line="240" w:lineRule="auto"/>
        <w:jc w:val="both"/>
        <w:rPr>
          <w:rFonts w:ascii="Times New Roman" w:eastAsia="Times New Roman" w:hAnsi="Times New Roman" w:cs="Times New Roman"/>
          <w:sz w:val="24"/>
          <w:szCs w:val="24"/>
        </w:rPr>
      </w:pPr>
      <w:r w:rsidRPr="006F46FB">
        <w:rPr>
          <w:rFonts w:ascii="Times New Roman" w:eastAsia="Times New Roman" w:hAnsi="Times New Roman" w:cs="Times New Roman"/>
          <w:b/>
          <w:i/>
          <w:sz w:val="24"/>
          <w:szCs w:val="24"/>
        </w:rPr>
        <w:t>Sup. Figure 4.</w:t>
      </w:r>
      <w:r w:rsidRPr="006F46FB">
        <w:rPr>
          <w:rFonts w:ascii="Times New Roman" w:eastAsia="Times New Roman" w:hAnsi="Times New Roman" w:cs="Times New Roman"/>
          <w:i/>
          <w:sz w:val="24"/>
          <w:szCs w:val="24"/>
        </w:rPr>
        <w:t xml:space="preserve"> </w:t>
      </w:r>
      <w:r w:rsidRPr="004D06A3">
        <w:rPr>
          <w:rFonts w:ascii="Times New Roman" w:eastAsia="Times New Roman" w:hAnsi="Times New Roman" w:cs="Times New Roman"/>
          <w:sz w:val="24"/>
          <w:szCs w:val="24"/>
        </w:rPr>
        <w:t>Comparison of DVC correlation values between FDK and DR reconstruction methods across different projection numbers (201, 401, 801, 1601). Statistical significance is denoted by **** (p &lt; 0.0001) and ns (not significant)</w:t>
      </w:r>
      <w:r>
        <w:rPr>
          <w:rFonts w:ascii="Times New Roman" w:eastAsia="Times New Roman" w:hAnsi="Times New Roman" w:cs="Times New Roman"/>
          <w:sz w:val="24"/>
          <w:szCs w:val="24"/>
        </w:rPr>
        <w:t>. Two-way ANOVA with multiple comparison.</w:t>
      </w:r>
    </w:p>
    <w:p w14:paraId="207EE3CB" w14:textId="77777777" w:rsidR="003453BB" w:rsidRDefault="003453BB" w:rsidP="003453BB">
      <w:pPr>
        <w:spacing w:line="360" w:lineRule="auto"/>
        <w:jc w:val="center"/>
        <w:rPr>
          <w:rFonts w:ascii="Times New Roman" w:eastAsia="Times New Roman" w:hAnsi="Times New Roman" w:cs="Times New Roman"/>
          <w:sz w:val="24"/>
          <w:szCs w:val="24"/>
        </w:rPr>
      </w:pPr>
      <w:r w:rsidRPr="00FC0097">
        <w:rPr>
          <w:rFonts w:ascii="Times New Roman" w:eastAsia="Times New Roman" w:hAnsi="Times New Roman" w:cs="Times New Roman"/>
          <w:noProof/>
          <w:sz w:val="24"/>
          <w:szCs w:val="24"/>
        </w:rPr>
        <w:lastRenderedPageBreak/>
        <w:drawing>
          <wp:inline distT="0" distB="0" distL="0" distR="0" wp14:anchorId="27EEF955" wp14:editId="4508C28A">
            <wp:extent cx="5308815" cy="4304901"/>
            <wp:effectExtent l="0" t="0" r="6350" b="635"/>
            <wp:docPr id="2" name="Picture 1" descr="A graph of different colored lines&#10;&#10;AI-generated content may be incorrect.">
              <a:extLst xmlns:a="http://schemas.openxmlformats.org/drawingml/2006/main">
                <a:ext uri="{FF2B5EF4-FFF2-40B4-BE49-F238E27FC236}">
                  <a16:creationId xmlns:a16="http://schemas.microsoft.com/office/drawing/2014/main" id="{77AE70F8-C315-4059-B150-28D8760E66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aph of different colored lines&#10;&#10;AI-generated content may be incorrect.">
                      <a:extLst>
                        <a:ext uri="{FF2B5EF4-FFF2-40B4-BE49-F238E27FC236}">
                          <a16:creationId xmlns:a16="http://schemas.microsoft.com/office/drawing/2014/main" id="{77AE70F8-C315-4059-B150-28D8760E6631}"/>
                        </a:ext>
                      </a:extLst>
                    </pic:cNvPr>
                    <pic:cNvPicPr>
                      <a:picLocks noChangeAspect="1"/>
                    </pic:cNvPicPr>
                  </pic:nvPicPr>
                  <pic:blipFill rotWithShape="1">
                    <a:blip r:embed="rId10"/>
                    <a:srcRect t="3001" r="931" b="790"/>
                    <a:stretch/>
                  </pic:blipFill>
                  <pic:spPr>
                    <a:xfrm>
                      <a:off x="0" y="0"/>
                      <a:ext cx="5328101" cy="4320540"/>
                    </a:xfrm>
                    <a:prstGeom prst="rect">
                      <a:avLst/>
                    </a:prstGeom>
                  </pic:spPr>
                </pic:pic>
              </a:graphicData>
            </a:graphic>
          </wp:inline>
        </w:drawing>
      </w:r>
    </w:p>
    <w:p w14:paraId="3EF5B2D8" w14:textId="77777777" w:rsidR="003453BB" w:rsidRDefault="003453BB" w:rsidP="003453BB">
      <w:pPr>
        <w:spacing w:line="240" w:lineRule="auto"/>
        <w:jc w:val="both"/>
        <w:rPr>
          <w:rFonts w:ascii="Times New Roman" w:eastAsia="Times New Roman" w:hAnsi="Times New Roman" w:cs="Times New Roman"/>
          <w:sz w:val="24"/>
          <w:szCs w:val="24"/>
        </w:rPr>
      </w:pPr>
      <w:r w:rsidRPr="006F46FB">
        <w:rPr>
          <w:rFonts w:ascii="Times New Roman" w:eastAsia="Times New Roman" w:hAnsi="Times New Roman" w:cs="Times New Roman"/>
          <w:b/>
          <w:i/>
          <w:sz w:val="24"/>
          <w:szCs w:val="24"/>
        </w:rPr>
        <w:t>Sup. Figure 5.</w:t>
      </w:r>
      <w:r>
        <w:rPr>
          <w:rFonts w:ascii="Times New Roman" w:eastAsia="Times New Roman" w:hAnsi="Times New Roman" w:cs="Times New Roman"/>
          <w:sz w:val="24"/>
          <w:szCs w:val="24"/>
        </w:rPr>
        <w:t xml:space="preserve"> Strain accuracy</w:t>
      </w:r>
      <w:r w:rsidRPr="008658C9">
        <w:rPr>
          <w:rFonts w:ascii="Times New Roman" w:eastAsia="Times New Roman" w:hAnsi="Times New Roman" w:cs="Times New Roman"/>
          <w:sz w:val="24"/>
          <w:szCs w:val="24"/>
        </w:rPr>
        <w:t xml:space="preserve"> across different sub-volume sizes (12 to 52 voxels) for FDK and DR reconstruction at projection numbers </w:t>
      </w:r>
      <w:r>
        <w:rPr>
          <w:rFonts w:ascii="Times New Roman" w:eastAsia="Times New Roman" w:hAnsi="Times New Roman" w:cs="Times New Roman"/>
          <w:sz w:val="24"/>
          <w:szCs w:val="24"/>
        </w:rPr>
        <w:t xml:space="preserve">of </w:t>
      </w:r>
      <w:r w:rsidRPr="008658C9">
        <w:rPr>
          <w:rFonts w:ascii="Times New Roman" w:eastAsia="Times New Roman" w:hAnsi="Times New Roman" w:cs="Times New Roman"/>
          <w:sz w:val="24"/>
          <w:szCs w:val="24"/>
        </w:rPr>
        <w:t xml:space="preserve">201, 401, 801, </w:t>
      </w:r>
      <w:r>
        <w:rPr>
          <w:rFonts w:ascii="Times New Roman" w:eastAsia="Times New Roman" w:hAnsi="Times New Roman" w:cs="Times New Roman"/>
          <w:sz w:val="24"/>
          <w:szCs w:val="24"/>
        </w:rPr>
        <w:t xml:space="preserve">and </w:t>
      </w:r>
      <w:r w:rsidRPr="008658C9">
        <w:rPr>
          <w:rFonts w:ascii="Times New Roman" w:eastAsia="Times New Roman" w:hAnsi="Times New Roman" w:cs="Times New Roman"/>
          <w:sz w:val="24"/>
          <w:szCs w:val="24"/>
        </w:rPr>
        <w:t>1601</w:t>
      </w:r>
      <w:r>
        <w:rPr>
          <w:rFonts w:ascii="Times New Roman" w:eastAsia="Times New Roman" w:hAnsi="Times New Roman" w:cs="Times New Roman"/>
          <w:sz w:val="24"/>
          <w:szCs w:val="24"/>
        </w:rPr>
        <w:t>, representing an average of 400 micro-strain between 2 the techniques.</w:t>
      </w:r>
    </w:p>
    <w:p w14:paraId="72DAE8F9" w14:textId="77777777" w:rsidR="003453BB" w:rsidRDefault="003453BB" w:rsidP="003453BB">
      <w:pPr>
        <w:spacing w:line="360" w:lineRule="auto"/>
        <w:jc w:val="center"/>
        <w:rPr>
          <w:rFonts w:ascii="Times New Roman" w:eastAsia="Times New Roman" w:hAnsi="Times New Roman" w:cs="Times New Roman"/>
          <w:sz w:val="24"/>
          <w:szCs w:val="24"/>
        </w:rPr>
      </w:pPr>
    </w:p>
    <w:p w14:paraId="532896DC" w14:textId="77777777" w:rsidR="003453BB" w:rsidRPr="00DF2139" w:rsidRDefault="003453BB" w:rsidP="003453BB">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730603E" w14:textId="77777777" w:rsidR="003453BB" w:rsidRDefault="003453BB" w:rsidP="003453BB">
      <w:pPr>
        <w:rPr>
          <w:rFonts w:ascii="Times New Roman" w:eastAsia="Times New Roman" w:hAnsi="Times New Roman" w:cs="Times New Roman"/>
          <w:sz w:val="28"/>
          <w:szCs w:val="28"/>
        </w:rPr>
      </w:pPr>
    </w:p>
    <w:p w14:paraId="75E9210F" w14:textId="77777777" w:rsidR="003453BB" w:rsidRDefault="003453BB" w:rsidP="003453BB">
      <w:pPr>
        <w:jc w:val="center"/>
        <w:rPr>
          <w:rFonts w:ascii="Times New Roman" w:eastAsia="Times New Roman" w:hAnsi="Times New Roman" w:cs="Times New Roman"/>
          <w:sz w:val="28"/>
          <w:szCs w:val="28"/>
        </w:rPr>
      </w:pPr>
      <w:r w:rsidRPr="009069D1">
        <w:rPr>
          <w:rFonts w:ascii="Times New Roman" w:eastAsia="Times New Roman" w:hAnsi="Times New Roman" w:cs="Times New Roman"/>
          <w:noProof/>
          <w:sz w:val="28"/>
          <w:szCs w:val="28"/>
        </w:rPr>
        <w:drawing>
          <wp:inline distT="0" distB="0" distL="0" distR="0" wp14:anchorId="4C54445D" wp14:editId="7C1BEF29">
            <wp:extent cx="5820428" cy="5494351"/>
            <wp:effectExtent l="0" t="0" r="8890" b="0"/>
            <wp:docPr id="14" name="Picture 1" descr="A collage of images of a bone&#10;&#10;AI-generated content may be incorrect.">
              <a:extLst xmlns:a="http://schemas.openxmlformats.org/drawingml/2006/main">
                <a:ext uri="{FF2B5EF4-FFF2-40B4-BE49-F238E27FC236}">
                  <a16:creationId xmlns:a16="http://schemas.microsoft.com/office/drawing/2014/main" id="{EC7DF564-B119-F415-3C0A-416FDCF5C2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 descr="A collage of images of a bone&#10;&#10;AI-generated content may be incorrect.">
                      <a:extLst>
                        <a:ext uri="{FF2B5EF4-FFF2-40B4-BE49-F238E27FC236}">
                          <a16:creationId xmlns:a16="http://schemas.microsoft.com/office/drawing/2014/main" id="{EC7DF564-B119-F415-3C0A-416FDCF5C285}"/>
                        </a:ext>
                      </a:extLst>
                    </pic:cNvPr>
                    <pic:cNvPicPr>
                      <a:picLocks noChangeAspect="1"/>
                    </pic:cNvPicPr>
                  </pic:nvPicPr>
                  <pic:blipFill>
                    <a:blip r:embed="rId11"/>
                    <a:stretch>
                      <a:fillRect/>
                    </a:stretch>
                  </pic:blipFill>
                  <pic:spPr>
                    <a:xfrm>
                      <a:off x="0" y="0"/>
                      <a:ext cx="5836438" cy="5509464"/>
                    </a:xfrm>
                    <a:prstGeom prst="rect">
                      <a:avLst/>
                    </a:prstGeom>
                  </pic:spPr>
                </pic:pic>
              </a:graphicData>
            </a:graphic>
          </wp:inline>
        </w:drawing>
      </w:r>
    </w:p>
    <w:p w14:paraId="0BA623EE" w14:textId="77777777" w:rsidR="003453BB" w:rsidRDefault="003453BB" w:rsidP="003453BB">
      <w:pPr>
        <w:pStyle w:val="Stylef3"/>
        <w:spacing w:before="0"/>
      </w:pPr>
      <w:bookmarkStart w:id="2" w:name="_Toc190123047"/>
      <w:r w:rsidRPr="006F46FB">
        <w:rPr>
          <w:b/>
          <w:i/>
        </w:rPr>
        <w:t>Sup. Figure 6.</w:t>
      </w:r>
      <w:r>
        <w:t xml:space="preserve"> Microstructure measurements of Achilles insertion at calcaneus calcified CFC</w:t>
      </w:r>
      <w:bookmarkEnd w:id="2"/>
    </w:p>
    <w:p w14:paraId="7FBD0F17" w14:textId="77777777" w:rsidR="003453BB" w:rsidRDefault="003453BB" w:rsidP="003453BB">
      <w:pPr>
        <w:rPr>
          <w:rFonts w:ascii="Times New Roman" w:eastAsia="Times New Roman" w:hAnsi="Times New Roman" w:cs="Times New Roman"/>
          <w:sz w:val="28"/>
          <w:szCs w:val="28"/>
        </w:rPr>
      </w:pPr>
    </w:p>
    <w:p w14:paraId="12F8D6F3" w14:textId="77777777" w:rsidR="003453BB" w:rsidRDefault="003453BB" w:rsidP="003453BB">
      <w:pPr>
        <w:rPr>
          <w:rFonts w:ascii="Times New Roman" w:eastAsia="Times New Roman" w:hAnsi="Times New Roman" w:cs="Times New Roman"/>
          <w:sz w:val="28"/>
          <w:szCs w:val="28"/>
        </w:rPr>
      </w:pPr>
    </w:p>
    <w:p w14:paraId="6F5AE9D6" w14:textId="77777777" w:rsidR="003453BB" w:rsidRDefault="003453BB" w:rsidP="003453BB">
      <w:pPr>
        <w:rPr>
          <w:rFonts w:ascii="Times New Roman" w:eastAsia="Times New Roman" w:hAnsi="Times New Roman" w:cs="Times New Roman"/>
          <w:sz w:val="28"/>
          <w:szCs w:val="28"/>
        </w:rPr>
      </w:pPr>
    </w:p>
    <w:p w14:paraId="0DC9B47A" w14:textId="77777777" w:rsidR="003453BB" w:rsidRDefault="003453BB" w:rsidP="003453BB">
      <w:pPr>
        <w:rPr>
          <w:rFonts w:ascii="Times New Roman" w:eastAsia="Times New Roman" w:hAnsi="Times New Roman" w:cs="Times New Roman"/>
          <w:sz w:val="28"/>
          <w:szCs w:val="28"/>
        </w:rPr>
      </w:pPr>
    </w:p>
    <w:p w14:paraId="0E1D5802" w14:textId="77777777" w:rsidR="003453BB" w:rsidRDefault="003453BB" w:rsidP="003453BB">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16C5F43C" w14:textId="77777777" w:rsidR="003453BB" w:rsidRDefault="003453BB" w:rsidP="003453BB">
      <w:pPr>
        <w:rPr>
          <w:rFonts w:ascii="Times New Roman" w:eastAsia="Times New Roman" w:hAnsi="Times New Roman" w:cs="Times New Roman"/>
          <w:b/>
          <w:i/>
          <w:sz w:val="24"/>
          <w:szCs w:val="24"/>
        </w:rPr>
      </w:pPr>
      <w:bookmarkStart w:id="3" w:name="_Hlk182844310"/>
    </w:p>
    <w:bookmarkEnd w:id="3"/>
    <w:p w14:paraId="43375B6B" w14:textId="77777777" w:rsidR="003453BB" w:rsidRDefault="003453BB" w:rsidP="003453BB">
      <w:pPr>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4FA5A2B1" wp14:editId="56B2FF97">
            <wp:extent cx="5328285" cy="4572635"/>
            <wp:effectExtent l="0" t="0" r="5715" b="0"/>
            <wp:docPr id="640940676" name="Picture 17"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940676" name="Picture 17" descr="A screenshot of a computer screen&#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28285" cy="4572635"/>
                    </a:xfrm>
                    <a:prstGeom prst="rect">
                      <a:avLst/>
                    </a:prstGeom>
                    <a:noFill/>
                  </pic:spPr>
                </pic:pic>
              </a:graphicData>
            </a:graphic>
          </wp:inline>
        </w:drawing>
      </w:r>
    </w:p>
    <w:p w14:paraId="3DBAE57F" w14:textId="77777777" w:rsidR="003453BB" w:rsidRDefault="003453BB" w:rsidP="003453BB">
      <w:pPr>
        <w:pStyle w:val="Stylef3"/>
        <w:rPr>
          <w:b/>
          <w:i/>
        </w:rPr>
      </w:pPr>
      <w:bookmarkStart w:id="4" w:name="_Toc190123048"/>
      <w:r w:rsidRPr="006F46FB">
        <w:rPr>
          <w:b/>
          <w:i/>
        </w:rPr>
        <w:t>Sup. Figure 7.</w:t>
      </w:r>
      <w:r>
        <w:t xml:space="preserve"> Microstructure measurements of Achilles insertion at calcaneus </w:t>
      </w:r>
      <w:bookmarkEnd w:id="4"/>
      <w:r>
        <w:t>CFC</w:t>
      </w:r>
    </w:p>
    <w:p w14:paraId="460319DE" w14:textId="77777777" w:rsidR="003453BB" w:rsidRDefault="003453BB" w:rsidP="003453BB">
      <w:pPr>
        <w:rPr>
          <w:rFonts w:ascii="Times New Roman" w:eastAsia="Times New Roman" w:hAnsi="Times New Roman" w:cs="Times New Roman"/>
          <w:sz w:val="28"/>
          <w:szCs w:val="28"/>
        </w:rPr>
      </w:pPr>
    </w:p>
    <w:p w14:paraId="00044699" w14:textId="77777777" w:rsidR="003453BB" w:rsidRDefault="003453BB" w:rsidP="003453BB">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3F15131B" w14:textId="77777777" w:rsidR="003453BB" w:rsidRPr="00BE1DA2" w:rsidRDefault="003453BB" w:rsidP="003453BB">
      <w:pPr>
        <w:rPr>
          <w:rFonts w:ascii="Times New Roman" w:eastAsia="Times New Roman" w:hAnsi="Times New Roman" w:cs="Times New Roman"/>
          <w:sz w:val="24"/>
          <w:szCs w:val="28"/>
        </w:rPr>
      </w:pPr>
      <w:r w:rsidRPr="00BE1DA2">
        <w:rPr>
          <w:rFonts w:ascii="Times New Roman" w:eastAsia="Times New Roman" w:hAnsi="Times New Roman" w:cs="Times New Roman"/>
          <w:sz w:val="24"/>
          <w:szCs w:val="28"/>
        </w:rPr>
        <w:lastRenderedPageBreak/>
        <w:t>A.</w:t>
      </w:r>
      <w:r w:rsidRPr="00BE1DA2">
        <w:rPr>
          <w:rFonts w:ascii="Times New Roman" w:eastAsia="Times New Roman" w:hAnsi="Times New Roman" w:cs="Times New Roman"/>
          <w:noProof/>
          <w:sz w:val="24"/>
          <w:szCs w:val="28"/>
        </w:rPr>
        <w:drawing>
          <wp:inline distT="0" distB="0" distL="0" distR="0" wp14:anchorId="7FFB8C1C" wp14:editId="2C041BE6">
            <wp:extent cx="6151292" cy="5168348"/>
            <wp:effectExtent l="0" t="0" r="1905" b="0"/>
            <wp:docPr id="17" name="Picture 17"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shot of a computer screen&#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64506" cy="5179450"/>
                    </a:xfrm>
                    <a:prstGeom prst="rect">
                      <a:avLst/>
                    </a:prstGeom>
                    <a:noFill/>
                  </pic:spPr>
                </pic:pic>
              </a:graphicData>
            </a:graphic>
          </wp:inline>
        </w:drawing>
      </w:r>
    </w:p>
    <w:p w14:paraId="268ABD24" w14:textId="77777777" w:rsidR="003453BB" w:rsidRDefault="003453BB" w:rsidP="003453BB">
      <w:pPr>
        <w:jc w:val="center"/>
        <w:rPr>
          <w:rFonts w:ascii="Times New Roman" w:eastAsia="Times New Roman" w:hAnsi="Times New Roman" w:cs="Times New Roman"/>
          <w:sz w:val="28"/>
          <w:szCs w:val="28"/>
        </w:rPr>
      </w:pPr>
      <w:r w:rsidRPr="00BE1DA2">
        <w:rPr>
          <w:rFonts w:ascii="Times New Roman" w:eastAsia="Times New Roman" w:hAnsi="Times New Roman" w:cs="Times New Roman"/>
          <w:sz w:val="24"/>
        </w:rPr>
        <w:t>B.</w:t>
      </w:r>
      <w:r>
        <w:object w:dxaOrig="9010" w:dyaOrig="6377" w14:anchorId="58D82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75pt;height:129.75pt" o:ole="">
            <v:imagedata r:id="rId14" o:title=""/>
          </v:shape>
          <o:OLEObject Type="Embed" ProgID="Prism10.Document" ShapeID="_x0000_i1025" DrawAspect="Content" ObjectID="_1804588182" r:id="rId15"/>
        </w:object>
      </w:r>
    </w:p>
    <w:p w14:paraId="3386D69C" w14:textId="77777777" w:rsidR="003453BB" w:rsidRDefault="003453BB" w:rsidP="003453BB">
      <w:pPr>
        <w:pStyle w:val="Stylef3"/>
      </w:pPr>
      <w:bookmarkStart w:id="5" w:name="_Toc190123049"/>
      <w:r w:rsidRPr="006F46FB">
        <w:rPr>
          <w:b/>
          <w:i/>
        </w:rPr>
        <w:t>Sup. Figure 8.</w:t>
      </w:r>
      <w:r>
        <w:t xml:space="preserve"> (A) Microstructure measurements of Achilles insertion at calcaneus CFC</w:t>
      </w:r>
      <w:bookmarkEnd w:id="5"/>
      <w:r>
        <w:t xml:space="preserve">. (B) </w:t>
      </w:r>
      <w:r w:rsidRPr="000C0614">
        <w:t>Box plot comparing CFC thickness between the central and peripheral regions. The central region exhibits significantly greater thickness compared to the periphery (p &lt; 0.05</w:t>
      </w:r>
      <w:r>
        <w:t xml:space="preserve">, </w:t>
      </w:r>
      <w:r w:rsidRPr="00682483">
        <w:t>unpaired t-test</w:t>
      </w:r>
      <w:r w:rsidRPr="000C0614">
        <w:t>).</w:t>
      </w:r>
      <w:r>
        <w:rPr>
          <w:sz w:val="28"/>
          <w:szCs w:val="28"/>
        </w:rPr>
        <w:br w:type="page"/>
      </w:r>
    </w:p>
    <w:p w14:paraId="56E3F1EB" w14:textId="77777777" w:rsidR="003453BB" w:rsidRDefault="003453BB" w:rsidP="003453BB">
      <w:pPr>
        <w:jc w:val="center"/>
        <w:rPr>
          <w:rFonts w:ascii="Times New Roman" w:eastAsia="Times New Roman" w:hAnsi="Times New Roman" w:cs="Times New Roman"/>
        </w:rPr>
      </w:pPr>
    </w:p>
    <w:p w14:paraId="01C496A5" w14:textId="77777777" w:rsidR="003453BB" w:rsidRDefault="003453BB" w:rsidP="003453BB">
      <w:pPr>
        <w:jc w:val="center"/>
        <w:rPr>
          <w:rFonts w:ascii="Times New Roman" w:eastAsia="Times New Roman" w:hAnsi="Times New Roman" w:cs="Times New Roman"/>
        </w:rPr>
      </w:pPr>
    </w:p>
    <w:p w14:paraId="6DD3FC59" w14:textId="77777777" w:rsidR="003453BB" w:rsidRDefault="003453BB" w:rsidP="003453BB">
      <w:pPr>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2361591C" wp14:editId="34AF0A71">
            <wp:extent cx="4339087" cy="3578243"/>
            <wp:effectExtent l="0" t="0" r="4445" b="3175"/>
            <wp:docPr id="516052366" name="Picture 39"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052366" name="Picture 39" descr="A screenshot of a graph&#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47439" cy="3585131"/>
                    </a:xfrm>
                    <a:prstGeom prst="rect">
                      <a:avLst/>
                    </a:prstGeom>
                    <a:noFill/>
                  </pic:spPr>
                </pic:pic>
              </a:graphicData>
            </a:graphic>
          </wp:inline>
        </w:drawing>
      </w:r>
    </w:p>
    <w:p w14:paraId="7884DC51" w14:textId="77777777" w:rsidR="003453BB" w:rsidRPr="00DC731E" w:rsidRDefault="003453BB" w:rsidP="003453BB">
      <w:pPr>
        <w:jc w:val="both"/>
        <w:rPr>
          <w:rFonts w:ascii="Times New Roman" w:eastAsia="Times New Roman" w:hAnsi="Times New Roman" w:cs="Times New Roman"/>
          <w:sz w:val="24"/>
        </w:rPr>
      </w:pPr>
      <w:r w:rsidRPr="006F46FB">
        <w:rPr>
          <w:rFonts w:ascii="Times New Roman" w:eastAsia="Times New Roman" w:hAnsi="Times New Roman" w:cs="Times New Roman"/>
          <w:b/>
          <w:i/>
          <w:sz w:val="24"/>
        </w:rPr>
        <w:t>Sup. Figure 9.</w:t>
      </w:r>
      <w:r>
        <w:rPr>
          <w:rFonts w:ascii="Times New Roman" w:eastAsia="Times New Roman" w:hAnsi="Times New Roman" w:cs="Times New Roman"/>
          <w:sz w:val="24"/>
        </w:rPr>
        <w:t xml:space="preserve"> </w:t>
      </w:r>
      <w:r w:rsidRPr="00DC731E">
        <w:rPr>
          <w:rFonts w:ascii="Times New Roman" w:eastAsia="Times New Roman" w:hAnsi="Times New Roman" w:cs="Times New Roman"/>
          <w:sz w:val="24"/>
        </w:rPr>
        <w:t>Scatter plots of lacunae characteristics under pre-load and post-load conditions. The top panels show the relationship between lacunae oblateness (Lc. Ob) and lacunae volume (Lc. Vol) for the pre-load (red) and post-load (yellow) conditions. Both conditions exhibit a wide distribution of lacunae (n=9000), with most lacunae being near spherical in shape (Lc. Ob close to 0), regardless of volume. The bottom panels display the relationship between lacunae oblateness (Lc. Ob) and lacunae stretch (Lc. St) for the pre-load (red) and post-load (yellow) conditions. The data indicates a similar distribution under both conditions, suggesting no significant change in the correlation between stretch and oblateness between pre-load and post-load states.</w:t>
      </w:r>
    </w:p>
    <w:p w14:paraId="1C04F541" w14:textId="77777777" w:rsidR="003453BB" w:rsidRDefault="003453BB" w:rsidP="003453BB">
      <w:pPr>
        <w:jc w:val="center"/>
        <w:rPr>
          <w:rFonts w:ascii="Times New Roman" w:eastAsia="Times New Roman" w:hAnsi="Times New Roman" w:cs="Times New Roman"/>
        </w:rPr>
      </w:pPr>
    </w:p>
    <w:p w14:paraId="054192C3" w14:textId="77777777" w:rsidR="003453BB" w:rsidRDefault="003453BB" w:rsidP="003453BB">
      <w:pPr>
        <w:rPr>
          <w:rFonts w:ascii="Times New Roman" w:eastAsia="Times New Roman" w:hAnsi="Times New Roman" w:cs="Times New Roman"/>
        </w:rPr>
      </w:pPr>
    </w:p>
    <w:p w14:paraId="3FA7F5A4" w14:textId="77777777" w:rsidR="003453BB" w:rsidRDefault="003453BB" w:rsidP="003453BB">
      <w:pPr>
        <w:jc w:val="center"/>
        <w:rPr>
          <w:rFonts w:ascii="Times New Roman" w:eastAsia="Times New Roman" w:hAnsi="Times New Roman" w:cs="Times New Roman"/>
        </w:rPr>
      </w:pPr>
      <w:r>
        <w:rPr>
          <w:rFonts w:ascii="Times New Roman" w:eastAsia="Times New Roman" w:hAnsi="Times New Roman" w:cs="Times New Roman"/>
        </w:rPr>
        <w:br w:type="page"/>
      </w:r>
    </w:p>
    <w:p w14:paraId="29877443" w14:textId="77777777" w:rsidR="003453BB" w:rsidRDefault="003453BB" w:rsidP="003453BB">
      <w:pPr>
        <w:rPr>
          <w:rFonts w:ascii="Times New Roman" w:eastAsia="Times New Roman" w:hAnsi="Times New Roman" w:cs="Times New Roman"/>
          <w:sz w:val="28"/>
          <w:szCs w:val="28"/>
        </w:rPr>
      </w:pPr>
      <w:r w:rsidRPr="00231B32">
        <w:rPr>
          <w:rFonts w:ascii="Times New Roman" w:eastAsia="Times New Roman" w:hAnsi="Times New Roman" w:cs="Times New Roman"/>
          <w:sz w:val="28"/>
          <w:szCs w:val="28"/>
        </w:rPr>
        <w:lastRenderedPageBreak/>
        <w:t>Su</w:t>
      </w:r>
      <w:r>
        <w:rPr>
          <w:rFonts w:ascii="Times New Roman" w:eastAsia="Times New Roman" w:hAnsi="Times New Roman" w:cs="Times New Roman"/>
          <w:sz w:val="28"/>
          <w:szCs w:val="28"/>
        </w:rPr>
        <w:t>p</w:t>
      </w:r>
      <w:r w:rsidRPr="00231B32">
        <w:rPr>
          <w:rFonts w:ascii="Times New Roman" w:eastAsia="Times New Roman" w:hAnsi="Times New Roman" w:cs="Times New Roman"/>
          <w:sz w:val="28"/>
          <w:szCs w:val="28"/>
        </w:rPr>
        <w:t>plementary Movies</w:t>
      </w:r>
    </w:p>
    <w:p w14:paraId="4C840674" w14:textId="77777777" w:rsidR="003453BB" w:rsidRDefault="003453BB" w:rsidP="003453BB">
      <w:pPr>
        <w:rPr>
          <w:rFonts w:ascii="Times New Roman" w:eastAsia="Times New Roman" w:hAnsi="Times New Roman" w:cs="Times New Roman"/>
          <w:sz w:val="28"/>
          <w:szCs w:val="28"/>
        </w:rPr>
      </w:pPr>
    </w:p>
    <w:p w14:paraId="7FF8815B" w14:textId="77777777" w:rsidR="003453BB" w:rsidRDefault="003453BB" w:rsidP="003453BB">
      <w:pPr>
        <w:rPr>
          <w:rFonts w:ascii="Times New Roman" w:eastAsia="Times New Roman" w:hAnsi="Times New Roman" w:cs="Times New Roman"/>
          <w:sz w:val="28"/>
          <w:szCs w:val="28"/>
        </w:rPr>
      </w:pPr>
      <w:r>
        <w:rPr>
          <w:rFonts w:ascii="Times New Roman" w:eastAsia="Times New Roman" w:hAnsi="Times New Roman" w:cs="Times New Roman"/>
          <w:sz w:val="28"/>
          <w:szCs w:val="28"/>
        </w:rPr>
        <w:object w:dxaOrig="1540" w:dyaOrig="997" w14:anchorId="76A5241E">
          <v:shape id="_x0000_i1026" type="#_x0000_t75" style="width:79.5pt;height:50.25pt" o:ole="">
            <v:imagedata r:id="rId17" o:title=""/>
          </v:shape>
          <o:OLEObject Type="Embed" ProgID="Package" ShapeID="_x0000_i1026" DrawAspect="Icon" ObjectID="_1804588183" r:id="rId18"/>
        </w:object>
      </w:r>
      <w:r>
        <w:rPr>
          <w:rFonts w:ascii="Times New Roman" w:eastAsia="Times New Roman" w:hAnsi="Times New Roman" w:cs="Times New Roman"/>
          <w:sz w:val="28"/>
          <w:szCs w:val="28"/>
        </w:rPr>
        <w:object w:dxaOrig="1540" w:dyaOrig="997" w14:anchorId="38677D13">
          <v:shape id="_x0000_i1027" type="#_x0000_t75" style="width:79.5pt;height:50.25pt" o:ole="">
            <v:imagedata r:id="rId19" o:title=""/>
          </v:shape>
          <o:OLEObject Type="Embed" ProgID="Package" ShapeID="_x0000_i1027" DrawAspect="Icon" ObjectID="_1804588184" r:id="rId20"/>
        </w:object>
      </w:r>
      <w:r>
        <w:rPr>
          <w:rFonts w:ascii="Times New Roman" w:eastAsia="Times New Roman" w:hAnsi="Times New Roman" w:cs="Times New Roman"/>
          <w:sz w:val="28"/>
          <w:szCs w:val="28"/>
        </w:rPr>
        <w:object w:dxaOrig="1540" w:dyaOrig="997" w14:anchorId="75360436">
          <v:shape id="_x0000_i1028" type="#_x0000_t75" style="width:79.5pt;height:50.25pt" o:ole="">
            <v:imagedata r:id="rId21" o:title=""/>
          </v:shape>
          <o:OLEObject Type="Embed" ProgID="Package" ShapeID="_x0000_i1028" DrawAspect="Icon" ObjectID="_1804588185" r:id="rId22"/>
        </w:object>
      </w:r>
      <w:r>
        <w:rPr>
          <w:rFonts w:ascii="Times New Roman" w:eastAsia="Times New Roman" w:hAnsi="Times New Roman" w:cs="Times New Roman"/>
          <w:sz w:val="28"/>
          <w:szCs w:val="28"/>
        </w:rPr>
        <w:object w:dxaOrig="1540" w:dyaOrig="997" w14:anchorId="344C824E">
          <v:shape id="_x0000_i1029" type="#_x0000_t75" style="width:79.5pt;height:50.25pt" o:ole="">
            <v:imagedata r:id="rId23" o:title=""/>
          </v:shape>
          <o:OLEObject Type="Embed" ProgID="Package" ShapeID="_x0000_i1029" DrawAspect="Icon" ObjectID="_1804588186" r:id="rId24"/>
        </w:object>
      </w:r>
    </w:p>
    <w:p w14:paraId="6412CCDE" w14:textId="7B876B81" w:rsidR="008C374B" w:rsidRDefault="003453BB" w:rsidP="003453BB">
      <w:r>
        <w:rPr>
          <w:rFonts w:ascii="Times New Roman" w:eastAsia="Times New Roman" w:hAnsi="Times New Roman" w:cs="Times New Roman"/>
          <w:sz w:val="28"/>
          <w:szCs w:val="28"/>
        </w:rPr>
        <w:object w:dxaOrig="1540" w:dyaOrig="997" w14:anchorId="762FB962">
          <v:shape id="_x0000_i1030" type="#_x0000_t75" style="width:79.5pt;height:50.25pt" o:ole="">
            <v:imagedata r:id="rId25" o:title=""/>
          </v:shape>
          <o:OLEObject Type="Embed" ProgID="Package" ShapeID="_x0000_i1030" DrawAspect="Icon" ObjectID="_1804588187" r:id="rId26"/>
        </w:object>
      </w:r>
    </w:p>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3BB"/>
    <w:rsid w:val="002A5090"/>
    <w:rsid w:val="003453BB"/>
    <w:rsid w:val="003F36CB"/>
    <w:rsid w:val="005C6F5D"/>
    <w:rsid w:val="008C374B"/>
    <w:rsid w:val="00954821"/>
    <w:rsid w:val="00AF416B"/>
    <w:rsid w:val="00DF54BA"/>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8ABD4"/>
  <w15:chartTrackingRefBased/>
  <w15:docId w15:val="{438C68F7-B2A7-4C9F-B477-434FBA341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3BB"/>
    <w:rPr>
      <w:rFonts w:ascii="Calibri" w:eastAsia="Calibri" w:hAnsi="Calibri" w:cs="Calibri"/>
      <w:kern w:val="0"/>
      <w:lang w:eastAsia="en-GB"/>
      <w14:ligatures w14:val="none"/>
    </w:rPr>
  </w:style>
  <w:style w:type="paragraph" w:styleId="Heading1">
    <w:name w:val="heading 1"/>
    <w:basedOn w:val="Normal"/>
    <w:next w:val="Normal"/>
    <w:link w:val="Heading1Char"/>
    <w:uiPriority w:val="9"/>
    <w:qFormat/>
    <w:rsid w:val="003453BB"/>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453BB"/>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453BB"/>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453BB"/>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3453BB"/>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3453BB"/>
    <w:pPr>
      <w:keepNext/>
      <w:keepLines/>
      <w:spacing w:before="40" w:after="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3453BB"/>
    <w:pPr>
      <w:keepNext/>
      <w:keepLines/>
      <w:spacing w:before="40" w:after="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3453BB"/>
    <w:pPr>
      <w:keepNext/>
      <w:keepLines/>
      <w:spacing w:after="0"/>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3453BB"/>
    <w:pPr>
      <w:keepNext/>
      <w:keepLines/>
      <w:spacing w:after="0"/>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3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53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53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53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53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53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53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53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53BB"/>
    <w:rPr>
      <w:rFonts w:eastAsiaTheme="majorEastAsia" w:cstheme="majorBidi"/>
      <w:color w:val="272727" w:themeColor="text1" w:themeTint="D8"/>
    </w:rPr>
  </w:style>
  <w:style w:type="paragraph" w:styleId="Title">
    <w:name w:val="Title"/>
    <w:basedOn w:val="Normal"/>
    <w:next w:val="Normal"/>
    <w:link w:val="TitleChar"/>
    <w:uiPriority w:val="10"/>
    <w:qFormat/>
    <w:rsid w:val="003453BB"/>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453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53BB"/>
    <w:pPr>
      <w:numPr>
        <w:ilvl w:val="1"/>
      </w:numPr>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3453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53BB"/>
    <w:pPr>
      <w:spacing w:before="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3453BB"/>
    <w:rPr>
      <w:i/>
      <w:iCs/>
      <w:color w:val="404040" w:themeColor="text1" w:themeTint="BF"/>
    </w:rPr>
  </w:style>
  <w:style w:type="paragraph" w:styleId="ListParagraph">
    <w:name w:val="List Paragraph"/>
    <w:basedOn w:val="Normal"/>
    <w:uiPriority w:val="34"/>
    <w:qFormat/>
    <w:rsid w:val="003453BB"/>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3453BB"/>
    <w:rPr>
      <w:i/>
      <w:iCs/>
      <w:color w:val="0F4761" w:themeColor="accent1" w:themeShade="BF"/>
    </w:rPr>
  </w:style>
  <w:style w:type="paragraph" w:styleId="IntenseQuote">
    <w:name w:val="Intense Quote"/>
    <w:basedOn w:val="Normal"/>
    <w:next w:val="Normal"/>
    <w:link w:val="IntenseQuoteChar"/>
    <w:uiPriority w:val="30"/>
    <w:qFormat/>
    <w:rsid w:val="003453B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3453BB"/>
    <w:rPr>
      <w:i/>
      <w:iCs/>
      <w:color w:val="0F4761" w:themeColor="accent1" w:themeShade="BF"/>
    </w:rPr>
  </w:style>
  <w:style w:type="character" w:styleId="IntenseReference">
    <w:name w:val="Intense Reference"/>
    <w:basedOn w:val="DefaultParagraphFont"/>
    <w:uiPriority w:val="32"/>
    <w:qFormat/>
    <w:rsid w:val="003453BB"/>
    <w:rPr>
      <w:b/>
      <w:bCs/>
      <w:smallCaps/>
      <w:color w:val="0F4761" w:themeColor="accent1" w:themeShade="BF"/>
      <w:spacing w:val="5"/>
    </w:rPr>
  </w:style>
  <w:style w:type="paragraph" w:customStyle="1" w:styleId="Style1">
    <w:name w:val="Style1"/>
    <w:basedOn w:val="Heading2"/>
    <w:link w:val="Style1Char"/>
    <w:qFormat/>
    <w:rsid w:val="003453BB"/>
    <w:pPr>
      <w:spacing w:before="360"/>
      <w:jc w:val="center"/>
    </w:pPr>
    <w:rPr>
      <w:rFonts w:ascii="Times New Roman" w:eastAsia="Times New Roman" w:hAnsi="Times New Roman" w:cs="Times New Roman"/>
      <w:color w:val="auto"/>
      <w:kern w:val="0"/>
      <w:sz w:val="28"/>
      <w:szCs w:val="28"/>
      <w:lang w:eastAsia="en-GB"/>
      <w14:ligatures w14:val="none"/>
    </w:rPr>
  </w:style>
  <w:style w:type="character" w:customStyle="1" w:styleId="Style1Char">
    <w:name w:val="Style1 Char"/>
    <w:basedOn w:val="DefaultParagraphFont"/>
    <w:link w:val="Style1"/>
    <w:rsid w:val="003453BB"/>
    <w:rPr>
      <w:rFonts w:ascii="Times New Roman" w:eastAsia="Times New Roman" w:hAnsi="Times New Roman" w:cs="Times New Roman"/>
      <w:kern w:val="0"/>
      <w:sz w:val="28"/>
      <w:szCs w:val="28"/>
      <w:lang w:eastAsia="en-GB"/>
      <w14:ligatures w14:val="none"/>
    </w:rPr>
  </w:style>
  <w:style w:type="paragraph" w:customStyle="1" w:styleId="Style2">
    <w:name w:val="Style2"/>
    <w:basedOn w:val="Heading4"/>
    <w:link w:val="Style2Char"/>
    <w:qFormat/>
    <w:rsid w:val="003453BB"/>
    <w:pPr>
      <w:spacing w:before="240"/>
      <w:jc w:val="both"/>
    </w:pPr>
    <w:rPr>
      <w:rFonts w:ascii="Times New Roman" w:eastAsia="Times New Roman" w:hAnsi="Times New Roman" w:cs="Times New Roman"/>
      <w:i w:val="0"/>
      <w:iCs w:val="0"/>
      <w:color w:val="auto"/>
      <w:kern w:val="0"/>
      <w:sz w:val="24"/>
      <w:szCs w:val="24"/>
      <w:lang w:eastAsia="en-GB"/>
      <w14:ligatures w14:val="none"/>
    </w:rPr>
  </w:style>
  <w:style w:type="character" w:customStyle="1" w:styleId="Style2Char">
    <w:name w:val="Style2 Char"/>
    <w:basedOn w:val="DefaultParagraphFont"/>
    <w:link w:val="Style2"/>
    <w:rsid w:val="003453BB"/>
    <w:rPr>
      <w:rFonts w:ascii="Times New Roman" w:eastAsia="Times New Roman" w:hAnsi="Times New Roman" w:cs="Times New Roman"/>
      <w:kern w:val="0"/>
      <w:sz w:val="24"/>
      <w:szCs w:val="24"/>
      <w:lang w:eastAsia="en-GB"/>
      <w14:ligatures w14:val="none"/>
    </w:rPr>
  </w:style>
  <w:style w:type="character" w:customStyle="1" w:styleId="Stylef3Char">
    <w:name w:val="Stylef3 Char"/>
    <w:basedOn w:val="DefaultParagraphFont"/>
    <w:link w:val="Stylef3"/>
    <w:locked/>
    <w:rsid w:val="003453BB"/>
    <w:rPr>
      <w:rFonts w:ascii="Times New Roman" w:eastAsia="Times New Roman" w:hAnsi="Times New Roman" w:cs="Times New Roman"/>
      <w:sz w:val="24"/>
    </w:rPr>
  </w:style>
  <w:style w:type="paragraph" w:customStyle="1" w:styleId="Stylef3">
    <w:name w:val="Stylef3"/>
    <w:basedOn w:val="Normal"/>
    <w:link w:val="Stylef3Char"/>
    <w:qFormat/>
    <w:rsid w:val="003453BB"/>
    <w:pPr>
      <w:spacing w:before="120" w:after="280" w:line="240" w:lineRule="auto"/>
      <w:jc w:val="both"/>
    </w:pPr>
    <w:rPr>
      <w:rFonts w:ascii="Times New Roman" w:eastAsia="Times New Roman" w:hAnsi="Times New Roman" w:cs="Times New Roman"/>
      <w:kern w:val="2"/>
      <w:sz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oleObject" Target="embeddings/oleObject2.bin"/><Relationship Id="rId26" Type="http://schemas.openxmlformats.org/officeDocument/2006/relationships/oleObject" Target="embeddings/oleObject6.bin"/><Relationship Id="rId3" Type="http://schemas.openxmlformats.org/officeDocument/2006/relationships/webSettings" Target="webSettings.xml"/><Relationship Id="rId21" Type="http://schemas.openxmlformats.org/officeDocument/2006/relationships/image" Target="media/image15.emf"/><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3.emf"/><Relationship Id="rId25" Type="http://schemas.openxmlformats.org/officeDocument/2006/relationships/image" Target="media/image17.emf"/><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oleObject" Target="embeddings/oleObject3.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oleObject" Target="embeddings/oleObject5.bin"/><Relationship Id="rId5" Type="http://schemas.openxmlformats.org/officeDocument/2006/relationships/image" Target="media/image2.png"/><Relationship Id="rId15" Type="http://schemas.openxmlformats.org/officeDocument/2006/relationships/oleObject" Target="embeddings/oleObject1.bin"/><Relationship Id="rId23" Type="http://schemas.openxmlformats.org/officeDocument/2006/relationships/image" Target="media/image16.emf"/><Relationship Id="rId28"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4.emf"/><Relationship Id="rId4" Type="http://schemas.openxmlformats.org/officeDocument/2006/relationships/image" Target="media/image1.emf"/><Relationship Id="rId9" Type="http://schemas.openxmlformats.org/officeDocument/2006/relationships/image" Target="media/image6.jpeg"/><Relationship Id="rId14" Type="http://schemas.openxmlformats.org/officeDocument/2006/relationships/image" Target="media/image11.emf"/><Relationship Id="rId22" Type="http://schemas.openxmlformats.org/officeDocument/2006/relationships/oleObject" Target="embeddings/oleObject4.bin"/><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2414</Words>
  <Characters>13766</Characters>
  <Application>Microsoft Office Word</Application>
  <DocSecurity>0</DocSecurity>
  <Lines>114</Lines>
  <Paragraphs>32</Paragraphs>
  <ScaleCrop>false</ScaleCrop>
  <Company>Springer Nature</Company>
  <LinksUpToDate>false</LinksUpToDate>
  <CharactersWithSpaces>16148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2025-03-27T08:13:00Z</dcterms:created>
  <dcterms:modified xsi:type="dcterms:W3CDTF">2025-03-27T08:13:00Z</dcterms:modified>
</cp:coreProperties>
</file>