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A96C" w14:textId="77777777" w:rsidR="005764A2" w:rsidRPr="00935106" w:rsidRDefault="005764A2" w:rsidP="005764A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66729073"/>
      <w:r w:rsidRPr="00935106">
        <w:rPr>
          <w:rFonts w:asciiTheme="majorBidi" w:hAnsiTheme="majorBidi" w:cstheme="majorBidi"/>
          <w:b/>
          <w:bCs/>
          <w:sz w:val="24"/>
          <w:szCs w:val="24"/>
        </w:rPr>
        <w:t xml:space="preserve">Integration and gene co-expression network analysis of scRNA-seq transcriptomes reveal heterogeneity and key functional genes in human spermatogenesis </w:t>
      </w:r>
    </w:p>
    <w:bookmarkEnd w:id="0"/>
    <w:p w14:paraId="6A907544" w14:textId="77777777" w:rsidR="005764A2" w:rsidRPr="00935106" w:rsidRDefault="005764A2" w:rsidP="005764A2">
      <w:pPr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935106">
        <w:rPr>
          <w:rFonts w:asciiTheme="majorBidi" w:hAnsiTheme="majorBidi" w:cstheme="majorBidi"/>
          <w:sz w:val="24"/>
          <w:szCs w:val="24"/>
        </w:rPr>
        <w:t>Najmeh Salehi</w:t>
      </w: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1,2</w:t>
      </w:r>
      <w:r w:rsidRPr="00935106">
        <w:rPr>
          <w:rFonts w:asciiTheme="majorBidi" w:hAnsiTheme="majorBidi" w:cstheme="majorBidi"/>
          <w:sz w:val="24"/>
          <w:szCs w:val="24"/>
        </w:rPr>
        <w:t>, Mohammad Hossein Karimi-Jafari</w:t>
      </w: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935106">
        <w:rPr>
          <w:rFonts w:asciiTheme="majorBidi" w:hAnsiTheme="majorBidi" w:cstheme="majorBidi"/>
          <w:sz w:val="24"/>
          <w:szCs w:val="24"/>
        </w:rPr>
        <w:t>, Mehdi Totonchi</w:t>
      </w: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1,2*</w:t>
      </w:r>
      <w:r>
        <w:rPr>
          <w:rFonts w:asciiTheme="majorBidi" w:hAnsiTheme="majorBidi" w:cstheme="majorBidi"/>
          <w:sz w:val="24"/>
          <w:szCs w:val="24"/>
        </w:rPr>
        <w:t>, A</w:t>
      </w:r>
      <w:r w:rsidRPr="00935106">
        <w:rPr>
          <w:rFonts w:asciiTheme="majorBidi" w:hAnsiTheme="majorBidi" w:cstheme="majorBidi"/>
          <w:sz w:val="24"/>
          <w:szCs w:val="24"/>
        </w:rPr>
        <w:t>mir Amiri-Yekta</w:t>
      </w: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1*</w:t>
      </w:r>
    </w:p>
    <w:p w14:paraId="42EF943C" w14:textId="77777777" w:rsidR="005764A2" w:rsidRPr="00935106" w:rsidRDefault="005764A2" w:rsidP="005764A2">
      <w:pPr>
        <w:jc w:val="both"/>
        <w:rPr>
          <w:rFonts w:asciiTheme="majorBidi" w:hAnsiTheme="majorBidi" w:cstheme="majorBidi"/>
          <w:sz w:val="24"/>
          <w:szCs w:val="24"/>
        </w:rPr>
      </w:pP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935106">
        <w:rPr>
          <w:rFonts w:asciiTheme="majorBidi" w:hAnsiTheme="majorBidi" w:cstheme="majorBidi"/>
          <w:sz w:val="24"/>
          <w:szCs w:val="24"/>
        </w:rPr>
        <w:t xml:space="preserve"> </w:t>
      </w:r>
      <w:bookmarkStart w:id="1" w:name="_Hlk66731608"/>
      <w:r w:rsidRPr="00935106">
        <w:rPr>
          <w:rFonts w:asciiTheme="majorBidi" w:hAnsiTheme="majorBidi" w:cstheme="majorBidi"/>
          <w:sz w:val="24"/>
          <w:szCs w:val="24"/>
        </w:rPr>
        <w:t>Department of Genetics</w:t>
      </w:r>
      <w:bookmarkEnd w:id="1"/>
      <w:r w:rsidRPr="00935106">
        <w:rPr>
          <w:rFonts w:asciiTheme="majorBidi" w:hAnsiTheme="majorBidi" w:cstheme="majorBidi"/>
          <w:sz w:val="24"/>
          <w:szCs w:val="24"/>
        </w:rPr>
        <w:t xml:space="preserve">, </w:t>
      </w:r>
      <w:bookmarkStart w:id="2" w:name="_Hlk66731626"/>
      <w:r w:rsidRPr="00935106">
        <w:rPr>
          <w:rFonts w:asciiTheme="majorBidi" w:hAnsiTheme="majorBidi" w:cstheme="majorBidi"/>
          <w:sz w:val="24"/>
          <w:szCs w:val="24"/>
        </w:rPr>
        <w:t xml:space="preserve">Reproductive Biomedicine Research Center, </w:t>
      </w:r>
      <w:proofErr w:type="spellStart"/>
      <w:r w:rsidRPr="00935106">
        <w:rPr>
          <w:rFonts w:asciiTheme="majorBidi" w:hAnsiTheme="majorBidi" w:cstheme="majorBidi"/>
          <w:sz w:val="24"/>
          <w:szCs w:val="24"/>
        </w:rPr>
        <w:t>Royan</w:t>
      </w:r>
      <w:proofErr w:type="spellEnd"/>
      <w:r w:rsidRPr="00935106">
        <w:rPr>
          <w:rFonts w:asciiTheme="majorBidi" w:hAnsiTheme="majorBidi" w:cstheme="majorBidi"/>
          <w:sz w:val="24"/>
          <w:szCs w:val="24"/>
        </w:rPr>
        <w:t xml:space="preserve"> Institute for Reproductive Biomedicine</w:t>
      </w:r>
      <w:bookmarkEnd w:id="2"/>
      <w:r w:rsidRPr="00935106">
        <w:rPr>
          <w:rFonts w:asciiTheme="majorBidi" w:hAnsiTheme="majorBidi" w:cstheme="majorBidi"/>
          <w:sz w:val="24"/>
          <w:szCs w:val="24"/>
        </w:rPr>
        <w:t>, ACECR, Tehran, Iran.</w:t>
      </w:r>
    </w:p>
    <w:p w14:paraId="7C16962A" w14:textId="77777777" w:rsidR="005764A2" w:rsidRPr="00935106" w:rsidRDefault="005764A2" w:rsidP="005764A2">
      <w:pPr>
        <w:jc w:val="both"/>
        <w:rPr>
          <w:rFonts w:asciiTheme="majorBidi" w:hAnsiTheme="majorBidi" w:cstheme="majorBidi"/>
          <w:sz w:val="24"/>
          <w:szCs w:val="24"/>
        </w:rPr>
      </w:pP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935106">
        <w:rPr>
          <w:rFonts w:asciiTheme="majorBidi" w:hAnsiTheme="majorBidi" w:cstheme="majorBidi"/>
          <w:sz w:val="24"/>
          <w:szCs w:val="24"/>
        </w:rPr>
        <w:t xml:space="preserve"> School of Biological Science, Institute for Research in Fundamental Sciences (IPM), Tehran, Iran.</w:t>
      </w:r>
    </w:p>
    <w:p w14:paraId="098BB755" w14:textId="77777777" w:rsidR="005764A2" w:rsidRPr="00935106" w:rsidRDefault="005764A2" w:rsidP="005764A2">
      <w:pPr>
        <w:jc w:val="both"/>
        <w:rPr>
          <w:rFonts w:asciiTheme="majorBidi" w:hAnsiTheme="majorBidi" w:cstheme="majorBidi"/>
          <w:sz w:val="24"/>
          <w:szCs w:val="24"/>
        </w:rPr>
      </w:pP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935106">
        <w:rPr>
          <w:rFonts w:asciiTheme="majorBidi" w:hAnsiTheme="majorBidi" w:cstheme="majorBidi"/>
          <w:sz w:val="24"/>
          <w:szCs w:val="24"/>
        </w:rPr>
        <w:t xml:space="preserve"> Department of Bioinformatics, Institute of Biochemistry and Biophysics, University of Tehran, Tehran, Iran.</w:t>
      </w:r>
    </w:p>
    <w:p w14:paraId="5004E4E9" w14:textId="77777777" w:rsidR="005764A2" w:rsidRPr="00935106" w:rsidRDefault="005764A2" w:rsidP="005764A2">
      <w:pPr>
        <w:jc w:val="both"/>
        <w:rPr>
          <w:rFonts w:asciiTheme="majorBidi" w:hAnsiTheme="majorBidi" w:cstheme="majorBidi"/>
          <w:sz w:val="24"/>
          <w:szCs w:val="24"/>
        </w:rPr>
      </w:pPr>
      <w:r w:rsidRPr="00935106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935106">
        <w:rPr>
          <w:rFonts w:asciiTheme="majorBidi" w:hAnsiTheme="majorBidi" w:cstheme="majorBidi"/>
          <w:sz w:val="24"/>
          <w:szCs w:val="24"/>
        </w:rPr>
        <w:t xml:space="preserve"> Correspondence: </w:t>
      </w:r>
      <w:hyperlink r:id="rId4" w:history="1">
        <w:r w:rsidRPr="00935106">
          <w:rPr>
            <w:rStyle w:val="Hyperlink"/>
            <w:rFonts w:asciiTheme="majorBidi" w:hAnsiTheme="majorBidi" w:cstheme="majorBidi"/>
            <w:color w:val="0070C0"/>
            <w:sz w:val="24"/>
            <w:szCs w:val="24"/>
          </w:rPr>
          <w:t>m.totonchi@royaninstitute.org</w:t>
        </w:r>
      </w:hyperlink>
      <w:r w:rsidRPr="00935106">
        <w:rPr>
          <w:rFonts w:asciiTheme="majorBidi" w:hAnsiTheme="majorBidi" w:cstheme="majorBidi"/>
          <w:sz w:val="24"/>
          <w:szCs w:val="24"/>
        </w:rPr>
        <w:t xml:space="preserve">, </w:t>
      </w:r>
      <w:hyperlink r:id="rId5" w:history="1">
        <w:r w:rsidRPr="00935106">
          <w:rPr>
            <w:rStyle w:val="Hyperlink"/>
            <w:rFonts w:asciiTheme="majorBidi" w:hAnsiTheme="majorBidi" w:cstheme="majorBidi"/>
            <w:color w:val="0070C0"/>
            <w:sz w:val="24"/>
            <w:szCs w:val="24"/>
          </w:rPr>
          <w:t>amir.amiriyekta@royaninstitute.org</w:t>
        </w:r>
      </w:hyperlink>
      <w:r w:rsidRPr="00935106">
        <w:rPr>
          <w:rFonts w:asciiTheme="majorBidi" w:hAnsiTheme="majorBidi" w:cstheme="majorBidi"/>
          <w:color w:val="0070C0"/>
          <w:sz w:val="24"/>
          <w:szCs w:val="24"/>
        </w:rPr>
        <w:t xml:space="preserve"> </w:t>
      </w:r>
    </w:p>
    <w:p w14:paraId="0A9C5B6D" w14:textId="4D246AFF" w:rsidR="00512489" w:rsidRDefault="00512489">
      <w:pPr>
        <w:rPr>
          <w:noProof/>
        </w:rPr>
      </w:pPr>
    </w:p>
    <w:p w14:paraId="09298F2F" w14:textId="1A66A9AF" w:rsidR="00512489" w:rsidRDefault="00512489">
      <w:pPr>
        <w:rPr>
          <w:noProof/>
        </w:rPr>
      </w:pPr>
    </w:p>
    <w:p w14:paraId="6F886D79" w14:textId="5FDC9F0F" w:rsidR="00512489" w:rsidRDefault="00512489">
      <w:pPr>
        <w:rPr>
          <w:noProof/>
        </w:rPr>
      </w:pPr>
    </w:p>
    <w:p w14:paraId="2DCEF611" w14:textId="77C2A810" w:rsidR="00512489" w:rsidRDefault="00512489">
      <w:pPr>
        <w:rPr>
          <w:noProof/>
        </w:rPr>
      </w:pPr>
    </w:p>
    <w:p w14:paraId="01B66F5E" w14:textId="4EDB1EDF" w:rsidR="00512489" w:rsidRDefault="00512489">
      <w:pPr>
        <w:rPr>
          <w:noProof/>
        </w:rPr>
      </w:pPr>
    </w:p>
    <w:p w14:paraId="473C33EB" w14:textId="6BA0A638" w:rsidR="00512489" w:rsidRDefault="00512489">
      <w:pPr>
        <w:rPr>
          <w:noProof/>
        </w:rPr>
      </w:pPr>
    </w:p>
    <w:p w14:paraId="0D15A91C" w14:textId="77777777" w:rsidR="00512489" w:rsidRDefault="00512489">
      <w:pPr>
        <w:rPr>
          <w:noProof/>
        </w:rPr>
      </w:pPr>
    </w:p>
    <w:p w14:paraId="24F73528" w14:textId="704E6598" w:rsidR="00B61EBD" w:rsidRDefault="00274E5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5C8FDE" wp14:editId="09FA8582">
            <wp:extent cx="5943600" cy="3863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982" w14:textId="216B5437" w:rsidR="00274E5D" w:rsidRDefault="00274E5D" w:rsidP="00EB303F">
      <w:pPr>
        <w:rPr>
          <w:rFonts w:asciiTheme="majorBidi" w:hAnsiTheme="majorBidi" w:cstheme="majorBidi"/>
          <w:sz w:val="24"/>
          <w:szCs w:val="24"/>
        </w:rPr>
      </w:pPr>
      <w:r w:rsidRPr="00274E5D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6D3D4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274E5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274E5D">
        <w:rPr>
          <w:rFonts w:asciiTheme="majorBidi" w:hAnsiTheme="majorBidi" w:cstheme="majorBidi"/>
          <w:sz w:val="24"/>
          <w:szCs w:val="24"/>
        </w:rPr>
        <w:t>UMAP plot</w:t>
      </w:r>
      <w:r>
        <w:rPr>
          <w:rFonts w:asciiTheme="majorBidi" w:hAnsiTheme="majorBidi" w:cstheme="majorBidi"/>
          <w:sz w:val="24"/>
          <w:szCs w:val="24"/>
        </w:rPr>
        <w:t>s</w:t>
      </w:r>
      <w:r w:rsidRPr="00274E5D">
        <w:rPr>
          <w:rFonts w:asciiTheme="majorBidi" w:hAnsiTheme="majorBidi" w:cstheme="majorBidi"/>
          <w:sz w:val="24"/>
          <w:szCs w:val="24"/>
        </w:rPr>
        <w:t xml:space="preserve"> of integrated human testicular cells data, cells were colored based on the </w:t>
      </w:r>
      <w:r w:rsidR="00EB303F">
        <w:rPr>
          <w:rFonts w:asciiTheme="majorBidi" w:hAnsiTheme="majorBidi" w:cstheme="majorBidi"/>
          <w:sz w:val="24"/>
          <w:szCs w:val="24"/>
        </w:rPr>
        <w:t>five different used datasets in this study from A to E.</w:t>
      </w:r>
    </w:p>
    <w:p w14:paraId="430C67FF" w14:textId="4DFE7D93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3724455F" w14:textId="0586269B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0683BAAA" w14:textId="069CC1A3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46BD2E55" w14:textId="62A73B7C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44A1DE43" w14:textId="10D87E7E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5C796C8E" w14:textId="39467A0C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5FC4FEDE" w14:textId="237262B1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7640E42F" w14:textId="327ECEA5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45CA5540" w14:textId="7E3552C3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5EB4ECDD" w14:textId="5DEFB506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50007FBF" w14:textId="3E3190B0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0E8882A9" w14:textId="26095541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4F185982" w14:textId="742EA139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</w:p>
    <w:p w14:paraId="02C9DE03" w14:textId="381AD979" w:rsidR="00373704" w:rsidRDefault="00373704" w:rsidP="00EB303F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76E32A" wp14:editId="78AF1351">
            <wp:extent cx="5943600" cy="38633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A5DB" w14:textId="144A508B" w:rsidR="002479ED" w:rsidRPr="00373704" w:rsidRDefault="00373704" w:rsidP="000E528A">
      <w:pPr>
        <w:jc w:val="both"/>
        <w:rPr>
          <w:rFonts w:asciiTheme="majorBidi" w:hAnsiTheme="majorBidi" w:cstheme="majorBidi"/>
          <w:sz w:val="24"/>
          <w:szCs w:val="24"/>
        </w:rPr>
      </w:pPr>
      <w:r w:rsidRPr="00274E5D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6D3D4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73704">
        <w:rPr>
          <w:rFonts w:asciiTheme="majorBidi" w:hAnsiTheme="majorBidi" w:cstheme="majorBidi"/>
          <w:sz w:val="24"/>
          <w:szCs w:val="24"/>
        </w:rPr>
        <w:t xml:space="preserve">Expression of </w:t>
      </w:r>
      <w:r>
        <w:rPr>
          <w:rFonts w:asciiTheme="majorBidi" w:hAnsiTheme="majorBidi" w:cstheme="majorBidi"/>
          <w:sz w:val="24"/>
          <w:szCs w:val="24"/>
        </w:rPr>
        <w:t>spermatogonia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 w:rsidR="00F5264C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. (A) </w:t>
      </w:r>
      <w:r w:rsidRPr="00373704">
        <w:rPr>
          <w:rFonts w:asciiTheme="majorBidi" w:hAnsiTheme="majorBidi" w:cstheme="majorBidi"/>
          <w:sz w:val="24"/>
          <w:szCs w:val="24"/>
        </w:rPr>
        <w:t xml:space="preserve">Gene expression patterns of </w:t>
      </w:r>
      <w:r>
        <w:rPr>
          <w:rFonts w:asciiTheme="majorBidi" w:hAnsiTheme="majorBidi" w:cstheme="majorBidi"/>
          <w:sz w:val="24"/>
          <w:szCs w:val="24"/>
        </w:rPr>
        <w:t>spermatogonia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 w:rsidR="000E528A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5264C">
        <w:rPr>
          <w:rFonts w:asciiTheme="majorBidi" w:hAnsiTheme="majorBidi" w:cstheme="majorBidi"/>
          <w:sz w:val="24"/>
          <w:szCs w:val="24"/>
        </w:rPr>
        <w:t>i</w:t>
      </w:r>
      <w:r w:rsidRPr="00373704">
        <w:rPr>
          <w:rFonts w:asciiTheme="majorBidi" w:hAnsiTheme="majorBidi" w:cstheme="majorBidi"/>
          <w:sz w:val="24"/>
          <w:szCs w:val="24"/>
        </w:rPr>
        <w:t>n the UMAP space</w:t>
      </w:r>
      <w:r>
        <w:rPr>
          <w:rFonts w:asciiTheme="majorBidi" w:hAnsiTheme="majorBidi" w:cstheme="majorBidi"/>
          <w:sz w:val="24"/>
          <w:szCs w:val="24"/>
        </w:rPr>
        <w:t xml:space="preserve"> and their expression levels </w:t>
      </w:r>
      <w:r w:rsidR="00F5264C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n each cluster.</w:t>
      </w:r>
      <w:r w:rsidR="002A42CD">
        <w:rPr>
          <w:rFonts w:asciiTheme="majorBidi" w:hAnsiTheme="majorBidi" w:cstheme="majorBidi"/>
          <w:sz w:val="24"/>
          <w:szCs w:val="24"/>
        </w:rPr>
        <w:t xml:space="preserve"> (B) Dot-plot presentation of markers expression</w:t>
      </w:r>
      <w:r w:rsidR="00D9480F">
        <w:rPr>
          <w:rFonts w:asciiTheme="majorBidi" w:hAnsiTheme="majorBidi" w:cstheme="majorBidi"/>
          <w:sz w:val="24"/>
          <w:szCs w:val="24"/>
        </w:rPr>
        <w:t>.</w:t>
      </w:r>
      <w:r w:rsidR="002A42CD">
        <w:rPr>
          <w:rFonts w:asciiTheme="majorBidi" w:hAnsiTheme="majorBidi" w:cstheme="majorBidi"/>
          <w:sz w:val="24"/>
          <w:szCs w:val="24"/>
        </w:rPr>
        <w:t xml:space="preserve"> </w:t>
      </w:r>
    </w:p>
    <w:p w14:paraId="2E4D3694" w14:textId="63339B6A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4DDE0E91" w14:textId="5AE1C171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21C6F40E" w14:textId="6C837723" w:rsidR="002479ED" w:rsidRDefault="00763739" w:rsidP="00EB303F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77B793" wp14:editId="180A04AB">
            <wp:extent cx="5943600" cy="38633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D3900" w14:textId="0FBB020C" w:rsidR="00763739" w:rsidRDefault="00763739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274E5D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D3D4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73704">
        <w:rPr>
          <w:rFonts w:asciiTheme="majorBidi" w:hAnsiTheme="majorBidi" w:cstheme="majorBidi"/>
          <w:sz w:val="24"/>
          <w:szCs w:val="24"/>
        </w:rPr>
        <w:t xml:space="preserve">Expression of </w:t>
      </w:r>
      <w:r>
        <w:rPr>
          <w:rFonts w:asciiTheme="majorBidi" w:hAnsiTheme="majorBidi" w:cstheme="majorBidi"/>
          <w:sz w:val="24"/>
          <w:szCs w:val="24"/>
        </w:rPr>
        <w:t>spermatocyte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>
        <w:rPr>
          <w:rFonts w:asciiTheme="majorBidi" w:hAnsiTheme="majorBidi" w:cstheme="majorBidi"/>
          <w:sz w:val="24"/>
          <w:szCs w:val="24"/>
        </w:rPr>
        <w:t xml:space="preserve">s. (A) </w:t>
      </w:r>
      <w:r w:rsidRPr="00373704">
        <w:rPr>
          <w:rFonts w:asciiTheme="majorBidi" w:hAnsiTheme="majorBidi" w:cstheme="majorBidi"/>
          <w:sz w:val="24"/>
          <w:szCs w:val="24"/>
        </w:rPr>
        <w:t xml:space="preserve">Gene expression patterns of </w:t>
      </w:r>
      <w:r>
        <w:rPr>
          <w:rFonts w:asciiTheme="majorBidi" w:hAnsiTheme="majorBidi" w:cstheme="majorBidi"/>
          <w:sz w:val="24"/>
          <w:szCs w:val="24"/>
        </w:rPr>
        <w:t>spermatocyte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 w:rsidR="000E528A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i</w:t>
      </w:r>
      <w:r w:rsidRPr="00373704">
        <w:rPr>
          <w:rFonts w:asciiTheme="majorBidi" w:hAnsiTheme="majorBidi" w:cstheme="majorBidi"/>
          <w:sz w:val="24"/>
          <w:szCs w:val="24"/>
        </w:rPr>
        <w:t>n the UMAP space</w:t>
      </w:r>
      <w:r>
        <w:rPr>
          <w:rFonts w:asciiTheme="majorBidi" w:hAnsiTheme="majorBidi" w:cstheme="majorBidi"/>
          <w:sz w:val="24"/>
          <w:szCs w:val="24"/>
        </w:rPr>
        <w:t xml:space="preserve"> and their expression levels in each cluster.</w:t>
      </w:r>
      <w:r w:rsidR="00D9480F" w:rsidRPr="00D9480F">
        <w:rPr>
          <w:rFonts w:asciiTheme="majorBidi" w:hAnsiTheme="majorBidi" w:cstheme="majorBidi"/>
          <w:sz w:val="24"/>
          <w:szCs w:val="24"/>
        </w:rPr>
        <w:t xml:space="preserve"> </w:t>
      </w:r>
      <w:r w:rsidR="00D9480F">
        <w:rPr>
          <w:rFonts w:asciiTheme="majorBidi" w:hAnsiTheme="majorBidi" w:cstheme="majorBidi"/>
          <w:sz w:val="24"/>
          <w:szCs w:val="24"/>
        </w:rPr>
        <w:t>(B) Dot-plot presentation of markers expression.</w:t>
      </w:r>
    </w:p>
    <w:p w14:paraId="5BA532F8" w14:textId="6BA13D71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23BF00BA" w14:textId="718BAFF7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6EA931D" w14:textId="401A8718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54BD691A" w14:textId="0175EBEE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23E8C901" w14:textId="3473E00A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5C66B935" w14:textId="6BDC1914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75BB0F4C" w14:textId="2446BA57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48676C74" w14:textId="42B8779B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39D14A81" w14:textId="2D23FE7F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58E71A7D" w14:textId="34F00AC6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77DA0DD7" w14:textId="0351EEFD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794A1961" w14:textId="2ABC844B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D2C0AF0" w14:textId="759F4D0D" w:rsidR="000E528A" w:rsidRPr="00373704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6DDAA2" wp14:editId="66C0F46C">
            <wp:extent cx="5943600" cy="3865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08E3A" w14:textId="7CED0F5F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48E0023F" w14:textId="4C951E5F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  <w:r w:rsidRPr="00274E5D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6D3D4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73704">
        <w:rPr>
          <w:rFonts w:asciiTheme="majorBidi" w:hAnsiTheme="majorBidi" w:cstheme="majorBidi"/>
          <w:sz w:val="24"/>
          <w:szCs w:val="24"/>
        </w:rPr>
        <w:t xml:space="preserve">Expression of </w:t>
      </w:r>
      <w:r>
        <w:rPr>
          <w:rFonts w:asciiTheme="majorBidi" w:hAnsiTheme="majorBidi" w:cstheme="majorBidi"/>
          <w:sz w:val="24"/>
          <w:szCs w:val="24"/>
        </w:rPr>
        <w:t>spermatid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>
        <w:rPr>
          <w:rFonts w:asciiTheme="majorBidi" w:hAnsiTheme="majorBidi" w:cstheme="majorBidi"/>
          <w:sz w:val="24"/>
          <w:szCs w:val="24"/>
        </w:rPr>
        <w:t xml:space="preserve">s. (A) </w:t>
      </w:r>
      <w:r w:rsidRPr="00373704">
        <w:rPr>
          <w:rFonts w:asciiTheme="majorBidi" w:hAnsiTheme="majorBidi" w:cstheme="majorBidi"/>
          <w:sz w:val="24"/>
          <w:szCs w:val="24"/>
        </w:rPr>
        <w:t xml:space="preserve">Gene expression patterns of </w:t>
      </w:r>
      <w:r>
        <w:rPr>
          <w:rFonts w:asciiTheme="majorBidi" w:hAnsiTheme="majorBidi" w:cstheme="majorBidi"/>
          <w:sz w:val="24"/>
          <w:szCs w:val="24"/>
        </w:rPr>
        <w:t>spermatid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>
        <w:rPr>
          <w:rFonts w:asciiTheme="majorBidi" w:hAnsiTheme="majorBidi" w:cstheme="majorBidi"/>
          <w:sz w:val="24"/>
          <w:szCs w:val="24"/>
        </w:rPr>
        <w:t>s i</w:t>
      </w:r>
      <w:r w:rsidRPr="00373704">
        <w:rPr>
          <w:rFonts w:asciiTheme="majorBidi" w:hAnsiTheme="majorBidi" w:cstheme="majorBidi"/>
          <w:sz w:val="24"/>
          <w:szCs w:val="24"/>
        </w:rPr>
        <w:t>n the UMAP space</w:t>
      </w:r>
      <w:r>
        <w:rPr>
          <w:rFonts w:asciiTheme="majorBidi" w:hAnsiTheme="majorBidi" w:cstheme="majorBidi"/>
          <w:sz w:val="24"/>
          <w:szCs w:val="24"/>
        </w:rPr>
        <w:t xml:space="preserve"> and their expression levels in each cluster.</w:t>
      </w:r>
      <w:r w:rsidRPr="00D9480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(B) Dot-plot presentation of markers expression.</w:t>
      </w:r>
    </w:p>
    <w:p w14:paraId="54D1892C" w14:textId="058839C0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61C2948" w14:textId="11688148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1345DA0" w14:textId="00F8C55B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2B7DBD8" w14:textId="4279D89E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77800F6" w14:textId="31C9B5DC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2528041" w14:textId="520F1474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79093FD" w14:textId="708A0F53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B7AC8C0" w14:textId="307479A4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F6B6736" w14:textId="56636C44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F3D4B0A" w14:textId="2D748C69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B3B6073" w14:textId="5FF0007B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54F4D52" w14:textId="3AC2BF59" w:rsidR="007B0516" w:rsidRDefault="007B0516" w:rsidP="000E528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69DE4A" wp14:editId="46CCF38B">
            <wp:extent cx="5943600" cy="38652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E284" w14:textId="18B81B0F" w:rsidR="00D528BB" w:rsidRDefault="00D528BB" w:rsidP="00D528BB">
      <w:pPr>
        <w:jc w:val="both"/>
        <w:rPr>
          <w:rFonts w:asciiTheme="majorBidi" w:hAnsiTheme="majorBidi" w:cstheme="majorBidi"/>
          <w:sz w:val="24"/>
          <w:szCs w:val="24"/>
        </w:rPr>
      </w:pPr>
      <w:r w:rsidRPr="00274E5D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6D3D4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73704">
        <w:rPr>
          <w:rFonts w:asciiTheme="majorBidi" w:hAnsiTheme="majorBidi" w:cstheme="majorBidi"/>
          <w:sz w:val="24"/>
          <w:szCs w:val="24"/>
        </w:rPr>
        <w:t xml:space="preserve">Expression of </w:t>
      </w:r>
      <w:r>
        <w:rPr>
          <w:rFonts w:asciiTheme="majorBidi" w:hAnsiTheme="majorBidi" w:cstheme="majorBidi"/>
          <w:sz w:val="24"/>
          <w:szCs w:val="24"/>
        </w:rPr>
        <w:t>somatic</w:t>
      </w:r>
      <w:r w:rsidRPr="0037370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cells </w:t>
      </w:r>
      <w:r w:rsidRPr="00373704">
        <w:rPr>
          <w:rFonts w:asciiTheme="majorBidi" w:hAnsiTheme="majorBidi" w:cstheme="majorBidi"/>
          <w:sz w:val="24"/>
          <w:szCs w:val="24"/>
        </w:rPr>
        <w:t>marker</w:t>
      </w:r>
      <w:r>
        <w:rPr>
          <w:rFonts w:asciiTheme="majorBidi" w:hAnsiTheme="majorBidi" w:cstheme="majorBidi"/>
          <w:sz w:val="24"/>
          <w:szCs w:val="24"/>
        </w:rPr>
        <w:t xml:space="preserve">s. (A) </w:t>
      </w:r>
      <w:r w:rsidRPr="00373704">
        <w:rPr>
          <w:rFonts w:asciiTheme="majorBidi" w:hAnsiTheme="majorBidi" w:cstheme="majorBidi"/>
          <w:sz w:val="24"/>
          <w:szCs w:val="24"/>
        </w:rPr>
        <w:t xml:space="preserve">Gene expression patterns of </w:t>
      </w:r>
      <w:r>
        <w:rPr>
          <w:rFonts w:asciiTheme="majorBidi" w:hAnsiTheme="majorBidi" w:cstheme="majorBidi"/>
          <w:sz w:val="24"/>
          <w:szCs w:val="24"/>
        </w:rPr>
        <w:t>somatic cell</w:t>
      </w:r>
      <w:r w:rsidRPr="00373704">
        <w:rPr>
          <w:rFonts w:asciiTheme="majorBidi" w:hAnsiTheme="majorBidi" w:cstheme="majorBidi"/>
          <w:sz w:val="24"/>
          <w:szCs w:val="24"/>
        </w:rPr>
        <w:t xml:space="preserve"> marker</w:t>
      </w:r>
      <w:r>
        <w:rPr>
          <w:rFonts w:asciiTheme="majorBidi" w:hAnsiTheme="majorBidi" w:cstheme="majorBidi"/>
          <w:sz w:val="24"/>
          <w:szCs w:val="24"/>
        </w:rPr>
        <w:t>s i</w:t>
      </w:r>
      <w:r w:rsidRPr="00373704">
        <w:rPr>
          <w:rFonts w:asciiTheme="majorBidi" w:hAnsiTheme="majorBidi" w:cstheme="majorBidi"/>
          <w:sz w:val="24"/>
          <w:szCs w:val="24"/>
        </w:rPr>
        <w:t>n the UMAP space</w:t>
      </w:r>
      <w:r>
        <w:rPr>
          <w:rFonts w:asciiTheme="majorBidi" w:hAnsiTheme="majorBidi" w:cstheme="majorBidi"/>
          <w:sz w:val="24"/>
          <w:szCs w:val="24"/>
        </w:rPr>
        <w:t xml:space="preserve"> and their expression levels in each cluster.</w:t>
      </w:r>
      <w:r w:rsidRPr="00D9480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(B) Dot-plot presentation of markers expression.</w:t>
      </w:r>
    </w:p>
    <w:p w14:paraId="7CA042A5" w14:textId="2B29C108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BDF2AF1" w14:textId="3B7F53FD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EC5F53E" w14:textId="2B5E0751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14B8651" w14:textId="596CADBC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951FD1C" w14:textId="1967DFA9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0FC0A9F" w14:textId="20304064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62312DE" w14:textId="3A97C6FC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BB98098" w14:textId="46873942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CAC8480" w14:textId="1163EF14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1D79E2B" w14:textId="07DBB18A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236AD6A" w14:textId="56A76A69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FAA331B" w14:textId="77777777" w:rsidR="000E528A" w:rsidRDefault="000E528A" w:rsidP="000E528A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14:paraId="17DD50B5" w14:textId="77777777" w:rsidR="006D3D40" w:rsidRDefault="006D3D40" w:rsidP="006D3D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0F5566" wp14:editId="2F813276">
            <wp:extent cx="5943600" cy="77266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3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6BDF18D" w14:textId="77777777" w:rsidR="006D3D40" w:rsidRDefault="006D3D40" w:rsidP="006D3D4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A24D657" w14:textId="0C7AD4DB" w:rsidR="006D3D40" w:rsidRPr="00767308" w:rsidRDefault="006D3D40" w:rsidP="006D3D40">
      <w:pPr>
        <w:jc w:val="both"/>
        <w:rPr>
          <w:b/>
          <w:bCs/>
          <w:lang w:bidi="fa-IR"/>
        </w:rPr>
      </w:pPr>
      <w:r w:rsidRPr="0076730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S6.</w:t>
      </w:r>
      <w:r w:rsidRPr="007673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D3D40">
        <w:rPr>
          <w:rFonts w:asciiTheme="majorBidi" w:hAnsiTheme="majorBidi" w:cstheme="majorBidi"/>
          <w:sz w:val="24"/>
          <w:szCs w:val="24"/>
        </w:rPr>
        <w:t xml:space="preserve">Betweenness centrality analysis of spermatogonia and spermatocyte modules in </w:t>
      </w:r>
      <w:r w:rsidR="003C45EA">
        <w:rPr>
          <w:rFonts w:asciiTheme="majorBidi" w:hAnsiTheme="majorBidi" w:cstheme="majorBidi"/>
          <w:sz w:val="24"/>
          <w:szCs w:val="24"/>
        </w:rPr>
        <w:t xml:space="preserve">the </w:t>
      </w:r>
      <w:r w:rsidR="003C45EA" w:rsidRPr="003C45EA">
        <w:rPr>
          <w:rFonts w:asciiTheme="majorBidi" w:hAnsiTheme="majorBidi" w:cstheme="majorBidi"/>
          <w:sz w:val="24"/>
          <w:szCs w:val="24"/>
        </w:rPr>
        <w:t>weighted gene co-expression network</w:t>
      </w:r>
      <w:r w:rsidR="003C45EA">
        <w:rPr>
          <w:rFonts w:asciiTheme="majorBidi" w:hAnsiTheme="majorBidi" w:cstheme="majorBidi"/>
          <w:sz w:val="24"/>
          <w:szCs w:val="24"/>
        </w:rPr>
        <w:t xml:space="preserve"> (WGCN)</w:t>
      </w:r>
      <w:r w:rsidRPr="006D3D40">
        <w:rPr>
          <w:rFonts w:asciiTheme="majorBidi" w:hAnsiTheme="majorBidi" w:cstheme="majorBidi"/>
          <w:sz w:val="24"/>
          <w:szCs w:val="24"/>
        </w:rPr>
        <w:t>.</w:t>
      </w:r>
      <w:r w:rsidRPr="007673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>(A) The presentation of spermatogonia and spermatocyte modules in the</w:t>
      </w:r>
      <w:r>
        <w:rPr>
          <w:rFonts w:asciiTheme="majorBidi" w:hAnsiTheme="majorBidi" w:cstheme="majorBidi"/>
          <w:sz w:val="24"/>
          <w:szCs w:val="24"/>
        </w:rPr>
        <w:t xml:space="preserve"> spermatogenesis</w:t>
      </w:r>
      <w:r w:rsidRPr="0076730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WGCN</w:t>
      </w:r>
      <w:r w:rsidRPr="00767308">
        <w:rPr>
          <w:rFonts w:asciiTheme="majorBidi" w:hAnsiTheme="majorBidi" w:cstheme="majorBidi"/>
          <w:sz w:val="24"/>
          <w:szCs w:val="24"/>
        </w:rPr>
        <w:t xml:space="preserve">, (B) The </w:t>
      </w:r>
      <w:bookmarkStart w:id="3" w:name="_Hlk61883063"/>
      <w:r w:rsidRPr="00767308">
        <w:rPr>
          <w:rFonts w:asciiTheme="majorBidi" w:hAnsiTheme="majorBidi" w:cstheme="majorBidi"/>
          <w:sz w:val="24"/>
          <w:szCs w:val="24"/>
        </w:rPr>
        <w:t xml:space="preserve">spermatogonia and spermatocyte </w:t>
      </w:r>
      <w:bookmarkEnd w:id="3"/>
      <w:r w:rsidRPr="00767308">
        <w:rPr>
          <w:rFonts w:asciiTheme="majorBidi" w:hAnsiTheme="majorBidi" w:cstheme="majorBidi"/>
          <w:sz w:val="24"/>
          <w:szCs w:val="24"/>
        </w:rPr>
        <w:t xml:space="preserve">modules </w:t>
      </w:r>
      <w:r>
        <w:rPr>
          <w:rFonts w:asciiTheme="majorBidi" w:hAnsiTheme="majorBidi" w:cstheme="majorBidi"/>
          <w:sz w:val="24"/>
          <w:szCs w:val="24"/>
        </w:rPr>
        <w:t xml:space="preserve">are </w:t>
      </w:r>
      <w:r w:rsidRPr="00767308">
        <w:rPr>
          <w:rFonts w:asciiTheme="majorBidi" w:hAnsiTheme="majorBidi" w:cstheme="majorBidi"/>
          <w:sz w:val="24"/>
          <w:szCs w:val="24"/>
        </w:rPr>
        <w:t xml:space="preserve">colored based on the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 xml:space="preserve">from yellow to purple. The top ten genes with the highest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/>
          <w:sz w:val="24"/>
          <w:szCs w:val="24"/>
        </w:rPr>
        <w:t xml:space="preserve"> between spermatogonia and spermatocyte modules are highlighted. The expressions of the top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/>
          <w:sz w:val="24"/>
          <w:szCs w:val="24"/>
        </w:rPr>
        <w:t xml:space="preserve"> genes between the spermatogonia and spermatocyte along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>(C) the pseudotime</w:t>
      </w:r>
      <w:r>
        <w:rPr>
          <w:rFonts w:asciiTheme="majorBidi" w:hAnsiTheme="majorBidi" w:cstheme="majorBidi"/>
          <w:sz w:val="24"/>
          <w:szCs w:val="24"/>
        </w:rPr>
        <w:t xml:space="preserve"> and</w:t>
      </w:r>
      <w:r w:rsidRPr="006D3D40">
        <w:rPr>
          <w:rFonts w:asciiTheme="majorBidi" w:hAnsiTheme="majorBidi" w:cstheme="majorBidi"/>
          <w:sz w:val="24"/>
          <w:szCs w:val="24"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>(D) the cell-types clusters.</w:t>
      </w:r>
    </w:p>
    <w:p w14:paraId="34760D39" w14:textId="2F866BB5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2DEBCF2" w14:textId="4603779D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E10AADD" w14:textId="3077982F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1609E1" w14:textId="2385EF88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442F25F" w14:textId="775908AA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DAE6003" w14:textId="15A62F7B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37833BD" w14:textId="55659A06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5D2B325" w14:textId="6F2F598C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8B382A" w14:textId="25F650BE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5844650" w14:textId="6E8A5B3A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CDABD20" w14:textId="7E96549B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838B24C" w14:textId="621CEE57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AF06C8E" w14:textId="44813B1C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CC56B81" w14:textId="2CB9EE89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400B9DC" w14:textId="5AE720AF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FDDCBD6" w14:textId="2AE1D105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41C8575" w14:textId="4538AEC6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A95B088" w14:textId="4BA219A3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4BE5FF4" w14:textId="3673D009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400AC2F" w14:textId="78DA426A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832D750" w14:textId="017B0D2E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8B54D83" w14:textId="0E6B9673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0778262" w14:textId="13D1C3D1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151F713" w14:textId="70807F0C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96E5F9" w14:textId="71E6F27A" w:rsidR="006D3D40" w:rsidRDefault="006D3D40" w:rsidP="006D3D40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0ED1743C" wp14:editId="3452695E">
            <wp:extent cx="5943600" cy="7132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2820" w14:textId="49BDEF4A" w:rsidR="006D3D40" w:rsidRPr="00767308" w:rsidRDefault="006D3D40" w:rsidP="006D3D40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767308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67308">
        <w:rPr>
          <w:rFonts w:asciiTheme="majorBidi" w:hAnsiTheme="majorBidi" w:cstheme="majorBidi"/>
          <w:b/>
          <w:b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673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D3D40">
        <w:rPr>
          <w:rFonts w:asciiTheme="majorBidi" w:hAnsiTheme="majorBidi" w:cstheme="majorBidi"/>
          <w:sz w:val="24"/>
          <w:szCs w:val="24"/>
        </w:rPr>
        <w:t xml:space="preserve">Betweenness centrality analysis of spermatocyte and spermatid modules in </w:t>
      </w:r>
      <w:r w:rsidR="003C45EA">
        <w:rPr>
          <w:rFonts w:asciiTheme="majorBidi" w:hAnsiTheme="majorBidi" w:cstheme="majorBidi"/>
          <w:sz w:val="24"/>
          <w:szCs w:val="24"/>
        </w:rPr>
        <w:t xml:space="preserve">the </w:t>
      </w:r>
      <w:r w:rsidR="003C45EA" w:rsidRPr="003C45EA">
        <w:rPr>
          <w:rFonts w:asciiTheme="majorBidi" w:hAnsiTheme="majorBidi" w:cstheme="majorBidi"/>
          <w:sz w:val="24"/>
          <w:szCs w:val="24"/>
        </w:rPr>
        <w:t>weighted gene co-expression network</w:t>
      </w:r>
      <w:r w:rsidR="003C45EA">
        <w:rPr>
          <w:rFonts w:asciiTheme="majorBidi" w:hAnsiTheme="majorBidi" w:cstheme="majorBidi"/>
          <w:sz w:val="24"/>
          <w:szCs w:val="24"/>
        </w:rPr>
        <w:t xml:space="preserve"> (WGCN)</w:t>
      </w:r>
      <w:r w:rsidRPr="006D3D40">
        <w:rPr>
          <w:rFonts w:asciiTheme="majorBidi" w:hAnsiTheme="majorBidi" w:cstheme="majorBidi"/>
          <w:sz w:val="24"/>
          <w:szCs w:val="24"/>
        </w:rPr>
        <w:t>.</w:t>
      </w:r>
      <w:r w:rsidRPr="00767308">
        <w:rPr>
          <w:rFonts w:asciiTheme="majorBidi" w:hAnsiTheme="majorBidi" w:cstheme="majorBidi"/>
          <w:sz w:val="24"/>
          <w:szCs w:val="24"/>
        </w:rPr>
        <w:t xml:space="preserve"> (</w:t>
      </w:r>
      <w:r>
        <w:rPr>
          <w:rFonts w:asciiTheme="majorBidi" w:hAnsiTheme="majorBidi" w:cstheme="majorBidi"/>
          <w:sz w:val="24"/>
          <w:szCs w:val="24"/>
        </w:rPr>
        <w:t>A</w:t>
      </w:r>
      <w:r w:rsidRPr="00767308">
        <w:rPr>
          <w:rFonts w:asciiTheme="majorBidi" w:hAnsiTheme="majorBidi" w:cstheme="majorBidi"/>
          <w:sz w:val="24"/>
          <w:szCs w:val="24"/>
        </w:rPr>
        <w:t xml:space="preserve">) The presentation of spermatocyte and spermatid modules in the </w:t>
      </w:r>
      <w:r>
        <w:rPr>
          <w:rFonts w:asciiTheme="majorBidi" w:hAnsiTheme="majorBidi" w:cstheme="majorBidi"/>
          <w:sz w:val="24"/>
          <w:szCs w:val="24"/>
        </w:rPr>
        <w:t>spermatogenesis</w:t>
      </w:r>
      <w:r w:rsidRPr="0076730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WGCN</w:t>
      </w:r>
      <w:r w:rsidRPr="00767308">
        <w:rPr>
          <w:rFonts w:asciiTheme="majorBidi" w:hAnsiTheme="majorBidi" w:cstheme="majorBidi"/>
          <w:sz w:val="24"/>
          <w:szCs w:val="24"/>
        </w:rPr>
        <w:t>, (</w:t>
      </w:r>
      <w:r>
        <w:rPr>
          <w:rFonts w:asciiTheme="majorBidi" w:hAnsiTheme="majorBidi" w:cstheme="majorBidi"/>
          <w:sz w:val="24"/>
          <w:szCs w:val="24"/>
        </w:rPr>
        <w:t>B</w:t>
      </w:r>
      <w:r w:rsidRPr="00767308">
        <w:rPr>
          <w:rFonts w:asciiTheme="majorBidi" w:hAnsiTheme="majorBidi" w:cstheme="majorBidi"/>
          <w:sz w:val="24"/>
          <w:szCs w:val="24"/>
        </w:rPr>
        <w:t xml:space="preserve">) The spermatocyte and spermatid modules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are </w:t>
      </w:r>
      <w:r w:rsidRPr="00767308">
        <w:rPr>
          <w:rFonts w:asciiTheme="majorBidi" w:hAnsiTheme="majorBidi" w:cstheme="majorBidi"/>
          <w:sz w:val="24"/>
          <w:szCs w:val="24"/>
        </w:rPr>
        <w:t xml:space="preserve">colored based on the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 xml:space="preserve">from yellow to purple. The top ten genes with the highest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/>
          <w:sz w:val="24"/>
          <w:szCs w:val="24"/>
        </w:rPr>
        <w:t xml:space="preserve"> between spermatocyte and spermatid modules are highlighted. (</w:t>
      </w:r>
      <w:r>
        <w:rPr>
          <w:rFonts w:asciiTheme="majorBidi" w:hAnsiTheme="majorBidi" w:cstheme="majorBidi"/>
          <w:sz w:val="24"/>
          <w:szCs w:val="24"/>
        </w:rPr>
        <w:t>C</w:t>
      </w:r>
      <w:r w:rsidRPr="00767308">
        <w:rPr>
          <w:rFonts w:asciiTheme="majorBidi" w:hAnsiTheme="majorBidi" w:cstheme="majorBidi"/>
          <w:sz w:val="24"/>
          <w:szCs w:val="24"/>
        </w:rPr>
        <w:t xml:space="preserve">) The expressions of top </w:t>
      </w:r>
      <w:r>
        <w:rPr>
          <w:rFonts w:asciiTheme="majorBidi" w:hAnsiTheme="majorBidi" w:cstheme="majorBidi"/>
          <w:sz w:val="24"/>
          <w:szCs w:val="24"/>
        </w:rPr>
        <w:t>BCs</w:t>
      </w:r>
      <w:r w:rsidRPr="00767308">
        <w:rPr>
          <w:rFonts w:asciiTheme="majorBidi" w:hAnsiTheme="majorBidi" w:cstheme="majorBidi"/>
          <w:sz w:val="24"/>
          <w:szCs w:val="24"/>
        </w:rPr>
        <w:t xml:space="preserve"> genes between the spermatocyte and spermatid modules along (C) the pseudotime</w:t>
      </w:r>
      <w:r>
        <w:rPr>
          <w:rFonts w:asciiTheme="majorBidi" w:hAnsiTheme="majorBidi" w:cstheme="majorBidi"/>
          <w:sz w:val="24"/>
          <w:szCs w:val="24"/>
        </w:rPr>
        <w:t xml:space="preserve"> and</w:t>
      </w:r>
      <w:r w:rsidRPr="006D3D40">
        <w:rPr>
          <w:rFonts w:asciiTheme="majorBidi" w:hAnsiTheme="majorBidi" w:cstheme="majorBidi"/>
          <w:sz w:val="24"/>
          <w:szCs w:val="24"/>
        </w:rPr>
        <w:t xml:space="preserve"> </w:t>
      </w:r>
      <w:r w:rsidRPr="00767308">
        <w:rPr>
          <w:rFonts w:asciiTheme="majorBidi" w:hAnsiTheme="majorBidi" w:cstheme="majorBidi"/>
          <w:sz w:val="24"/>
          <w:szCs w:val="24"/>
        </w:rPr>
        <w:t>(D) the cell-types clusters.</w:t>
      </w:r>
    </w:p>
    <w:p w14:paraId="2D73BA95" w14:textId="5AB4D18E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10CE98B5" w14:textId="60C50F93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2FBE4F7F" w14:textId="32FC967A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1F2589E8" w14:textId="7E285CF9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7282B2A7" w14:textId="1B0C97B2" w:rsidR="002479ED" w:rsidRDefault="002479ED" w:rsidP="00EB303F">
      <w:pPr>
        <w:rPr>
          <w:rFonts w:asciiTheme="majorBidi" w:hAnsiTheme="majorBidi" w:cstheme="majorBidi"/>
          <w:sz w:val="24"/>
          <w:szCs w:val="24"/>
        </w:rPr>
      </w:pPr>
    </w:p>
    <w:p w14:paraId="4D245836" w14:textId="77777777" w:rsidR="002479ED" w:rsidRDefault="002479ED" w:rsidP="00EB303F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825C4F0" w14:textId="77777777" w:rsidR="00EB303F" w:rsidRPr="00274E5D" w:rsidRDefault="00EB303F" w:rsidP="00EB303F">
      <w:pPr>
        <w:rPr>
          <w:rFonts w:asciiTheme="majorBidi" w:hAnsiTheme="majorBidi" w:cstheme="majorBidi"/>
          <w:sz w:val="24"/>
          <w:szCs w:val="24"/>
        </w:rPr>
      </w:pPr>
    </w:p>
    <w:sectPr w:rsidR="00EB303F" w:rsidRPr="00274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G0NLWwNDM2MDAzMDBV0lEKTi0uzszPAykwrwUACxQS/SwAAAA="/>
  </w:docVars>
  <w:rsids>
    <w:rsidRoot w:val="00BE4AB6"/>
    <w:rsid w:val="000E528A"/>
    <w:rsid w:val="002479ED"/>
    <w:rsid w:val="00274E5D"/>
    <w:rsid w:val="002A42CD"/>
    <w:rsid w:val="002D4433"/>
    <w:rsid w:val="00373704"/>
    <w:rsid w:val="003944C7"/>
    <w:rsid w:val="003C45EA"/>
    <w:rsid w:val="003D613C"/>
    <w:rsid w:val="004C0086"/>
    <w:rsid w:val="00512489"/>
    <w:rsid w:val="005764A2"/>
    <w:rsid w:val="00596583"/>
    <w:rsid w:val="006D3D40"/>
    <w:rsid w:val="00763739"/>
    <w:rsid w:val="007B0516"/>
    <w:rsid w:val="00815500"/>
    <w:rsid w:val="00AE4BBA"/>
    <w:rsid w:val="00B61EBD"/>
    <w:rsid w:val="00BE4AB6"/>
    <w:rsid w:val="00D528BB"/>
    <w:rsid w:val="00D9480F"/>
    <w:rsid w:val="00EB303F"/>
    <w:rsid w:val="00F5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ED68"/>
  <w15:chartTrackingRefBased/>
  <w15:docId w15:val="{BDF0DAEA-17E7-498D-B08D-B54414A2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amir.amiriyekta@royaninstitute.org" TargetMode="External"/><Relationship Id="rId10" Type="http://schemas.openxmlformats.org/officeDocument/2006/relationships/image" Target="media/image5.tiff"/><Relationship Id="rId4" Type="http://schemas.openxmlformats.org/officeDocument/2006/relationships/hyperlink" Target="mailto:m.totonchi@royaninstitute.org" TargetMode="Externa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Najmeh Salehi</dc:creator>
  <cp:keywords/>
  <dc:description/>
  <cp:lastModifiedBy>Najmeh Salehi</cp:lastModifiedBy>
  <cp:revision>19</cp:revision>
  <dcterms:created xsi:type="dcterms:W3CDTF">2021-01-12T15:23:00Z</dcterms:created>
  <dcterms:modified xsi:type="dcterms:W3CDTF">2021-03-19T21:09:00Z</dcterms:modified>
</cp:coreProperties>
</file>