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643" w:rsidRPr="00A12EA3" w:rsidRDefault="00936643" w:rsidP="00936643">
      <w:pPr>
        <w:spacing w:line="480" w:lineRule="auto"/>
        <w:ind w:firstLineChars="50" w:firstLine="110"/>
        <w:rPr>
          <w:rFonts w:ascii="Times New Roman" w:hAnsi="Times New Roman" w:cs="Times New Roman"/>
          <w:b/>
          <w:color w:val="000000" w:themeColor="text1"/>
          <w:sz w:val="24"/>
          <w:szCs w:val="24"/>
        </w:rPr>
      </w:pPr>
      <w:r w:rsidRPr="00C45FA7">
        <w:rPr>
          <w:rFonts w:ascii="Times New Roman" w:hAnsi="Times New Roman" w:cs="Times New Roman" w:hint="eastAsia"/>
          <w:b/>
          <w:bCs/>
          <w:color w:val="000000" w:themeColor="text1"/>
          <w:kern w:val="0"/>
          <w:sz w:val="22"/>
          <w:lang w:bidi="en-US"/>
        </w:rPr>
        <w:t>S</w:t>
      </w:r>
      <w:r w:rsidRPr="00355FD8">
        <w:rPr>
          <w:rFonts w:ascii="Times New Roman" w:eastAsia="Arial Unicode MS" w:hAnsi="Times New Roman" w:cs="Times New Roman"/>
          <w:b/>
          <w:color w:val="000000" w:themeColor="text1"/>
          <w:kern w:val="0"/>
          <w:sz w:val="28"/>
          <w:szCs w:val="28"/>
          <w:bdr w:val="none" w:sz="0" w:space="0" w:color="auto" w:frame="1"/>
        </w:rPr>
        <w:t xml:space="preserve"> </w:t>
      </w:r>
      <w:r w:rsidRPr="00A12EA3">
        <w:rPr>
          <w:rFonts w:ascii="Times New Roman" w:hAnsi="Times New Roman" w:cs="Times New Roman"/>
          <w:b/>
          <w:color w:val="000000" w:themeColor="text1"/>
          <w:sz w:val="24"/>
          <w:szCs w:val="24"/>
        </w:rPr>
        <w:t>Materials and Methods</w:t>
      </w:r>
    </w:p>
    <w:p w:rsidR="00977AB3" w:rsidRPr="00B73C0A" w:rsidRDefault="00977AB3" w:rsidP="00977AB3">
      <w:pPr>
        <w:spacing w:line="480" w:lineRule="auto"/>
        <w:rPr>
          <w:rFonts w:ascii="Times New Roman" w:hAnsi="Times New Roman" w:cs="Times New Roman"/>
          <w:i/>
          <w:color w:val="000000" w:themeColor="text1"/>
          <w:sz w:val="24"/>
          <w:szCs w:val="24"/>
        </w:rPr>
      </w:pPr>
      <w:r w:rsidRPr="00D1517B">
        <w:rPr>
          <w:rFonts w:ascii="Times New Roman" w:hAnsi="Times New Roman" w:cs="Times New Roman" w:hint="eastAsia"/>
          <w:bCs/>
          <w:i/>
          <w:color w:val="000000" w:themeColor="text1"/>
          <w:kern w:val="0"/>
          <w:sz w:val="22"/>
          <w:lang w:bidi="en-US"/>
        </w:rPr>
        <w:t>S</w:t>
      </w:r>
      <w:r w:rsidRPr="00D1517B">
        <w:rPr>
          <w:rFonts w:ascii="Times New Roman" w:hAnsi="Times New Roman" w:cs="Times New Roman"/>
          <w:i/>
          <w:color w:val="000000" w:themeColor="text1"/>
          <w:kern w:val="0"/>
          <w:sz w:val="24"/>
          <w:szCs w:val="24"/>
        </w:rPr>
        <w:t xml:space="preserve"> </w:t>
      </w:r>
      <w:r>
        <w:rPr>
          <w:rFonts w:ascii="Times New Roman" w:hAnsi="Times New Roman" w:cs="Times New Roman"/>
          <w:i/>
          <w:color w:val="000000" w:themeColor="text1"/>
          <w:kern w:val="0"/>
          <w:sz w:val="24"/>
          <w:szCs w:val="24"/>
        </w:rPr>
        <w:t>1</w:t>
      </w:r>
      <w:r>
        <w:rPr>
          <w:rFonts w:ascii="Times New Roman" w:hAnsi="Times New Roman" w:cs="Times New Roman" w:hint="eastAsia"/>
          <w:i/>
          <w:color w:val="000000" w:themeColor="text1"/>
          <w:kern w:val="0"/>
          <w:sz w:val="24"/>
          <w:szCs w:val="24"/>
        </w:rPr>
        <w:t xml:space="preserve">. </w:t>
      </w:r>
      <w:r w:rsidRPr="00B73C0A">
        <w:rPr>
          <w:rFonts w:ascii="Times New Roman" w:hAnsi="Times New Roman" w:cs="Times New Roman"/>
          <w:i/>
          <w:color w:val="000000" w:themeColor="text1"/>
          <w:sz w:val="24"/>
          <w:szCs w:val="24"/>
        </w:rPr>
        <w:t>Fluorescence-activated cell sorting (FACS)</w:t>
      </w:r>
    </w:p>
    <w:p w:rsidR="00977AB3" w:rsidRPr="00A12EA3" w:rsidRDefault="00977AB3" w:rsidP="00977AB3">
      <w:pPr>
        <w:spacing w:line="480" w:lineRule="auto"/>
        <w:rPr>
          <w:rFonts w:ascii="Times New Roman" w:hAnsi="Times New Roman" w:cs="Times New Roman"/>
          <w:color w:val="000000" w:themeColor="text1"/>
          <w:sz w:val="24"/>
          <w:szCs w:val="24"/>
        </w:rPr>
      </w:pPr>
      <w:r w:rsidRPr="00A12EA3">
        <w:rPr>
          <w:rFonts w:ascii="Times New Roman" w:hAnsi="Times New Roman" w:cs="Times New Roman"/>
          <w:color w:val="000000" w:themeColor="text1"/>
          <w:sz w:val="24"/>
          <w:szCs w:val="24"/>
        </w:rPr>
        <w:t xml:space="preserve">Cells were washed with phosphate buffered saline (PBS) containing 0.5% bovine serum albumin (BSA; </w:t>
      </w:r>
      <w:proofErr w:type="spellStart"/>
      <w:r w:rsidRPr="00A12EA3">
        <w:rPr>
          <w:rFonts w:ascii="Times New Roman" w:hAnsi="Times New Roman" w:cs="Times New Roman"/>
          <w:color w:val="000000" w:themeColor="text1"/>
          <w:sz w:val="24"/>
          <w:szCs w:val="24"/>
        </w:rPr>
        <w:t>SigmaeAldrich</w:t>
      </w:r>
      <w:proofErr w:type="spellEnd"/>
      <w:r w:rsidRPr="00A12EA3">
        <w:rPr>
          <w:rFonts w:ascii="Times New Roman" w:hAnsi="Times New Roman" w:cs="Times New Roman"/>
          <w:color w:val="000000" w:themeColor="text1"/>
          <w:sz w:val="24"/>
          <w:szCs w:val="24"/>
        </w:rPr>
        <w:t>, St. Louis, MO). The cells were stained in PBS containing 1% BSA with either isotype controls or antigen specific antibodies for 60 min. The antibodies used were human CD34 (BD Biosciences, San Jose, CA), KDR (Beckman Coulter, Brea, CA), CD31 (Beckman Coulter), CD45 (Abcam, Cambridge, MA), CD90 (BD Biosciences), CD105 (</w:t>
      </w:r>
      <w:proofErr w:type="spellStart"/>
      <w:r w:rsidRPr="00A12EA3">
        <w:rPr>
          <w:rFonts w:ascii="Times New Roman" w:hAnsi="Times New Roman" w:cs="Times New Roman"/>
          <w:color w:val="000000" w:themeColor="text1"/>
          <w:sz w:val="24"/>
          <w:szCs w:val="24"/>
        </w:rPr>
        <w:t>Caltac</w:t>
      </w:r>
      <w:proofErr w:type="spellEnd"/>
      <w:r w:rsidRPr="00A12EA3">
        <w:rPr>
          <w:rFonts w:ascii="Times New Roman" w:hAnsi="Times New Roman" w:cs="Times New Roman"/>
          <w:color w:val="000000" w:themeColor="text1"/>
          <w:sz w:val="24"/>
          <w:szCs w:val="24"/>
        </w:rPr>
        <w:t xml:space="preserve"> Laboratories, </w:t>
      </w:r>
      <w:proofErr w:type="spellStart"/>
      <w:r w:rsidRPr="00A12EA3">
        <w:rPr>
          <w:rFonts w:ascii="Times New Roman" w:hAnsi="Times New Roman" w:cs="Times New Roman"/>
          <w:color w:val="000000" w:themeColor="text1"/>
          <w:sz w:val="24"/>
          <w:szCs w:val="24"/>
        </w:rPr>
        <w:t>Burlingham</w:t>
      </w:r>
      <w:proofErr w:type="spellEnd"/>
      <w:r w:rsidRPr="00A12EA3">
        <w:rPr>
          <w:rFonts w:ascii="Times New Roman" w:hAnsi="Times New Roman" w:cs="Times New Roman"/>
          <w:color w:val="000000" w:themeColor="text1"/>
          <w:sz w:val="24"/>
          <w:szCs w:val="24"/>
        </w:rPr>
        <w:t xml:space="preserve">, CA) and CD29 (Millipore, Waltham, MA). The cells were washed thrice with PBS containing 0.5% BSA and resuspended in PBS for flow cytometry using an </w:t>
      </w:r>
      <w:proofErr w:type="spellStart"/>
      <w:r w:rsidRPr="00A12EA3">
        <w:rPr>
          <w:rFonts w:ascii="Times New Roman" w:hAnsi="Times New Roman" w:cs="Times New Roman"/>
          <w:color w:val="000000" w:themeColor="text1"/>
          <w:sz w:val="24"/>
          <w:szCs w:val="24"/>
        </w:rPr>
        <w:t>Accuri</w:t>
      </w:r>
      <w:proofErr w:type="spellEnd"/>
      <w:r w:rsidRPr="00A12EA3">
        <w:rPr>
          <w:rFonts w:ascii="Times New Roman" w:hAnsi="Times New Roman" w:cs="Times New Roman"/>
          <w:color w:val="000000" w:themeColor="text1"/>
          <w:sz w:val="24"/>
          <w:szCs w:val="24"/>
        </w:rPr>
        <w:t xml:space="preserve"> device (BD Biosciences). Isotype control IgG was used as a negative control.</w:t>
      </w:r>
    </w:p>
    <w:p w:rsidR="00977AB3" w:rsidRDefault="00977AB3" w:rsidP="00936643">
      <w:pPr>
        <w:wordWrap/>
        <w:adjustRightInd w:val="0"/>
        <w:spacing w:line="480" w:lineRule="auto"/>
        <w:rPr>
          <w:rFonts w:ascii="Times New Roman" w:hAnsi="Times New Roman" w:cs="Times New Roman"/>
          <w:bCs/>
          <w:i/>
          <w:color w:val="000000" w:themeColor="text1"/>
          <w:kern w:val="0"/>
          <w:sz w:val="22"/>
          <w:lang w:bidi="en-US"/>
        </w:rPr>
      </w:pPr>
    </w:p>
    <w:p w:rsidR="00326CAA" w:rsidRDefault="00326CAA">
      <w:pPr>
        <w:widowControl/>
        <w:wordWrap/>
        <w:autoSpaceDE/>
        <w:autoSpaceDN/>
        <w:spacing w:after="160" w:line="259" w:lineRule="auto"/>
        <w:rPr>
          <w:rFonts w:ascii="Times New Roman" w:hAnsi="Times New Roman" w:cs="Times New Roman"/>
          <w:b/>
          <w:bCs/>
          <w:color w:val="000000" w:themeColor="text1"/>
          <w:kern w:val="0"/>
          <w:sz w:val="22"/>
          <w:lang w:bidi="en-US"/>
        </w:rPr>
      </w:pPr>
      <w:r>
        <w:rPr>
          <w:rFonts w:ascii="Times New Roman" w:hAnsi="Times New Roman" w:cs="Times New Roman"/>
          <w:b/>
          <w:bCs/>
          <w:color w:val="000000" w:themeColor="text1"/>
          <w:kern w:val="0"/>
          <w:sz w:val="22"/>
          <w:lang w:bidi="en-US"/>
        </w:rPr>
        <w:br w:type="page"/>
      </w:r>
    </w:p>
    <w:p w:rsidR="00326CAA" w:rsidRDefault="00326CAA" w:rsidP="00326CAA">
      <w:pPr>
        <w:wordWrap/>
        <w:adjustRightInd w:val="0"/>
        <w:spacing w:line="480" w:lineRule="auto"/>
        <w:rPr>
          <w:rFonts w:ascii="Times New Roman" w:hAnsi="Times New Roman" w:cs="Times New Roman"/>
          <w:b/>
          <w:color w:val="000000" w:themeColor="text1"/>
          <w:kern w:val="0"/>
          <w:sz w:val="24"/>
          <w:szCs w:val="24"/>
          <w:lang w:bidi="en-US"/>
        </w:rPr>
      </w:pPr>
      <w:r>
        <w:rPr>
          <w:rFonts w:ascii="Times New Roman" w:hAnsi="Times New Roman" w:cs="Times New Roman"/>
          <w:b/>
          <w:color w:val="000000" w:themeColor="text1"/>
          <w:kern w:val="0"/>
          <w:sz w:val="24"/>
          <w:szCs w:val="24"/>
          <w:lang w:bidi="en-US"/>
        </w:rPr>
        <w:lastRenderedPageBreak/>
        <w:t xml:space="preserve">S </w:t>
      </w:r>
      <w:r w:rsidRPr="00A757C5">
        <w:rPr>
          <w:rFonts w:ascii="Times New Roman" w:hAnsi="Times New Roman" w:cs="Times New Roman"/>
          <w:b/>
          <w:color w:val="000000" w:themeColor="text1"/>
          <w:kern w:val="0"/>
          <w:sz w:val="24"/>
          <w:szCs w:val="24"/>
          <w:lang w:bidi="en-US"/>
        </w:rPr>
        <w:t>Figure Captions</w:t>
      </w:r>
    </w:p>
    <w:p w:rsidR="00147A0B" w:rsidRDefault="00147A0B" w:rsidP="00147A0B">
      <w:pPr>
        <w:spacing w:line="480" w:lineRule="auto"/>
        <w:rPr>
          <w:rFonts w:ascii="Times New Roman" w:hAnsi="Times New Roman" w:cs="Times New Roman"/>
          <w:color w:val="000000" w:themeColor="text1"/>
          <w:kern w:val="0"/>
          <w:sz w:val="24"/>
          <w:szCs w:val="24"/>
        </w:rPr>
      </w:pPr>
      <w:r w:rsidRPr="00C45FA7">
        <w:rPr>
          <w:rFonts w:ascii="Times New Roman" w:hAnsi="Times New Roman" w:cs="Times New Roman" w:hint="eastAsia"/>
          <w:b/>
          <w:bCs/>
          <w:color w:val="000000" w:themeColor="text1"/>
          <w:kern w:val="0"/>
          <w:sz w:val="22"/>
          <w:lang w:bidi="en-US"/>
        </w:rPr>
        <w:t>S</w:t>
      </w:r>
      <w:r w:rsidRPr="00A757C5">
        <w:rPr>
          <w:rFonts w:ascii="Times New Roman" w:hAnsi="Times New Roman" w:cs="Times New Roman"/>
          <w:b/>
          <w:bCs/>
          <w:color w:val="000000" w:themeColor="text1"/>
          <w:kern w:val="0"/>
          <w:sz w:val="24"/>
          <w:szCs w:val="24"/>
          <w:lang w:bidi="en-US"/>
        </w:rPr>
        <w:t xml:space="preserve"> F</w:t>
      </w:r>
      <w:r w:rsidR="00E567D8">
        <w:rPr>
          <w:rFonts w:ascii="Times New Roman" w:hAnsi="Times New Roman" w:cs="Times New Roman"/>
          <w:b/>
          <w:bCs/>
          <w:color w:val="000000" w:themeColor="text1"/>
          <w:kern w:val="0"/>
          <w:sz w:val="24"/>
          <w:szCs w:val="24"/>
          <w:lang w:bidi="en-US"/>
        </w:rPr>
        <w:t>IGURE</w:t>
      </w:r>
      <w:r>
        <w:rPr>
          <w:rFonts w:ascii="Times New Roman" w:hAnsi="Times New Roman" w:cs="Times New Roman"/>
          <w:b/>
          <w:bCs/>
          <w:color w:val="000000" w:themeColor="text1"/>
          <w:kern w:val="0"/>
          <w:sz w:val="24"/>
          <w:szCs w:val="24"/>
          <w:lang w:bidi="en-US"/>
        </w:rPr>
        <w:t xml:space="preserve"> </w:t>
      </w:r>
      <w:r w:rsidRPr="00A757C5">
        <w:rPr>
          <w:rFonts w:ascii="Times New Roman" w:hAnsi="Times New Roman" w:cs="Times New Roman"/>
          <w:b/>
          <w:color w:val="000000" w:themeColor="text1"/>
          <w:kern w:val="0"/>
          <w:sz w:val="24"/>
          <w:szCs w:val="24"/>
        </w:rPr>
        <w:t xml:space="preserve">1 </w:t>
      </w:r>
      <w:r w:rsidRPr="00A757C5">
        <w:rPr>
          <w:rFonts w:ascii="Times New Roman" w:hAnsi="Times New Roman" w:cs="Times New Roman"/>
          <w:color w:val="000000" w:themeColor="text1"/>
          <w:kern w:val="0"/>
          <w:sz w:val="24"/>
          <w:szCs w:val="24"/>
        </w:rPr>
        <w:t xml:space="preserve">Immunofluorescence staining and flow cytometry analyses of </w:t>
      </w:r>
      <w:proofErr w:type="spellStart"/>
      <w:r w:rsidRPr="00A757C5">
        <w:rPr>
          <w:rFonts w:ascii="Times New Roman" w:hAnsi="Times New Roman" w:cs="Times New Roman"/>
          <w:color w:val="000000" w:themeColor="text1"/>
          <w:kern w:val="0"/>
          <w:sz w:val="24"/>
          <w:szCs w:val="24"/>
        </w:rPr>
        <w:t>hASCs</w:t>
      </w:r>
      <w:proofErr w:type="spellEnd"/>
      <w:r w:rsidRPr="00A757C5">
        <w:rPr>
          <w:rFonts w:ascii="Times New Roman" w:hAnsi="Times New Roman" w:cs="Times New Roman"/>
          <w:color w:val="000000" w:themeColor="text1"/>
          <w:kern w:val="0"/>
          <w:sz w:val="24"/>
          <w:szCs w:val="24"/>
        </w:rPr>
        <w:t xml:space="preserve">. (A) </w:t>
      </w:r>
      <w:proofErr w:type="spellStart"/>
      <w:r w:rsidRPr="00A757C5">
        <w:rPr>
          <w:rFonts w:ascii="Times New Roman" w:hAnsi="Times New Roman" w:cs="Times New Roman"/>
          <w:color w:val="000000" w:themeColor="text1"/>
          <w:kern w:val="0"/>
          <w:sz w:val="24"/>
          <w:szCs w:val="24"/>
        </w:rPr>
        <w:t>hASCs</w:t>
      </w:r>
      <w:proofErr w:type="spellEnd"/>
      <w:r w:rsidRPr="00A757C5">
        <w:rPr>
          <w:rFonts w:ascii="Times New Roman" w:hAnsi="Times New Roman" w:cs="Times New Roman"/>
          <w:color w:val="000000" w:themeColor="text1"/>
          <w:kern w:val="0"/>
          <w:sz w:val="24"/>
          <w:szCs w:val="24"/>
        </w:rPr>
        <w:t xml:space="preserve"> (passage 4) were stained with CD29, CD90, and CD105 for mesenchymal stem cell identification, KDR, CD31, and CD34 for endothelial lineage cell identification, and SMA for smooth muscle cell identification. Scale bar: 200 </w:t>
      </w:r>
      <w:proofErr w:type="spellStart"/>
      <w:r w:rsidRPr="00A757C5">
        <w:rPr>
          <w:rFonts w:ascii="Times New Roman" w:hAnsi="Times New Roman" w:cs="Times New Roman"/>
          <w:color w:val="000000" w:themeColor="text1"/>
          <w:kern w:val="0"/>
          <w:sz w:val="24"/>
          <w:szCs w:val="24"/>
        </w:rPr>
        <w:t>μm</w:t>
      </w:r>
      <w:proofErr w:type="spellEnd"/>
      <w:r w:rsidRPr="00A757C5">
        <w:rPr>
          <w:rFonts w:ascii="Times New Roman" w:hAnsi="Times New Roman" w:cs="Times New Roman"/>
          <w:color w:val="000000" w:themeColor="text1"/>
          <w:kern w:val="0"/>
          <w:sz w:val="24"/>
          <w:szCs w:val="24"/>
        </w:rPr>
        <w:t xml:space="preserve">. (B) Flow cytometry analysis. </w:t>
      </w:r>
      <w:proofErr w:type="spellStart"/>
      <w:r w:rsidRPr="00A757C5">
        <w:rPr>
          <w:rFonts w:ascii="Times New Roman" w:hAnsi="Times New Roman" w:cs="Times New Roman"/>
          <w:color w:val="000000" w:themeColor="text1"/>
          <w:kern w:val="0"/>
          <w:sz w:val="24"/>
          <w:szCs w:val="24"/>
        </w:rPr>
        <w:t>hASCs</w:t>
      </w:r>
      <w:proofErr w:type="spellEnd"/>
      <w:r w:rsidRPr="00A757C5">
        <w:rPr>
          <w:rFonts w:ascii="Times New Roman" w:hAnsi="Times New Roman" w:cs="Times New Roman"/>
          <w:color w:val="000000" w:themeColor="text1"/>
          <w:kern w:val="0"/>
          <w:sz w:val="24"/>
          <w:szCs w:val="24"/>
        </w:rPr>
        <w:t xml:space="preserve"> cultured for 1 day were stained for CD29, CD90, CD105, CD45, CD31, CD34, and KDR expression and analyzed by flow cytometry.</w:t>
      </w:r>
    </w:p>
    <w:p w:rsidR="00147A0B" w:rsidRDefault="00147A0B" w:rsidP="00147A0B">
      <w:pPr>
        <w:spacing w:line="480" w:lineRule="auto"/>
        <w:rPr>
          <w:rFonts w:ascii="Times New Roman" w:hAnsi="Times New Roman" w:cs="Times New Roman"/>
          <w:color w:val="000000" w:themeColor="text1"/>
          <w:kern w:val="0"/>
          <w:sz w:val="24"/>
          <w:szCs w:val="24"/>
        </w:rPr>
      </w:pPr>
      <w:bookmarkStart w:id="0" w:name="_GoBack"/>
      <w:bookmarkEnd w:id="0"/>
    </w:p>
    <w:p w:rsidR="00147A0B" w:rsidRDefault="00147A0B">
      <w:pPr>
        <w:widowControl/>
        <w:wordWrap/>
        <w:autoSpaceDE/>
        <w:autoSpaceDN/>
        <w:spacing w:after="160" w:line="259" w:lineRule="auto"/>
        <w:rPr>
          <w:rFonts w:ascii="Times New Roman" w:hAnsi="Times New Roman" w:cs="Times New Roman"/>
          <w:b/>
          <w:bCs/>
          <w:color w:val="000000" w:themeColor="text1"/>
          <w:kern w:val="0"/>
          <w:sz w:val="22"/>
          <w:lang w:bidi="en-US"/>
        </w:rPr>
      </w:pPr>
      <w:r>
        <w:rPr>
          <w:rFonts w:ascii="Times New Roman" w:hAnsi="Times New Roman" w:cs="Times New Roman"/>
          <w:b/>
          <w:bCs/>
          <w:color w:val="000000" w:themeColor="text1"/>
          <w:kern w:val="0"/>
          <w:sz w:val="22"/>
          <w:lang w:bidi="en-US"/>
        </w:rPr>
        <w:br w:type="page"/>
      </w:r>
      <w:r w:rsidR="00E567D8">
        <w:rPr>
          <w:rFonts w:ascii="Times New Roman" w:hAnsi="Times New Roman" w:cs="Times New Roman"/>
          <w:b/>
          <w:bCs/>
          <w:noProof/>
          <w:color w:val="000000" w:themeColor="text1"/>
          <w:kern w:val="0"/>
          <w:sz w:val="22"/>
          <w:lang w:bidi="en-US"/>
        </w:rPr>
        <w:lastRenderedPageBreak/>
        <w:drawing>
          <wp:inline distT="0" distB="0" distL="0" distR="0">
            <wp:extent cx="5724525" cy="429577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rsidR="00CB7A62" w:rsidRDefault="00E55756" w:rsidP="0055779C">
      <w:pPr>
        <w:spacing w:line="480" w:lineRule="auto"/>
        <w:rPr>
          <w:rFonts w:ascii="Times New Roman" w:hAnsi="Times New Roman" w:cs="Times New Roman"/>
          <w:b/>
          <w:bCs/>
          <w:color w:val="000000" w:themeColor="text1"/>
          <w:kern w:val="0"/>
          <w:sz w:val="22"/>
          <w:lang w:bidi="en-US"/>
        </w:rPr>
      </w:pPr>
      <w:r w:rsidRPr="00C45FA7">
        <w:rPr>
          <w:rFonts w:ascii="Times New Roman" w:hAnsi="Times New Roman" w:cs="Times New Roman" w:hint="eastAsia"/>
          <w:b/>
          <w:bCs/>
          <w:color w:val="000000" w:themeColor="text1"/>
          <w:kern w:val="0"/>
          <w:sz w:val="22"/>
          <w:lang w:bidi="en-US"/>
        </w:rPr>
        <w:t>S</w:t>
      </w:r>
      <w:r w:rsidRPr="00C45FA7">
        <w:rPr>
          <w:rFonts w:ascii="Times New Roman" w:hAnsi="Times New Roman" w:cs="Times New Roman"/>
          <w:b/>
          <w:bCs/>
          <w:color w:val="000000" w:themeColor="text1"/>
          <w:kern w:val="0"/>
          <w:sz w:val="22"/>
          <w:lang w:bidi="en-US"/>
        </w:rPr>
        <w:t xml:space="preserve"> Table</w:t>
      </w:r>
      <w:r w:rsidR="0055779C">
        <w:rPr>
          <w:rFonts w:ascii="Times New Roman" w:hAnsi="Times New Roman" w:cs="Times New Roman"/>
          <w:b/>
          <w:bCs/>
          <w:color w:val="000000" w:themeColor="text1"/>
          <w:kern w:val="0"/>
          <w:sz w:val="22"/>
          <w:lang w:bidi="en-US"/>
        </w:rPr>
        <w:t xml:space="preserve"> 1</w:t>
      </w:r>
      <w:r w:rsidRPr="00C45FA7">
        <w:rPr>
          <w:rFonts w:ascii="Times New Roman" w:hAnsi="Times New Roman" w:cs="Times New Roman"/>
          <w:b/>
          <w:bCs/>
          <w:color w:val="000000" w:themeColor="text1"/>
          <w:kern w:val="0"/>
          <w:sz w:val="22"/>
          <w:lang w:bidi="en-US"/>
        </w:rPr>
        <w:t>.</w:t>
      </w:r>
      <w:r w:rsidRPr="00C45FA7">
        <w:rPr>
          <w:rFonts w:ascii="Times New Roman" w:hAnsi="Times New Roman" w:cs="Times New Roman"/>
          <w:bCs/>
          <w:color w:val="000000" w:themeColor="text1"/>
          <w:kern w:val="0"/>
          <w:sz w:val="22"/>
          <w:lang w:bidi="en-US"/>
        </w:rPr>
        <w:t xml:space="preserve"> List of antibodies for immunofluorescence staining.</w:t>
      </w:r>
      <w:r w:rsidR="0055779C" w:rsidRPr="00C45FA7">
        <w:rPr>
          <w:rFonts w:ascii="Times New Roman" w:hAnsi="Times New Roman" w:cs="Times New Roman"/>
          <w:b/>
          <w:bCs/>
          <w:color w:val="000000" w:themeColor="text1"/>
          <w:kern w:val="0"/>
          <w:sz w:val="22"/>
          <w:lang w:bidi="en-US"/>
        </w:rPr>
        <w:t xml:space="preserve"> </w:t>
      </w:r>
    </w:p>
    <w:p w:rsidR="003168E2" w:rsidRDefault="003168E2" w:rsidP="0055779C">
      <w:pPr>
        <w:spacing w:line="480" w:lineRule="auto"/>
        <w:rPr>
          <w:sz w:val="22"/>
        </w:rPr>
      </w:pPr>
    </w:p>
    <w:tbl>
      <w:tblPr>
        <w:tblW w:w="8946" w:type="dxa"/>
        <w:tblCellMar>
          <w:left w:w="0" w:type="dxa"/>
          <w:right w:w="0" w:type="dxa"/>
        </w:tblCellMar>
        <w:tblLook w:val="0600" w:firstRow="0" w:lastRow="0" w:firstColumn="0" w:lastColumn="0" w:noHBand="1" w:noVBand="1"/>
      </w:tblPr>
      <w:tblGrid>
        <w:gridCol w:w="3534"/>
        <w:gridCol w:w="1418"/>
        <w:gridCol w:w="1842"/>
        <w:gridCol w:w="2152"/>
      </w:tblGrid>
      <w:tr w:rsidR="00B70EBF" w:rsidRPr="00B70EBF" w:rsidTr="00B70EBF">
        <w:trPr>
          <w:trHeight w:val="831"/>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 xml:space="preserve">Antibody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 xml:space="preserve"> Host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Company</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Catalogue number</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 xml:space="preserve">anti-human CD29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mouse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Millipore</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MAB2253Z</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anti-human Flk-1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mouse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Santa Cruz</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Sc-6251</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 xml:space="preserve">anti-human CD34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mouse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Millipore</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MAB4211</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 xml:space="preserve">anti-human CD31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mouse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proofErr w:type="spellStart"/>
            <w:r w:rsidRPr="00B70EBF">
              <w:rPr>
                <w:rFonts w:ascii="Times New Roman" w:hAnsi="Times New Roman" w:cs="Times New Roman"/>
                <w:sz w:val="22"/>
              </w:rPr>
              <w:t>Dako</w:t>
            </w:r>
            <w:proofErr w:type="spellEnd"/>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M0823</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anti-mouse CD31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rabbit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BD biosciences</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550274</w:t>
            </w:r>
          </w:p>
        </w:tc>
      </w:tr>
      <w:tr w:rsidR="00B70EBF" w:rsidRPr="00B70EBF" w:rsidTr="00B70EBF">
        <w:trPr>
          <w:trHeight w:val="511"/>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lastRenderedPageBreak/>
              <w:t>anti-human CD90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mouse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BD biosciences</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555595</w:t>
            </w:r>
          </w:p>
        </w:tc>
      </w:tr>
      <w:tr w:rsidR="00B70EBF" w:rsidRPr="00B70EBF" w:rsidTr="00B70EBF">
        <w:trPr>
          <w:trHeight w:val="511"/>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anti-human CD105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mouse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proofErr w:type="spellStart"/>
            <w:r w:rsidRPr="00B70EBF">
              <w:rPr>
                <w:rFonts w:ascii="Times New Roman" w:hAnsi="Times New Roman" w:cs="Times New Roman"/>
                <w:sz w:val="22"/>
              </w:rPr>
              <w:t>Caltac</w:t>
            </w:r>
            <w:proofErr w:type="spellEnd"/>
            <w:r w:rsidRPr="00B70EBF">
              <w:rPr>
                <w:rFonts w:ascii="Times New Roman" w:hAnsi="Times New Roman" w:cs="Times New Roman"/>
                <w:sz w:val="22"/>
              </w:rPr>
              <w:t xml:space="preserve"> Laboratories</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MHCD10500</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anti-human FGF</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rabbit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Pr>
                <w:rFonts w:ascii="Times New Roman" w:hAnsi="Times New Roman" w:cs="Times New Roman" w:hint="eastAsia"/>
                <w:sz w:val="22"/>
              </w:rPr>
              <w:t>A</w:t>
            </w:r>
            <w:r w:rsidRPr="00B70EBF">
              <w:rPr>
                <w:rFonts w:ascii="Times New Roman" w:hAnsi="Times New Roman" w:cs="Times New Roman"/>
                <w:sz w:val="22"/>
              </w:rPr>
              <w:t>bcam</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ab8880</w:t>
            </w:r>
          </w:p>
        </w:tc>
      </w:tr>
      <w:tr w:rsidR="00B70EBF" w:rsidRPr="00B70EBF" w:rsidTr="00B70EBF">
        <w:trPr>
          <w:trHeight w:val="511"/>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anti-human VEGF</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rabbit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Pr>
                <w:rFonts w:ascii="Times New Roman" w:hAnsi="Times New Roman" w:cs="Times New Roman"/>
                <w:sz w:val="22"/>
              </w:rPr>
              <w:t>A</w:t>
            </w:r>
            <w:r w:rsidRPr="00B70EBF">
              <w:rPr>
                <w:rFonts w:ascii="Times New Roman" w:hAnsi="Times New Roman" w:cs="Times New Roman"/>
                <w:sz w:val="22"/>
              </w:rPr>
              <w:t>bcam</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ab52917</w:t>
            </w:r>
          </w:p>
        </w:tc>
      </w:tr>
      <w:tr w:rsidR="00B70EBF" w:rsidRPr="00B70EBF" w:rsidTr="00B70EBF">
        <w:trPr>
          <w:trHeight w:val="511"/>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anti-human HGF</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rabbit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Santa Cruz</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Sc-13087</w:t>
            </w:r>
          </w:p>
        </w:tc>
      </w:tr>
      <w:tr w:rsidR="00B70EBF" w:rsidRPr="00B70EBF" w:rsidTr="00B70EBF">
        <w:trPr>
          <w:trHeight w:val="511"/>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Alexa Fluor 488 anti-mouse IgG</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goat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Invitrogen</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A11001</w:t>
            </w:r>
          </w:p>
        </w:tc>
      </w:tr>
      <w:tr w:rsidR="00B70EBF" w:rsidRPr="00B70EBF" w:rsidTr="00B70EBF">
        <w:trPr>
          <w:trHeight w:val="630"/>
        </w:trPr>
        <w:tc>
          <w:tcPr>
            <w:tcW w:w="3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Alexa Fluor 594 anti-rabbit IgG</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goat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Invitrogen</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70EBF" w:rsidRPr="00B70EBF" w:rsidRDefault="00B70EBF" w:rsidP="00B70EBF">
            <w:pPr>
              <w:spacing w:line="480" w:lineRule="auto"/>
              <w:rPr>
                <w:rFonts w:ascii="Times New Roman" w:hAnsi="Times New Roman" w:cs="Times New Roman"/>
                <w:sz w:val="22"/>
              </w:rPr>
            </w:pPr>
            <w:r w:rsidRPr="00B70EBF">
              <w:rPr>
                <w:rFonts w:ascii="Times New Roman" w:hAnsi="Times New Roman" w:cs="Times New Roman"/>
                <w:sz w:val="22"/>
              </w:rPr>
              <w:t>A11012</w:t>
            </w:r>
          </w:p>
        </w:tc>
      </w:tr>
    </w:tbl>
    <w:p w:rsidR="00366940" w:rsidRDefault="00366940">
      <w:pPr>
        <w:widowControl/>
        <w:wordWrap/>
        <w:autoSpaceDE/>
        <w:autoSpaceDN/>
        <w:spacing w:after="160" w:line="259" w:lineRule="auto"/>
        <w:rPr>
          <w:sz w:val="22"/>
        </w:rPr>
      </w:pPr>
    </w:p>
    <w:p w:rsidR="00C144CD" w:rsidRPr="00A12EA3" w:rsidRDefault="00C144CD" w:rsidP="00366940">
      <w:pPr>
        <w:spacing w:line="480" w:lineRule="auto"/>
        <w:rPr>
          <w:rFonts w:ascii="Times New Roman" w:hAnsi="Times New Roman" w:cs="Times New Roman"/>
          <w:b/>
          <w:color w:val="000000" w:themeColor="text1"/>
          <w:sz w:val="24"/>
          <w:szCs w:val="24"/>
        </w:rPr>
      </w:pPr>
    </w:p>
    <w:sectPr w:rsidR="00C144CD" w:rsidRPr="00A12EA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C11" w:rsidRDefault="00816C11" w:rsidP="00A65D66">
      <w:r>
        <w:separator/>
      </w:r>
    </w:p>
  </w:endnote>
  <w:endnote w:type="continuationSeparator" w:id="0">
    <w:p w:rsidR="00816C11" w:rsidRDefault="00816C11" w:rsidP="00A6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Unicode MS">
    <w:altName w:val="돋움"/>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C11" w:rsidRDefault="00816C11" w:rsidP="00A65D66">
      <w:r>
        <w:separator/>
      </w:r>
    </w:p>
  </w:footnote>
  <w:footnote w:type="continuationSeparator" w:id="0">
    <w:p w:rsidR="00816C11" w:rsidRDefault="00816C11" w:rsidP="00A6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756"/>
    <w:rsid w:val="00147A0B"/>
    <w:rsid w:val="001C780D"/>
    <w:rsid w:val="00207ACB"/>
    <w:rsid w:val="002B0D0B"/>
    <w:rsid w:val="003168E2"/>
    <w:rsid w:val="00326CAA"/>
    <w:rsid w:val="00366940"/>
    <w:rsid w:val="003823E6"/>
    <w:rsid w:val="00426E1E"/>
    <w:rsid w:val="00467DAF"/>
    <w:rsid w:val="0055779C"/>
    <w:rsid w:val="0059044E"/>
    <w:rsid w:val="005C144D"/>
    <w:rsid w:val="00691B49"/>
    <w:rsid w:val="0074521B"/>
    <w:rsid w:val="0074566C"/>
    <w:rsid w:val="007840B4"/>
    <w:rsid w:val="007925D3"/>
    <w:rsid w:val="007D3735"/>
    <w:rsid w:val="007E5A6E"/>
    <w:rsid w:val="00816C11"/>
    <w:rsid w:val="00843426"/>
    <w:rsid w:val="00867713"/>
    <w:rsid w:val="009247EC"/>
    <w:rsid w:val="00936643"/>
    <w:rsid w:val="009436E5"/>
    <w:rsid w:val="00977AB3"/>
    <w:rsid w:val="00A045BE"/>
    <w:rsid w:val="00A65D66"/>
    <w:rsid w:val="00AF0CB5"/>
    <w:rsid w:val="00B70EBF"/>
    <w:rsid w:val="00B76838"/>
    <w:rsid w:val="00C144CD"/>
    <w:rsid w:val="00C45FA7"/>
    <w:rsid w:val="00CE0798"/>
    <w:rsid w:val="00D1517B"/>
    <w:rsid w:val="00D16543"/>
    <w:rsid w:val="00D576A4"/>
    <w:rsid w:val="00D73EA2"/>
    <w:rsid w:val="00D94ECE"/>
    <w:rsid w:val="00E3186B"/>
    <w:rsid w:val="00E42F5B"/>
    <w:rsid w:val="00E55756"/>
    <w:rsid w:val="00E567D8"/>
    <w:rsid w:val="00E730A5"/>
    <w:rsid w:val="00F25824"/>
    <w:rsid w:val="00F67A26"/>
    <w:rsid w:val="00F82BFD"/>
    <w:rsid w:val="00FA7E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34C4B"/>
  <w15:chartTrackingRefBased/>
  <w15:docId w15:val="{86A376A2-DFAD-4453-BB56-34924A63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756"/>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D66"/>
    <w:pPr>
      <w:tabs>
        <w:tab w:val="center" w:pos="4513"/>
        <w:tab w:val="right" w:pos="9026"/>
      </w:tabs>
      <w:snapToGrid w:val="0"/>
    </w:pPr>
  </w:style>
  <w:style w:type="character" w:customStyle="1" w:styleId="Char">
    <w:name w:val="머리글 Char"/>
    <w:basedOn w:val="a0"/>
    <w:link w:val="a3"/>
    <w:uiPriority w:val="99"/>
    <w:rsid w:val="00A65D66"/>
  </w:style>
  <w:style w:type="paragraph" w:styleId="a4">
    <w:name w:val="footer"/>
    <w:basedOn w:val="a"/>
    <w:link w:val="Char0"/>
    <w:uiPriority w:val="99"/>
    <w:unhideWhenUsed/>
    <w:rsid w:val="00A65D66"/>
    <w:pPr>
      <w:tabs>
        <w:tab w:val="center" w:pos="4513"/>
        <w:tab w:val="right" w:pos="9026"/>
      </w:tabs>
      <w:snapToGrid w:val="0"/>
    </w:pPr>
  </w:style>
  <w:style w:type="character" w:customStyle="1" w:styleId="Char0">
    <w:name w:val="바닥글 Char"/>
    <w:basedOn w:val="a0"/>
    <w:link w:val="a4"/>
    <w:uiPriority w:val="99"/>
    <w:rsid w:val="00A65D66"/>
  </w:style>
  <w:style w:type="character" w:styleId="a5">
    <w:name w:val="Hyperlink"/>
    <w:basedOn w:val="a0"/>
    <w:uiPriority w:val="99"/>
    <w:unhideWhenUsed/>
    <w:rsid w:val="00A65D66"/>
    <w:rPr>
      <w:strike w:val="0"/>
      <w:dstrike w:val="0"/>
      <w:color w:val="316C9D"/>
      <w:u w:val="none"/>
      <w:effect w:val="none"/>
    </w:rPr>
  </w:style>
  <w:style w:type="character" w:styleId="a6">
    <w:name w:val="Strong"/>
    <w:basedOn w:val="a0"/>
    <w:uiPriority w:val="22"/>
    <w:qFormat/>
    <w:rsid w:val="00A65D66"/>
    <w:rPr>
      <w:b/>
      <w:bCs/>
    </w:rPr>
  </w:style>
  <w:style w:type="paragraph" w:styleId="a7">
    <w:name w:val="Normal (Web)"/>
    <w:basedOn w:val="a"/>
    <w:uiPriority w:val="99"/>
    <w:semiHidden/>
    <w:unhideWhenUsed/>
    <w:rsid w:val="00F67A26"/>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16680">
      <w:bodyDiv w:val="1"/>
      <w:marLeft w:val="0"/>
      <w:marRight w:val="0"/>
      <w:marTop w:val="0"/>
      <w:marBottom w:val="0"/>
      <w:divBdr>
        <w:top w:val="none" w:sz="0" w:space="0" w:color="auto"/>
        <w:left w:val="none" w:sz="0" w:space="0" w:color="auto"/>
        <w:bottom w:val="none" w:sz="0" w:space="0" w:color="auto"/>
        <w:right w:val="none" w:sz="0" w:space="0" w:color="auto"/>
      </w:divBdr>
    </w:div>
    <w:div w:id="779374748">
      <w:bodyDiv w:val="1"/>
      <w:marLeft w:val="0"/>
      <w:marRight w:val="0"/>
      <w:marTop w:val="0"/>
      <w:marBottom w:val="0"/>
      <w:divBdr>
        <w:top w:val="none" w:sz="0" w:space="0" w:color="auto"/>
        <w:left w:val="none" w:sz="0" w:space="0" w:color="auto"/>
        <w:bottom w:val="none" w:sz="0" w:space="0" w:color="auto"/>
        <w:right w:val="none" w:sz="0" w:space="0" w:color="auto"/>
      </w:divBdr>
    </w:div>
    <w:div w:id="1393038699">
      <w:bodyDiv w:val="1"/>
      <w:marLeft w:val="0"/>
      <w:marRight w:val="0"/>
      <w:marTop w:val="0"/>
      <w:marBottom w:val="0"/>
      <w:divBdr>
        <w:top w:val="none" w:sz="0" w:space="0" w:color="auto"/>
        <w:left w:val="none" w:sz="0" w:space="0" w:color="auto"/>
        <w:bottom w:val="none" w:sz="0" w:space="0" w:color="auto"/>
        <w:right w:val="none" w:sz="0" w:space="0" w:color="auto"/>
      </w:divBdr>
    </w:div>
    <w:div w:id="14441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285</Words>
  <Characters>1626</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사용자or장소</dc:creator>
  <cp:keywords/>
  <dc:description/>
  <cp:lastModifiedBy>nmc</cp:lastModifiedBy>
  <cp:revision>4</cp:revision>
  <dcterms:created xsi:type="dcterms:W3CDTF">2024-08-13T07:15:00Z</dcterms:created>
  <dcterms:modified xsi:type="dcterms:W3CDTF">2024-08-14T00:58:00Z</dcterms:modified>
</cp:coreProperties>
</file>