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655160" w14:textId="6C753310" w:rsidR="00EA4D6E" w:rsidRDefault="00EA4D6E" w:rsidP="00EA4D6E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6D3608AF" wp14:editId="60401B74">
            <wp:extent cx="4309650" cy="72771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077" cy="727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F7F955" w14:textId="1160C921" w:rsidR="00EA4D6E" w:rsidRPr="00C240C7" w:rsidRDefault="00EA4D6E" w:rsidP="00EA4D6E">
      <w:pPr>
        <w:autoSpaceDE w:val="0"/>
        <w:autoSpaceDN w:val="0"/>
        <w:adjustRightInd w:val="0"/>
        <w:spacing w:line="440" w:lineRule="exact"/>
        <w:rPr>
          <w:rFonts w:ascii="Arial" w:hAnsi="Arial" w:cs="Arial"/>
          <w:color w:val="000000" w:themeColor="text1"/>
          <w:szCs w:val="21"/>
        </w:rPr>
      </w:pPr>
      <w:r w:rsidRPr="00EA4D6E">
        <w:rPr>
          <w:b/>
          <w:bCs/>
        </w:rPr>
        <w:t>FigS1.</w:t>
      </w:r>
      <w:r w:rsidRPr="00EA4D6E">
        <w:rPr>
          <w:rFonts w:ascii="Arial" w:hAnsi="Arial" w:cs="Arial"/>
          <w:color w:val="000000" w:themeColor="text1"/>
          <w:szCs w:val="21"/>
        </w:rPr>
        <w:t xml:space="preserve"> </w:t>
      </w:r>
      <w:r>
        <w:rPr>
          <w:rFonts w:ascii="Arial" w:hAnsi="Arial" w:cs="Arial"/>
          <w:color w:val="000000" w:themeColor="text1"/>
          <w:szCs w:val="21"/>
        </w:rPr>
        <w:t>Knockdown</w:t>
      </w:r>
      <w:r w:rsidRPr="00C240C7">
        <w:rPr>
          <w:rFonts w:ascii="Arial" w:hAnsi="Arial" w:cs="Arial"/>
          <w:color w:val="000000" w:themeColor="text1"/>
          <w:szCs w:val="21"/>
        </w:rPr>
        <w:t xml:space="preserve"> of CDK10 </w:t>
      </w:r>
      <w:r>
        <w:rPr>
          <w:rFonts w:ascii="Arial" w:hAnsi="Arial" w:cs="Arial"/>
          <w:color w:val="000000" w:themeColor="text1"/>
          <w:szCs w:val="21"/>
        </w:rPr>
        <w:t>promotes</w:t>
      </w:r>
      <w:r w:rsidRPr="00C240C7">
        <w:rPr>
          <w:rFonts w:ascii="Arial" w:hAnsi="Arial" w:cs="Arial"/>
          <w:color w:val="000000" w:themeColor="text1"/>
          <w:szCs w:val="21"/>
        </w:rPr>
        <w:t xml:space="preserve"> the </w:t>
      </w:r>
      <w:r>
        <w:rPr>
          <w:rFonts w:ascii="Arial" w:hAnsi="Arial" w:cs="Arial"/>
          <w:color w:val="000000" w:themeColor="text1"/>
          <w:szCs w:val="21"/>
        </w:rPr>
        <w:t>p</w:t>
      </w:r>
      <w:r w:rsidRPr="00C240C7">
        <w:rPr>
          <w:rFonts w:ascii="Arial" w:hAnsi="Arial" w:cs="Arial"/>
          <w:color w:val="000000" w:themeColor="text1"/>
          <w:szCs w:val="21"/>
        </w:rPr>
        <w:t xml:space="preserve">roliferation and </w:t>
      </w:r>
      <w:r>
        <w:rPr>
          <w:rFonts w:ascii="Arial" w:hAnsi="Arial" w:cs="Arial"/>
          <w:color w:val="000000" w:themeColor="text1"/>
          <w:szCs w:val="21"/>
        </w:rPr>
        <w:t>m</w:t>
      </w:r>
      <w:r w:rsidRPr="00C240C7">
        <w:rPr>
          <w:rFonts w:ascii="Arial" w:hAnsi="Arial" w:cs="Arial"/>
          <w:color w:val="000000" w:themeColor="text1"/>
          <w:szCs w:val="21"/>
        </w:rPr>
        <w:t xml:space="preserve">etastasis of </w:t>
      </w:r>
      <w:r>
        <w:rPr>
          <w:rFonts w:ascii="Arial" w:hAnsi="Arial" w:cs="Arial"/>
          <w:color w:val="000000" w:themeColor="text1"/>
          <w:szCs w:val="21"/>
        </w:rPr>
        <w:t>g</w:t>
      </w:r>
      <w:r w:rsidRPr="00C240C7">
        <w:rPr>
          <w:rFonts w:ascii="Arial" w:hAnsi="Arial" w:cs="Arial"/>
          <w:color w:val="000000" w:themeColor="text1"/>
          <w:szCs w:val="21"/>
        </w:rPr>
        <w:t xml:space="preserve">astric </w:t>
      </w:r>
      <w:r>
        <w:rPr>
          <w:rFonts w:ascii="Arial" w:hAnsi="Arial" w:cs="Arial"/>
          <w:color w:val="000000" w:themeColor="text1"/>
          <w:szCs w:val="21"/>
        </w:rPr>
        <w:t>c</w:t>
      </w:r>
      <w:r w:rsidRPr="00C240C7">
        <w:rPr>
          <w:rFonts w:ascii="Arial" w:hAnsi="Arial" w:cs="Arial"/>
          <w:color w:val="000000" w:themeColor="text1"/>
          <w:szCs w:val="21"/>
        </w:rPr>
        <w:t xml:space="preserve">ancer </w:t>
      </w:r>
      <w:r>
        <w:rPr>
          <w:rFonts w:ascii="Arial" w:hAnsi="Arial" w:cs="Arial"/>
          <w:color w:val="000000" w:themeColor="text1"/>
          <w:szCs w:val="21"/>
        </w:rPr>
        <w:t>c</w:t>
      </w:r>
      <w:r w:rsidRPr="00C240C7">
        <w:rPr>
          <w:rFonts w:ascii="Arial" w:hAnsi="Arial" w:cs="Arial"/>
          <w:color w:val="000000" w:themeColor="text1"/>
          <w:szCs w:val="21"/>
        </w:rPr>
        <w:t xml:space="preserve">ell in </w:t>
      </w:r>
      <w:r>
        <w:rPr>
          <w:rFonts w:ascii="Arial" w:hAnsi="Arial" w:cs="Arial"/>
          <w:color w:val="000000" w:themeColor="text1"/>
          <w:szCs w:val="21"/>
        </w:rPr>
        <w:t>v</w:t>
      </w:r>
      <w:r w:rsidRPr="00C240C7">
        <w:rPr>
          <w:rFonts w:ascii="Arial" w:hAnsi="Arial" w:cs="Arial"/>
          <w:color w:val="000000" w:themeColor="text1"/>
          <w:szCs w:val="21"/>
        </w:rPr>
        <w:t xml:space="preserve">itro and </w:t>
      </w:r>
      <w:r>
        <w:rPr>
          <w:rFonts w:ascii="Arial" w:hAnsi="Arial" w:cs="Arial"/>
          <w:color w:val="000000" w:themeColor="text1"/>
          <w:szCs w:val="21"/>
        </w:rPr>
        <w:t>v</w:t>
      </w:r>
      <w:r w:rsidRPr="00C240C7">
        <w:rPr>
          <w:rFonts w:ascii="Arial" w:hAnsi="Arial" w:cs="Arial"/>
          <w:color w:val="000000" w:themeColor="text1"/>
          <w:szCs w:val="21"/>
        </w:rPr>
        <w:t>ivo.</w:t>
      </w:r>
      <w:r>
        <w:rPr>
          <w:rFonts w:ascii="Arial" w:hAnsi="Arial" w:cs="Arial"/>
          <w:color w:val="000000" w:themeColor="text1"/>
          <w:szCs w:val="21"/>
        </w:rPr>
        <w:t xml:space="preserve"> a)</w:t>
      </w:r>
      <w:r w:rsidRPr="00EA4D6E">
        <w:rPr>
          <w:rFonts w:ascii="Arial" w:hAnsi="Arial" w:cs="Arial"/>
          <w:color w:val="000000" w:themeColor="text1"/>
          <w:szCs w:val="21"/>
        </w:rPr>
        <w:t xml:space="preserve"> </w:t>
      </w:r>
      <w:r>
        <w:rPr>
          <w:rFonts w:ascii="Arial" w:hAnsi="Arial" w:cs="Arial"/>
          <w:color w:val="000000" w:themeColor="text1"/>
          <w:szCs w:val="21"/>
        </w:rPr>
        <w:t>Knockdown</w:t>
      </w:r>
      <w:r w:rsidRPr="009619A0">
        <w:rPr>
          <w:rFonts w:ascii="Arial" w:hAnsi="Arial" w:cs="Arial"/>
          <w:color w:val="000000" w:themeColor="text1"/>
          <w:szCs w:val="21"/>
        </w:rPr>
        <w:t xml:space="preserve"> of </w:t>
      </w:r>
      <w:r>
        <w:rPr>
          <w:rFonts w:ascii="Arial" w:hAnsi="Arial" w:cs="Arial"/>
          <w:color w:val="000000" w:themeColor="text1"/>
          <w:szCs w:val="21"/>
        </w:rPr>
        <w:t>CDK10</w:t>
      </w:r>
      <w:r w:rsidRPr="009619A0">
        <w:rPr>
          <w:rFonts w:ascii="Arial" w:hAnsi="Arial" w:cs="Arial"/>
          <w:color w:val="000000" w:themeColor="text1"/>
          <w:szCs w:val="21"/>
        </w:rPr>
        <w:t xml:space="preserve"> </w:t>
      </w:r>
      <w:r>
        <w:rPr>
          <w:rFonts w:ascii="Arial" w:hAnsi="Arial" w:cs="Arial"/>
          <w:color w:val="000000" w:themeColor="text1"/>
          <w:szCs w:val="21"/>
        </w:rPr>
        <w:t xml:space="preserve">in </w:t>
      </w:r>
      <w:r>
        <w:rPr>
          <w:rFonts w:ascii="Arial" w:hAnsi="Arial" w:cs="Arial"/>
          <w:color w:val="000000" w:themeColor="text1"/>
          <w:szCs w:val="21"/>
        </w:rPr>
        <w:t>MKN45</w:t>
      </w:r>
      <w:r>
        <w:rPr>
          <w:rFonts w:ascii="Arial" w:hAnsi="Arial" w:cs="Arial"/>
          <w:color w:val="000000" w:themeColor="text1"/>
          <w:szCs w:val="21"/>
        </w:rPr>
        <w:t xml:space="preserve"> </w:t>
      </w:r>
      <w:r w:rsidRPr="009619A0">
        <w:rPr>
          <w:rFonts w:ascii="Arial" w:hAnsi="Arial" w:cs="Arial"/>
          <w:color w:val="000000" w:themeColor="text1"/>
          <w:szCs w:val="21"/>
        </w:rPr>
        <w:t xml:space="preserve">assessed by </w:t>
      </w:r>
      <w:r>
        <w:rPr>
          <w:rFonts w:ascii="Arial" w:hAnsi="Arial" w:cs="Arial"/>
          <w:color w:val="000000" w:themeColor="text1"/>
          <w:szCs w:val="21"/>
        </w:rPr>
        <w:t xml:space="preserve">WB; </w:t>
      </w:r>
      <w:r>
        <w:rPr>
          <w:rFonts w:ascii="Arial" w:hAnsi="Arial" w:cs="Arial"/>
          <w:color w:val="000000" w:themeColor="text1"/>
          <w:szCs w:val="21"/>
        </w:rPr>
        <w:t>b</w:t>
      </w:r>
      <w:r>
        <w:rPr>
          <w:rFonts w:ascii="宋体" w:eastAsia="宋体" w:hAnsi="宋体" w:cs="宋体" w:hint="eastAsia"/>
          <w:color w:val="000000" w:themeColor="text1"/>
          <w:szCs w:val="21"/>
        </w:rPr>
        <w:t>＆</w:t>
      </w:r>
      <w:r>
        <w:rPr>
          <w:rFonts w:ascii="Arial" w:hAnsi="Arial" w:cs="Arial" w:hint="eastAsia"/>
          <w:color w:val="000000" w:themeColor="text1"/>
          <w:szCs w:val="21"/>
        </w:rPr>
        <w:t>c</w:t>
      </w:r>
      <w:r>
        <w:rPr>
          <w:rFonts w:ascii="Arial" w:hAnsi="Arial" w:cs="Arial"/>
          <w:color w:val="000000" w:themeColor="text1"/>
          <w:szCs w:val="21"/>
        </w:rPr>
        <w:t xml:space="preserve">) MTS and </w:t>
      </w:r>
      <w:r w:rsidRPr="00D05BBC">
        <w:rPr>
          <w:rFonts w:ascii="Arial" w:hAnsi="Arial" w:cs="Arial"/>
          <w:color w:val="000000" w:themeColor="text1"/>
          <w:szCs w:val="21"/>
        </w:rPr>
        <w:t xml:space="preserve">colony formation assays was used to analyze proliferation of </w:t>
      </w:r>
      <w:r>
        <w:rPr>
          <w:rFonts w:ascii="Arial" w:hAnsi="Arial" w:cs="Arial"/>
          <w:color w:val="000000" w:themeColor="text1"/>
          <w:szCs w:val="21"/>
        </w:rPr>
        <w:t>MKN45</w:t>
      </w:r>
      <w:r w:rsidRPr="00D05BBC">
        <w:rPr>
          <w:rFonts w:ascii="Arial" w:hAnsi="Arial" w:cs="Arial"/>
          <w:color w:val="000000" w:themeColor="text1"/>
          <w:szCs w:val="21"/>
        </w:rPr>
        <w:t xml:space="preserve"> cells after </w:t>
      </w:r>
      <w:r>
        <w:rPr>
          <w:rFonts w:ascii="Arial" w:hAnsi="Arial" w:cs="Arial"/>
          <w:color w:val="000000" w:themeColor="text1"/>
          <w:szCs w:val="21"/>
        </w:rPr>
        <w:t>CDK10-</w:t>
      </w:r>
      <w:r w:rsidRPr="00EA4D6E">
        <w:rPr>
          <w:rFonts w:ascii="Arial" w:hAnsi="Arial" w:cs="Arial"/>
          <w:color w:val="000000" w:themeColor="text1"/>
          <w:szCs w:val="21"/>
        </w:rPr>
        <w:t xml:space="preserve"> </w:t>
      </w:r>
      <w:r>
        <w:rPr>
          <w:rFonts w:ascii="Arial" w:hAnsi="Arial" w:cs="Arial"/>
          <w:color w:val="000000" w:themeColor="text1"/>
          <w:szCs w:val="21"/>
        </w:rPr>
        <w:t>k</w:t>
      </w:r>
      <w:r>
        <w:rPr>
          <w:rFonts w:ascii="Arial" w:hAnsi="Arial" w:cs="Arial"/>
          <w:color w:val="000000" w:themeColor="text1"/>
          <w:szCs w:val="21"/>
        </w:rPr>
        <w:t xml:space="preserve">nockdown; </w:t>
      </w:r>
      <w:r>
        <w:rPr>
          <w:rFonts w:ascii="Arial" w:hAnsi="Arial" w:cs="Arial"/>
          <w:color w:val="000000" w:themeColor="text1"/>
          <w:szCs w:val="21"/>
        </w:rPr>
        <w:t>d</w:t>
      </w:r>
      <w:r>
        <w:rPr>
          <w:rFonts w:ascii="Arial" w:hAnsi="Arial" w:cs="Arial"/>
          <w:color w:val="000000" w:themeColor="text1"/>
          <w:szCs w:val="21"/>
        </w:rPr>
        <w:t xml:space="preserve">) </w:t>
      </w:r>
      <w:r w:rsidRPr="00E41A31">
        <w:rPr>
          <w:rFonts w:ascii="Arial" w:hAnsi="Arial" w:cs="Arial"/>
          <w:color w:val="000000" w:themeColor="text1"/>
          <w:szCs w:val="21"/>
        </w:rPr>
        <w:t xml:space="preserve">Wound-healing assays were used to assess the impact of </w:t>
      </w:r>
      <w:r>
        <w:rPr>
          <w:rFonts w:ascii="Arial" w:hAnsi="Arial" w:cs="Arial"/>
          <w:color w:val="000000" w:themeColor="text1"/>
          <w:szCs w:val="21"/>
        </w:rPr>
        <w:t>CDK10</w:t>
      </w:r>
      <w:r>
        <w:rPr>
          <w:rFonts w:ascii="Arial" w:hAnsi="Arial" w:cs="Arial"/>
          <w:color w:val="000000" w:themeColor="text1"/>
          <w:szCs w:val="21"/>
        </w:rPr>
        <w:t>-konckdown</w:t>
      </w:r>
      <w:r>
        <w:rPr>
          <w:rFonts w:ascii="Arial" w:hAnsi="Arial" w:cs="Arial"/>
          <w:color w:val="000000" w:themeColor="text1"/>
          <w:szCs w:val="21"/>
        </w:rPr>
        <w:t xml:space="preserve"> </w:t>
      </w:r>
      <w:r w:rsidRPr="00E41A31">
        <w:rPr>
          <w:rFonts w:ascii="Arial" w:hAnsi="Arial" w:cs="Arial"/>
          <w:color w:val="000000" w:themeColor="text1"/>
          <w:szCs w:val="21"/>
        </w:rPr>
        <w:t>on the cell migration ability</w:t>
      </w:r>
      <w:r>
        <w:rPr>
          <w:rFonts w:ascii="Arial" w:hAnsi="Arial" w:cs="Arial"/>
          <w:color w:val="000000" w:themeColor="text1"/>
          <w:szCs w:val="21"/>
        </w:rPr>
        <w:t xml:space="preserve">; f) </w:t>
      </w:r>
      <w:r w:rsidRPr="00E41A31">
        <w:rPr>
          <w:rFonts w:ascii="Arial" w:hAnsi="Arial" w:cs="Arial"/>
          <w:color w:val="000000" w:themeColor="text1"/>
          <w:szCs w:val="21"/>
        </w:rPr>
        <w:t xml:space="preserve">Transwell </w:t>
      </w:r>
      <w:r>
        <w:rPr>
          <w:rFonts w:ascii="Arial" w:hAnsi="Arial" w:cs="Arial"/>
          <w:color w:val="000000" w:themeColor="text1"/>
          <w:szCs w:val="21"/>
        </w:rPr>
        <w:t xml:space="preserve">invasion </w:t>
      </w:r>
      <w:r w:rsidRPr="00E41A31">
        <w:rPr>
          <w:rFonts w:ascii="Arial" w:hAnsi="Arial" w:cs="Arial"/>
          <w:color w:val="000000" w:themeColor="text1"/>
          <w:szCs w:val="21"/>
        </w:rPr>
        <w:t xml:space="preserve">assays were used to evaluate </w:t>
      </w:r>
      <w:r w:rsidRPr="00E41A31">
        <w:rPr>
          <w:rFonts w:ascii="Arial" w:hAnsi="Arial" w:cs="Arial"/>
          <w:color w:val="000000" w:themeColor="text1"/>
          <w:szCs w:val="21"/>
        </w:rPr>
        <w:lastRenderedPageBreak/>
        <w:t xml:space="preserve">the cell </w:t>
      </w:r>
      <w:r>
        <w:rPr>
          <w:rFonts w:ascii="Arial" w:hAnsi="Arial" w:cs="Arial"/>
          <w:color w:val="000000" w:themeColor="text1"/>
          <w:szCs w:val="21"/>
        </w:rPr>
        <w:t xml:space="preserve">invasion </w:t>
      </w:r>
      <w:r w:rsidRPr="00E41A31">
        <w:rPr>
          <w:rFonts w:ascii="Arial" w:hAnsi="Arial" w:cs="Arial"/>
          <w:color w:val="000000" w:themeColor="text1"/>
          <w:szCs w:val="21"/>
        </w:rPr>
        <w:t>ability</w:t>
      </w:r>
      <w:r>
        <w:rPr>
          <w:rFonts w:ascii="Arial" w:hAnsi="Arial" w:cs="Arial"/>
          <w:color w:val="000000" w:themeColor="text1"/>
          <w:szCs w:val="21"/>
        </w:rPr>
        <w:t xml:space="preserve">; g) </w:t>
      </w:r>
      <w:r w:rsidRPr="00F24755">
        <w:rPr>
          <w:rFonts w:ascii="Arial" w:hAnsi="Arial" w:cs="Arial"/>
          <w:color w:val="000000" w:themeColor="text1"/>
          <w:szCs w:val="21"/>
        </w:rPr>
        <w:t xml:space="preserve">HE staining of the lung metastases </w:t>
      </w:r>
      <w:r>
        <w:rPr>
          <w:rFonts w:ascii="Arial" w:hAnsi="Arial" w:cs="Arial"/>
          <w:color w:val="000000" w:themeColor="text1"/>
          <w:szCs w:val="21"/>
        </w:rPr>
        <w:t xml:space="preserve">were counted </w:t>
      </w:r>
      <w:r w:rsidRPr="00F24755">
        <w:rPr>
          <w:rFonts w:ascii="Arial" w:hAnsi="Arial" w:cs="Arial"/>
          <w:color w:val="000000" w:themeColor="text1"/>
          <w:szCs w:val="21"/>
        </w:rPr>
        <w:t>in CDK10</w:t>
      </w:r>
      <w:r>
        <w:rPr>
          <w:rFonts w:ascii="Arial" w:hAnsi="Arial" w:cs="Arial"/>
          <w:color w:val="000000" w:themeColor="text1"/>
          <w:szCs w:val="21"/>
        </w:rPr>
        <w:t>-konckdown</w:t>
      </w:r>
      <w:r w:rsidRPr="00F24755">
        <w:rPr>
          <w:rFonts w:ascii="Arial" w:hAnsi="Arial" w:cs="Arial"/>
          <w:color w:val="000000" w:themeColor="text1"/>
          <w:szCs w:val="21"/>
        </w:rPr>
        <w:t xml:space="preserve"> and vector groups.</w:t>
      </w:r>
    </w:p>
    <w:p w14:paraId="25934908" w14:textId="783C6C13" w:rsidR="00EA4D6E" w:rsidRDefault="00EA4D6E" w:rsidP="00EA4D6E">
      <w:pPr>
        <w:rPr>
          <w:b/>
          <w:bCs/>
        </w:rPr>
      </w:pPr>
    </w:p>
    <w:p w14:paraId="410B0718" w14:textId="5F1BF6AA" w:rsidR="00B2579A" w:rsidRDefault="00B2579A" w:rsidP="00EA4D6E">
      <w:pPr>
        <w:rPr>
          <w:b/>
          <w:bCs/>
        </w:rPr>
      </w:pPr>
    </w:p>
    <w:p w14:paraId="4ED2B485" w14:textId="04642737" w:rsidR="00B2579A" w:rsidRDefault="00B2579A" w:rsidP="00EA4D6E">
      <w:pPr>
        <w:rPr>
          <w:b/>
          <w:bCs/>
        </w:rPr>
      </w:pPr>
    </w:p>
    <w:p w14:paraId="114114BE" w14:textId="08C57380" w:rsidR="00B2579A" w:rsidRDefault="00B2579A" w:rsidP="00EA4D6E">
      <w:pPr>
        <w:rPr>
          <w:b/>
          <w:bCs/>
        </w:rPr>
      </w:pPr>
    </w:p>
    <w:p w14:paraId="19ECAB00" w14:textId="3C2414B6" w:rsidR="00B2579A" w:rsidRDefault="00B2579A" w:rsidP="00EA4D6E">
      <w:pPr>
        <w:rPr>
          <w:rFonts w:hint="eastAsia"/>
          <w:b/>
          <w:bCs/>
        </w:rPr>
      </w:pPr>
      <w:r>
        <w:rPr>
          <w:rFonts w:hint="eastAsia"/>
          <w:b/>
          <w:bCs/>
          <w:noProof/>
        </w:rPr>
        <w:drawing>
          <wp:inline distT="0" distB="0" distL="0" distR="0" wp14:anchorId="20FF7142" wp14:editId="6FEBBC36">
            <wp:extent cx="3784600" cy="3784600"/>
            <wp:effectExtent l="0" t="0" r="635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3784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B6DC5" w14:textId="790C6906" w:rsidR="00B2579A" w:rsidRPr="00B2579A" w:rsidRDefault="00B2579A" w:rsidP="00B2579A">
      <w:pPr>
        <w:rPr>
          <w:rFonts w:ascii="Arial" w:hAnsi="Arial" w:cs="Arial"/>
          <w:color w:val="000000" w:themeColor="text1"/>
          <w:szCs w:val="21"/>
        </w:rPr>
      </w:pPr>
      <w:r w:rsidRPr="00B2579A">
        <w:rPr>
          <w:rFonts w:ascii="Arial" w:hAnsi="Arial" w:cs="Arial"/>
          <w:b/>
          <w:bCs/>
        </w:rPr>
        <w:t>FigS2.</w:t>
      </w:r>
      <w:r w:rsidRPr="00B2579A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Pr="00B2579A">
        <w:rPr>
          <w:rFonts w:ascii="Arial" w:hAnsi="Arial" w:cs="Arial"/>
          <w:color w:val="000000" w:themeColor="text1"/>
          <w:szCs w:val="21"/>
        </w:rPr>
        <w:t>RNA-seq sequencing by comparing lncRNA-C5ORF42-5-overexpressed cells with the control</w:t>
      </w:r>
      <w:r>
        <w:rPr>
          <w:rFonts w:ascii="Arial" w:hAnsi="Arial" w:cs="Arial"/>
          <w:color w:val="000000" w:themeColor="text1"/>
          <w:szCs w:val="21"/>
        </w:rPr>
        <w:t>.</w:t>
      </w:r>
    </w:p>
    <w:sectPr w:rsidR="00B2579A" w:rsidRPr="00B257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4D6E"/>
    <w:rsid w:val="00907FB1"/>
    <w:rsid w:val="00B2579A"/>
    <w:rsid w:val="00EA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DD3FF"/>
  <w15:chartTrackingRefBased/>
  <w15:docId w15:val="{4FF01C6E-A49B-404E-BB68-F8796A2A4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 Zijian</dc:creator>
  <cp:keywords/>
  <dc:description/>
  <cp:lastModifiedBy>Deng Zijian</cp:lastModifiedBy>
  <cp:revision>2</cp:revision>
  <dcterms:created xsi:type="dcterms:W3CDTF">2021-01-29T15:51:00Z</dcterms:created>
  <dcterms:modified xsi:type="dcterms:W3CDTF">2021-01-29T16:07:00Z</dcterms:modified>
</cp:coreProperties>
</file>