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dtmz8csdrmbm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Supplementary material for AI assisted environmental impact database creation methodology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This supplementary material outlines the step-by-step process (see conceptual mindmap below) that was applied when creating an environmental impact assessment database for conflict zones. The database was developed through an iterative human-AI collaboration, leveraging AI for data generation and refinement, with oversight and expertise from environmental scientists. This methodology aligns with the AI-enhanced DPSIR (Driver-Pressure-State-Impact-Response) model as presented in the main manuscript.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/>
        <w:drawing>
          <wp:inline distB="114300" distT="114300" distL="114300" distR="114300">
            <wp:extent cx="5798003" cy="6526772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3968" l="0" r="0" t="2569"/>
                    <a:stretch>
                      <a:fillRect/>
                    </a:stretch>
                  </pic:blipFill>
                  <pic:spPr>
                    <a:xfrm>
                      <a:off x="0" y="0"/>
                      <a:ext cx="5798003" cy="65267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