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E0D3F" w14:textId="77777777" w:rsidR="009F2162" w:rsidRDefault="009F2162" w:rsidP="009F2162">
      <w:pPr>
        <w:spacing w:line="240" w:lineRule="auto"/>
        <w:rPr>
          <w:rFonts w:ascii="Times New Roman" w:eastAsia="Calibri" w:hAnsi="Times New Roman" w:cs="Times New Roman"/>
          <w:color w:val="212121"/>
          <w:sz w:val="20"/>
          <w:szCs w:val="20"/>
        </w:rPr>
      </w:pPr>
      <w:r>
        <w:rPr>
          <w:rFonts w:ascii="Times New Roman" w:eastAsia="Calibri" w:hAnsi="Times New Roman" w:cs="Times New Roman"/>
          <w:color w:val="212121"/>
          <w:sz w:val="20"/>
          <w:szCs w:val="20"/>
        </w:rPr>
        <w:t>Supplementary files</w:t>
      </w:r>
    </w:p>
    <w:p w14:paraId="5CEEF45E" w14:textId="77777777" w:rsidR="009F2162" w:rsidRDefault="009F2162" w:rsidP="009F2162">
      <w:pPr>
        <w:spacing w:line="240" w:lineRule="auto"/>
        <w:rPr>
          <w:rFonts w:ascii="Times New Roman" w:eastAsia="Calibri" w:hAnsi="Times New Roman" w:cs="Times New Roman"/>
          <w:color w:val="212121"/>
        </w:rPr>
      </w:pPr>
    </w:p>
    <w:p w14:paraId="562199C2" w14:textId="77777777" w:rsidR="009F2162" w:rsidRDefault="009F2162" w:rsidP="009F2162">
      <w:pPr>
        <w:spacing w:line="240" w:lineRule="auto"/>
        <w:jc w:val="both"/>
        <w:rPr>
          <w:rFonts w:ascii="Calibri" w:eastAsia="Calibri" w:hAnsi="Calibri" w:cs="Calibri"/>
          <w:color w:val="212121"/>
          <w:sz w:val="20"/>
          <w:szCs w:val="20"/>
        </w:rPr>
      </w:pPr>
      <w:r>
        <w:rPr>
          <w:rFonts w:ascii="Calibri" w:eastAsia="Calibri" w:hAnsi="Calibri" w:cs="Calibri"/>
          <w:color w:val="212121"/>
          <w:sz w:val="20"/>
          <w:szCs w:val="20"/>
        </w:rPr>
        <w:t xml:space="preserve"> </w:t>
      </w:r>
    </w:p>
    <w:p w14:paraId="6214789F" w14:textId="77777777" w:rsidR="009F2162" w:rsidRDefault="009F2162" w:rsidP="009F2162">
      <w:pPr>
        <w:jc w:val="both"/>
        <w:rPr>
          <w:rFonts w:ascii="Times New Roman" w:eastAsia="Times New Roman" w:hAnsi="Times New Roman" w:cs="Times New Roman"/>
          <w:color w:val="212121"/>
          <w:sz w:val="24"/>
          <w:szCs w:val="24"/>
        </w:rPr>
      </w:pPr>
    </w:p>
    <w:p w14:paraId="46646119" w14:textId="47BBB4A2" w:rsidR="009F2162" w:rsidRDefault="009F2162" w:rsidP="009F2162">
      <w:pPr>
        <w:jc w:val="both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212121"/>
          <w:sz w:val="24"/>
          <w:szCs w:val="24"/>
          <w:lang w:val="et-EE" w:eastAsia="et-EE"/>
        </w:rPr>
        <w:drawing>
          <wp:inline distT="0" distB="0" distL="0" distR="0" wp14:anchorId="72744240" wp14:editId="0BAEB0A7">
            <wp:extent cx="5734050" cy="3819525"/>
            <wp:effectExtent l="0" t="0" r="0" b="9525"/>
            <wp:docPr id="1336420779" name="Picture 7" descr="A graph of a number of red and black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graph of a number of red and black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DE728" w14:textId="77777777" w:rsidR="009F2162" w:rsidRDefault="009F2162" w:rsidP="009F2162">
      <w:pPr>
        <w:jc w:val="both"/>
        <w:rPr>
          <w:rFonts w:ascii="Times New Roman" w:eastAsia="Calibri" w:hAnsi="Times New Roman" w:cs="Times New Roman"/>
          <w:color w:val="212121"/>
          <w:sz w:val="20"/>
          <w:szCs w:val="20"/>
        </w:rPr>
      </w:pPr>
      <w:r>
        <w:rPr>
          <w:rFonts w:ascii="Times New Roman" w:eastAsia="Times New Roman" w:hAnsi="Times New Roman" w:cs="Times New Roman"/>
          <w:color w:val="212121"/>
          <w:sz w:val="20"/>
          <w:szCs w:val="20"/>
        </w:rPr>
        <w:t>S1.</w:t>
      </w:r>
      <w:r>
        <w:rPr>
          <w:rFonts w:ascii="Times New Roman" w:eastAsia="Times New Roman" w:hAnsi="Times New Roman" w:cs="Times New Roman"/>
          <w:b/>
          <w:bCs/>
          <w:color w:val="2121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0"/>
          <w:szCs w:val="20"/>
        </w:rPr>
        <w:t>Eff</w:t>
      </w:r>
      <w:r>
        <w:rPr>
          <w:rFonts w:ascii="Times New Roman" w:eastAsia="Calibri" w:hAnsi="Times New Roman" w:cs="Times New Roman"/>
          <w:color w:val="212121"/>
          <w:sz w:val="20"/>
          <w:szCs w:val="20"/>
        </w:rPr>
        <w:t>icacy of biological control agents (BCAs) and plant resistance inducers (PRIs) for controlling late blight (</w:t>
      </w:r>
      <w:r>
        <w:rPr>
          <w:rFonts w:ascii="Times New Roman" w:eastAsia="Calibri" w:hAnsi="Times New Roman" w:cs="Times New Roman"/>
          <w:i/>
          <w:iCs/>
          <w:color w:val="212121"/>
          <w:sz w:val="20"/>
          <w:szCs w:val="20"/>
        </w:rPr>
        <w:t>Phytophthora infestans</w:t>
      </w:r>
      <w:r>
        <w:rPr>
          <w:rFonts w:ascii="Times New Roman" w:eastAsia="Calibri" w:hAnsi="Times New Roman" w:cs="Times New Roman"/>
          <w:color w:val="212121"/>
          <w:sz w:val="20"/>
          <w:szCs w:val="20"/>
        </w:rPr>
        <w:t>) on detached leaves of cvs. Kuras, Folva and Bintje. The dashed line represents the untreated control (no effect). Horizontal red bars are the 95% confidence intervals (based on bootstrapping).</w:t>
      </w:r>
    </w:p>
    <w:p w14:paraId="28C9B2AA" w14:textId="77777777" w:rsidR="009F2162" w:rsidRDefault="009F2162" w:rsidP="009F2162">
      <w:pPr>
        <w:spacing w:line="480" w:lineRule="auto"/>
        <w:jc w:val="both"/>
        <w:rPr>
          <w:rFonts w:eastAsia="Calibri"/>
          <w:b/>
          <w:bCs/>
          <w:color w:val="212121"/>
          <w:sz w:val="24"/>
          <w:szCs w:val="24"/>
        </w:rPr>
      </w:pPr>
    </w:p>
    <w:p w14:paraId="5CD7E206" w14:textId="77777777" w:rsidR="009F2162" w:rsidRDefault="009F2162" w:rsidP="009F2162">
      <w:pPr>
        <w:spacing w:line="480" w:lineRule="auto"/>
        <w:jc w:val="both"/>
        <w:rPr>
          <w:rFonts w:eastAsia="Calibri"/>
          <w:b/>
          <w:bCs/>
          <w:color w:val="212121"/>
          <w:sz w:val="24"/>
          <w:szCs w:val="24"/>
        </w:rPr>
      </w:pPr>
    </w:p>
    <w:p w14:paraId="6106D7D8" w14:textId="77777777" w:rsidR="009F2162" w:rsidRDefault="009F2162" w:rsidP="009F2162">
      <w:pPr>
        <w:rPr>
          <w:rFonts w:ascii="Times New Roman" w:eastAsia="Calibri" w:hAnsi="Times New Roman" w:cs="Times New Roman"/>
          <w:b/>
          <w:bCs/>
          <w:color w:val="212121"/>
          <w:sz w:val="20"/>
          <w:szCs w:val="20"/>
        </w:rPr>
      </w:pPr>
      <w:r>
        <w:rPr>
          <w:rFonts w:ascii="Times New Roman" w:eastAsia="Calibri" w:hAnsi="Times New Roman" w:cs="Times New Roman"/>
          <w:b/>
          <w:bCs/>
          <w:color w:val="212121"/>
          <w:sz w:val="20"/>
          <w:szCs w:val="20"/>
        </w:rPr>
        <w:br w:type="page"/>
      </w:r>
    </w:p>
    <w:p w14:paraId="5E93673D" w14:textId="77777777" w:rsidR="009F2162" w:rsidRDefault="009F2162" w:rsidP="009F2162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color w:val="212121"/>
          <w:sz w:val="20"/>
          <w:szCs w:val="20"/>
        </w:rPr>
      </w:pPr>
      <w:r>
        <w:rPr>
          <w:rFonts w:ascii="Times New Roman" w:eastAsia="Calibri" w:hAnsi="Times New Roman" w:cs="Times New Roman"/>
          <w:b/>
          <w:bCs/>
          <w:color w:val="212121"/>
          <w:sz w:val="20"/>
          <w:szCs w:val="20"/>
        </w:rPr>
        <w:lastRenderedPageBreak/>
        <w:t xml:space="preserve">S2. </w:t>
      </w:r>
      <w:r>
        <w:rPr>
          <w:rFonts w:ascii="Times New Roman" w:eastAsia="Calibri" w:hAnsi="Times New Roman" w:cs="Times New Roman"/>
          <w:bCs/>
          <w:color w:val="212121"/>
          <w:sz w:val="20"/>
          <w:szCs w:val="20"/>
        </w:rPr>
        <w:t>Chemical fungicides and their dosages used in the field trials</w:t>
      </w:r>
      <w:r>
        <w:rPr>
          <w:rFonts w:ascii="Times New Roman" w:eastAsia="Calibri" w:hAnsi="Times New Roman" w:cs="Times New Roman"/>
          <w:b/>
          <w:bCs/>
          <w:color w:val="212121"/>
          <w:sz w:val="20"/>
          <w:szCs w:val="20"/>
        </w:rPr>
        <w:t xml:space="preserve">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271"/>
        <w:gridCol w:w="1701"/>
        <w:gridCol w:w="4394"/>
        <w:gridCol w:w="1696"/>
      </w:tblGrid>
      <w:tr w:rsidR="009F2162" w14:paraId="05E19E42" w14:textId="77777777" w:rsidTr="009F2162">
        <w:tc>
          <w:tcPr>
            <w:tcW w:w="1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EC6CF8" w14:textId="77777777" w:rsidR="009F2162" w:rsidRDefault="009F216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Country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1D4FD2" w14:textId="77777777" w:rsidR="009F2162" w:rsidRDefault="009F216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Product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8BEA15" w14:textId="77777777" w:rsidR="009F2162" w:rsidRDefault="009F216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Active ingredient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9FE358" w14:textId="77777777" w:rsidR="009F2162" w:rsidRDefault="009F216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Dosage, l/ha</w:t>
            </w:r>
          </w:p>
        </w:tc>
      </w:tr>
      <w:tr w:rsidR="009F2162" w14:paraId="2A66EEE0" w14:textId="77777777" w:rsidTr="009F2162">
        <w:tc>
          <w:tcPr>
            <w:tcW w:w="1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81040C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Estonia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85116E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212121"/>
                <w:sz w:val="20"/>
                <w:szCs w:val="20"/>
              </w:rPr>
              <w:t>Revus Top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FA9755" w14:textId="77777777" w:rsidR="009F2162" w:rsidRDefault="009F2162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  <w:t>250 g/l mandipropamid + 250 g/l difenoconazole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8C60B6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</w:tr>
      <w:tr w:rsidR="009F2162" w14:paraId="75214026" w14:textId="77777777" w:rsidTr="009F2162">
        <w:tc>
          <w:tcPr>
            <w:tcW w:w="1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E6C929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Denmark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C0162B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212121"/>
                <w:sz w:val="20"/>
                <w:szCs w:val="20"/>
              </w:rPr>
              <w:t>Ranman Top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1F3528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212121"/>
                <w:sz w:val="20"/>
                <w:szCs w:val="20"/>
              </w:rPr>
              <w:t>160 g/l cyazofamid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470896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</w:tr>
      <w:tr w:rsidR="009F2162" w14:paraId="20B4549A" w14:textId="77777777" w:rsidTr="009F2162">
        <w:tc>
          <w:tcPr>
            <w:tcW w:w="1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A6F3F5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Finland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E9C51C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Revus</w:t>
            </w:r>
          </w:p>
          <w:p w14:paraId="753BAB78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2E14CE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Infinito</w:t>
            </w:r>
          </w:p>
          <w:p w14:paraId="3BE0E034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05FBAA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947B41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Shirlan</w:t>
            </w:r>
          </w:p>
          <w:p w14:paraId="404945EE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0C82B7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Ranman Top</w:t>
            </w:r>
          </w:p>
          <w:p w14:paraId="38FF9CB8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2C0A72" w14:textId="77777777" w:rsidR="009F2162" w:rsidRDefault="009F2162">
            <w:pPr>
              <w:spacing w:line="36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250 g/l mandipropamid</w:t>
            </w:r>
          </w:p>
          <w:p w14:paraId="51999BD1" w14:textId="77777777" w:rsidR="009F2162" w:rsidRDefault="009F2162">
            <w:pPr>
              <w:spacing w:line="36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</w:p>
          <w:p w14:paraId="0CFB8A0E" w14:textId="77777777" w:rsidR="009F2162" w:rsidRDefault="009F2162">
            <w:pPr>
              <w:spacing w:line="36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62,5 g/l fluopicolide + 625 g/l propamocarb-hydrochloride</w:t>
            </w:r>
          </w:p>
          <w:p w14:paraId="28EBE87F" w14:textId="77777777" w:rsidR="009F2162" w:rsidRDefault="009F2162">
            <w:pPr>
              <w:spacing w:line="36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</w:p>
          <w:p w14:paraId="7D430675" w14:textId="77777777" w:rsidR="009F2162" w:rsidRDefault="009F2162">
            <w:pPr>
              <w:spacing w:line="36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500 g/l fluazinam</w:t>
            </w:r>
          </w:p>
          <w:p w14:paraId="0F5BAACC" w14:textId="77777777" w:rsidR="009F2162" w:rsidRDefault="009F2162">
            <w:pPr>
              <w:spacing w:line="36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</w:p>
          <w:p w14:paraId="4AB403FD" w14:textId="77777777" w:rsidR="009F2162" w:rsidRDefault="009F2162">
            <w:pPr>
              <w:spacing w:line="36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 xml:space="preserve">160 g/l cyazofamid  </w:t>
            </w:r>
          </w:p>
          <w:p w14:paraId="7709DD5E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E64E5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  <w:p w14:paraId="1BF187E0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F65852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</w:t>
            </w:r>
          </w:p>
          <w:p w14:paraId="54A70141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E7EEAF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BC81C5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  <w:p w14:paraId="53CB465F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578241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  <w:p w14:paraId="102CC5FE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2162" w14:paraId="5C3EE4F1" w14:textId="77777777" w:rsidTr="009F2162">
        <w:tc>
          <w:tcPr>
            <w:tcW w:w="1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1E5BAE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B003D8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212121"/>
                <w:sz w:val="20"/>
                <w:szCs w:val="20"/>
              </w:rPr>
              <w:t>Revus Top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9042F2" w14:textId="77777777" w:rsidR="009F2162" w:rsidRDefault="009F2162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  <w:t>250 g/l mandipropamid + 250 g/l difenoconazole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6510B6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</w:tr>
      <w:tr w:rsidR="009F2162" w14:paraId="558330E7" w14:textId="77777777" w:rsidTr="009F2162">
        <w:tc>
          <w:tcPr>
            <w:tcW w:w="12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E1CEAF" w14:textId="77777777" w:rsidR="009F2162" w:rsidRDefault="009F216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Scotland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C3074F" w14:textId="77777777" w:rsidR="009F2162" w:rsidRDefault="009F2162">
            <w:pPr>
              <w:spacing w:line="360" w:lineRule="auto"/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</w:pPr>
            <w:r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  <w:t>Ranman Top</w:t>
            </w:r>
          </w:p>
          <w:p w14:paraId="2CFC45BB" w14:textId="77777777" w:rsidR="009F2162" w:rsidRDefault="009F2162">
            <w:pPr>
              <w:spacing w:line="360" w:lineRule="auto"/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</w:pPr>
          </w:p>
          <w:p w14:paraId="650BDD37" w14:textId="77777777" w:rsidR="009F2162" w:rsidRDefault="009F2162">
            <w:pPr>
              <w:spacing w:line="360" w:lineRule="auto"/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</w:pPr>
          </w:p>
          <w:p w14:paraId="13326F5C" w14:textId="77777777" w:rsidR="009F2162" w:rsidRDefault="009F2162">
            <w:pPr>
              <w:spacing w:line="360" w:lineRule="auto"/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</w:pPr>
            <w:r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  <w:t>Zorvec Endavia</w:t>
            </w:r>
          </w:p>
          <w:p w14:paraId="10E6D0E0" w14:textId="77777777" w:rsidR="009F2162" w:rsidRDefault="009F2162">
            <w:pPr>
              <w:spacing w:line="360" w:lineRule="auto"/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</w:pPr>
          </w:p>
          <w:p w14:paraId="01E7DA8D" w14:textId="77777777" w:rsidR="009F2162" w:rsidRDefault="009F2162">
            <w:pPr>
              <w:spacing w:line="360" w:lineRule="auto"/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</w:pPr>
          </w:p>
          <w:p w14:paraId="36B7F70A" w14:textId="77777777" w:rsidR="009F2162" w:rsidRDefault="009F2162">
            <w:pPr>
              <w:spacing w:line="360" w:lineRule="auto"/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</w:pPr>
          </w:p>
          <w:p w14:paraId="4A8D0DBB" w14:textId="77777777" w:rsidR="009F2162" w:rsidRDefault="009F2162">
            <w:pPr>
              <w:spacing w:line="360" w:lineRule="auto"/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</w:pPr>
            <w:r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  <w:t>Infinito</w:t>
            </w:r>
          </w:p>
          <w:p w14:paraId="20549A46" w14:textId="77777777" w:rsidR="009F2162" w:rsidRDefault="009F2162">
            <w:pPr>
              <w:spacing w:line="360" w:lineRule="auto"/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</w:pPr>
          </w:p>
          <w:p w14:paraId="68AF3303" w14:textId="77777777" w:rsidR="009F2162" w:rsidRDefault="009F2162">
            <w:pPr>
              <w:spacing w:line="360" w:lineRule="auto"/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</w:pPr>
          </w:p>
          <w:p w14:paraId="2444F426" w14:textId="77777777" w:rsidR="009F2162" w:rsidRDefault="009F2162">
            <w:pPr>
              <w:spacing w:line="360" w:lineRule="auto"/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</w:pPr>
          </w:p>
          <w:p w14:paraId="04572B87" w14:textId="77777777" w:rsidR="009F2162" w:rsidRDefault="009F2162">
            <w:pPr>
              <w:spacing w:line="360" w:lineRule="auto"/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</w:pPr>
            <w:r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  <w:t>Axidor</w:t>
            </w:r>
          </w:p>
          <w:p w14:paraId="1F2D85BA" w14:textId="77777777" w:rsidR="009F2162" w:rsidRDefault="009F2162">
            <w:pPr>
              <w:spacing w:line="360" w:lineRule="auto"/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</w:pPr>
          </w:p>
          <w:p w14:paraId="30700670" w14:textId="77777777" w:rsidR="009F2162" w:rsidRDefault="009F2162">
            <w:pPr>
              <w:spacing w:line="360" w:lineRule="auto"/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</w:pPr>
          </w:p>
          <w:p w14:paraId="54B3D6AB" w14:textId="77777777" w:rsidR="009F2162" w:rsidRDefault="009F2162">
            <w:pPr>
              <w:spacing w:line="360" w:lineRule="auto"/>
              <w:rPr>
                <w:rFonts w:ascii="Times New Roman" w:eastAsia="Calibri" w:hAnsi="Times New Roman" w:cs="Times New Roman"/>
                <w:color w:val="212121"/>
                <w:sz w:val="20"/>
                <w:szCs w:val="20"/>
                <w:lang w:val="it-IT"/>
              </w:rPr>
            </w:pPr>
          </w:p>
          <w:p w14:paraId="123F521D" w14:textId="77777777" w:rsidR="009F2162" w:rsidRDefault="009F2162">
            <w:pPr>
              <w:spacing w:line="360" w:lineRule="auto"/>
              <w:rPr>
                <w:rFonts w:ascii="Times New Roman" w:eastAsia="Calibri" w:hAnsi="Times New Roman" w:cs="Times New Roman"/>
                <w:color w:val="21212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212121"/>
                <w:sz w:val="20"/>
                <w:szCs w:val="20"/>
              </w:rPr>
              <w:t>Prescos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3DDCE8" w14:textId="77777777" w:rsidR="009F2162" w:rsidRDefault="009F216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160 g/l cyazofamid</w:t>
            </w:r>
          </w:p>
          <w:p w14:paraId="3A5076DD" w14:textId="77777777" w:rsidR="009F2162" w:rsidRDefault="009F216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 xml:space="preserve"> </w:t>
            </w:r>
          </w:p>
          <w:p w14:paraId="3BECDA2C" w14:textId="77777777" w:rsidR="009F2162" w:rsidRDefault="009F216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 xml:space="preserve">30 g/l oxathiapiprolin + 70 g/l benthiavalicarb), </w:t>
            </w:r>
          </w:p>
          <w:p w14:paraId="087A9451" w14:textId="77777777" w:rsidR="009F2162" w:rsidRDefault="009F216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 xml:space="preserve"> </w:t>
            </w:r>
          </w:p>
          <w:p w14:paraId="6198A218" w14:textId="77777777" w:rsidR="009F2162" w:rsidRDefault="009F216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62,5 g/l fluopicolide + 625 g/l propamocarb)</w:t>
            </w:r>
          </w:p>
          <w:p w14:paraId="378F552D" w14:textId="77777777" w:rsidR="009F2162" w:rsidRDefault="009F216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</w:p>
          <w:p w14:paraId="10C36CC0" w14:textId="77777777" w:rsidR="009F2162" w:rsidRDefault="009F216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50 g/l cymoxanil + 400 g/l propamocarb</w:t>
            </w:r>
          </w:p>
          <w:p w14:paraId="342FCD94" w14:textId="77777777" w:rsidR="009F2162" w:rsidRDefault="009F216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</w:p>
          <w:p w14:paraId="28EE79B7" w14:textId="77777777" w:rsidR="009F2162" w:rsidRDefault="009F216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300 g/l ametoctradin + 225 g/l dimethomorph</w:t>
            </w:r>
          </w:p>
          <w:p w14:paraId="5FC017E0" w14:textId="77777777" w:rsidR="009F2162" w:rsidRDefault="009F216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21212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60E7A1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  <w:p w14:paraId="0BA303FA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DC444C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34CD1C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AD792D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  <w:p w14:paraId="760E6A31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0CD882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DAACB2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200EB8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</w:t>
            </w:r>
          </w:p>
          <w:p w14:paraId="71E16B74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E42D56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AC212C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81623D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2,1</w:t>
            </w:r>
          </w:p>
          <w:p w14:paraId="63A27C0D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7DD9E8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1D9BA8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E957F8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  <w:p w14:paraId="3AE09A10" w14:textId="77777777" w:rsidR="009F2162" w:rsidRDefault="009F21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4F7E6A3" w14:textId="77777777" w:rsidR="009F2162" w:rsidRDefault="009F2162" w:rsidP="009F2162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color w:val="212121"/>
          <w:sz w:val="20"/>
          <w:szCs w:val="20"/>
        </w:rPr>
      </w:pPr>
    </w:p>
    <w:p w14:paraId="5557B116" w14:textId="6D9DCAF4" w:rsidR="009F2162" w:rsidRDefault="009F2162" w:rsidP="009F2162">
      <w:pPr>
        <w:spacing w:line="360" w:lineRule="auto"/>
        <w:jc w:val="both"/>
        <w:rPr>
          <w:rFonts w:eastAsia="Calibri"/>
          <w:color w:val="212121"/>
          <w:sz w:val="24"/>
          <w:szCs w:val="24"/>
        </w:rPr>
      </w:pPr>
      <w:r>
        <w:rPr>
          <w:rFonts w:eastAsia="Calibri"/>
          <w:noProof/>
          <w:color w:val="212121"/>
          <w:sz w:val="24"/>
          <w:szCs w:val="24"/>
          <w:lang w:val="et-EE" w:eastAsia="et-EE"/>
        </w:rPr>
        <w:lastRenderedPageBreak/>
        <w:drawing>
          <wp:inline distT="0" distB="0" distL="0" distR="0" wp14:anchorId="711E8B61" wp14:editId="2114E191">
            <wp:extent cx="5734050" cy="3419475"/>
            <wp:effectExtent l="0" t="0" r="0" b="9525"/>
            <wp:docPr id="69310048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189D6" w14:textId="77777777" w:rsidR="009F2162" w:rsidRDefault="009F2162" w:rsidP="009F2162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color w:val="212121"/>
          <w:sz w:val="20"/>
          <w:szCs w:val="20"/>
        </w:rPr>
        <w:t xml:space="preserve">S3. Efficacy of biocontrol products against late blight on potato plants grown under field conditions in Germany (cv. Kuras). </w:t>
      </w:r>
      <w:r>
        <w:rPr>
          <w:rFonts w:ascii="Times New Roman" w:hAnsi="Times New Roman" w:cs="Times New Roman"/>
          <w:sz w:val="20"/>
          <w:szCs w:val="20"/>
        </w:rPr>
        <w:t>Efficacy of the product is expressed as percentage of rAUDPC relative to rAUDPC of the untreated control.</w:t>
      </w:r>
      <w:r>
        <w:rPr>
          <w:rFonts w:ascii="Times New Roman" w:eastAsia="Calibri" w:hAnsi="Times New Roman" w:cs="Times New Roman"/>
          <w:color w:val="212121"/>
          <w:sz w:val="20"/>
          <w:szCs w:val="20"/>
        </w:rPr>
        <w:t xml:space="preserve">  Asterisks indicate statistically significant differences </w:t>
      </w:r>
      <w:r>
        <w:rPr>
          <w:rFonts w:ascii="Times New Roman" w:hAnsi="Times New Roman" w:cs="Times New Roman"/>
          <w:sz w:val="20"/>
          <w:szCs w:val="20"/>
        </w:rPr>
        <w:t>(*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>
        <w:rPr>
          <w:rFonts w:ascii="Times New Roman" w:hAnsi="Times New Roman" w:cs="Times New Roman"/>
          <w:sz w:val="20"/>
          <w:szCs w:val="20"/>
        </w:rPr>
        <w:t>&lt; 0.05, **</w:t>
      </w: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0.01, ***</w:t>
      </w: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0.001).</w:t>
      </w:r>
    </w:p>
    <w:p w14:paraId="27819F59" w14:textId="77777777" w:rsidR="009F2162" w:rsidRDefault="009F2162" w:rsidP="009F2162">
      <w:pPr>
        <w:spacing w:line="360" w:lineRule="auto"/>
        <w:jc w:val="both"/>
        <w:rPr>
          <w:rFonts w:eastAsia="Calibri"/>
          <w:color w:val="212121"/>
          <w:sz w:val="24"/>
          <w:szCs w:val="24"/>
        </w:rPr>
      </w:pPr>
    </w:p>
    <w:p w14:paraId="32CAF38C" w14:textId="1F712CF0" w:rsidR="009F2162" w:rsidRDefault="009F2162" w:rsidP="009F2162">
      <w:pPr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  <w:lang w:val="et-EE" w:eastAsia="et-EE"/>
        </w:rPr>
        <w:drawing>
          <wp:inline distT="0" distB="0" distL="0" distR="0" wp14:anchorId="3BD60B70" wp14:editId="1FFF52B6">
            <wp:extent cx="5724525" cy="3390900"/>
            <wp:effectExtent l="0" t="0" r="9525" b="0"/>
            <wp:docPr id="10286455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E1003" w14:textId="77777777" w:rsidR="009F2162" w:rsidRDefault="009F2162" w:rsidP="009F2162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color w:val="212121"/>
          <w:sz w:val="20"/>
          <w:szCs w:val="20"/>
        </w:rPr>
        <w:lastRenderedPageBreak/>
        <w:t xml:space="preserve">S4. </w:t>
      </w:r>
      <w:r>
        <w:rPr>
          <w:rFonts w:ascii="Times New Roman" w:hAnsi="Times New Roman" w:cs="Times New Roman"/>
          <w:sz w:val="20"/>
          <w:szCs w:val="20"/>
        </w:rPr>
        <w:t>Efficacy of biocontrol products against late blight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under field conditions in Denmark on cv. Kuras. Efficacy of the product is expressed as percentage of rAUDPC relative to rAUDPC of the untreated control. Asterisks indicate statistically significant differences (*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>
        <w:rPr>
          <w:rFonts w:ascii="Times New Roman" w:hAnsi="Times New Roman" w:cs="Times New Roman"/>
          <w:sz w:val="20"/>
          <w:szCs w:val="20"/>
        </w:rPr>
        <w:t>&lt; 0.05, **</w:t>
      </w: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0.01, ***</w:t>
      </w: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0.001).</w:t>
      </w:r>
    </w:p>
    <w:p w14:paraId="7DE907DF" w14:textId="77777777" w:rsidR="009F2162" w:rsidRDefault="009F2162" w:rsidP="009F2162">
      <w:pPr>
        <w:spacing w:line="240" w:lineRule="auto"/>
      </w:pPr>
    </w:p>
    <w:p w14:paraId="6FDFEC79" w14:textId="2E0706DD" w:rsidR="009F2162" w:rsidRDefault="009F2162" w:rsidP="009F2162">
      <w:pPr>
        <w:spacing w:line="240" w:lineRule="auto"/>
        <w:rPr>
          <w:rFonts w:eastAsia="Calibri"/>
          <w:color w:val="212121"/>
          <w:sz w:val="24"/>
          <w:szCs w:val="24"/>
        </w:rPr>
      </w:pPr>
      <w:r>
        <w:rPr>
          <w:rFonts w:eastAsia="Calibri"/>
          <w:noProof/>
          <w:color w:val="212121"/>
          <w:sz w:val="24"/>
          <w:szCs w:val="24"/>
          <w:lang w:val="et-EE" w:eastAsia="et-EE"/>
        </w:rPr>
        <w:drawing>
          <wp:inline distT="0" distB="0" distL="0" distR="0" wp14:anchorId="1D81A3A0" wp14:editId="2DE75D9E">
            <wp:extent cx="5724525" cy="3495675"/>
            <wp:effectExtent l="0" t="0" r="9525" b="9525"/>
            <wp:docPr id="938546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7FBE89" w14:textId="77777777" w:rsidR="009F2162" w:rsidRDefault="009F2162" w:rsidP="009F2162">
      <w:pPr>
        <w:spacing w:line="240" w:lineRule="auto"/>
        <w:jc w:val="both"/>
        <w:rPr>
          <w:rFonts w:ascii="Times New Roman" w:eastAsia="Calibri" w:hAnsi="Times New Roman" w:cs="Times New Roman"/>
          <w:color w:val="212121"/>
          <w:sz w:val="20"/>
          <w:szCs w:val="20"/>
        </w:rPr>
      </w:pPr>
      <w:r>
        <w:rPr>
          <w:rFonts w:ascii="Times New Roman" w:eastAsia="Calibri" w:hAnsi="Times New Roman" w:cs="Times New Roman"/>
          <w:color w:val="212121"/>
          <w:sz w:val="20"/>
          <w:szCs w:val="20"/>
        </w:rPr>
        <w:t xml:space="preserve">S4. Efficacy of biocontrol products against late blight under field conditions in Scotland on cv. Maris Piper. </w:t>
      </w:r>
      <w:r>
        <w:rPr>
          <w:rFonts w:ascii="Times New Roman" w:hAnsi="Times New Roman" w:cs="Times New Roman"/>
          <w:sz w:val="20"/>
          <w:szCs w:val="20"/>
        </w:rPr>
        <w:t>Efficacy of the product is expressed as percentage of rAUDPC relative to rAUDPC of the untreated control</w:t>
      </w:r>
      <w:r>
        <w:rPr>
          <w:rFonts w:ascii="Times New Roman" w:eastAsia="Calibri" w:hAnsi="Times New Roman" w:cs="Times New Roman"/>
          <w:color w:val="212121"/>
          <w:sz w:val="20"/>
          <w:szCs w:val="20"/>
        </w:rPr>
        <w:t xml:space="preserve">. Asterisks indicate statistically significant differences </w:t>
      </w:r>
      <w:r>
        <w:rPr>
          <w:rFonts w:ascii="Times New Roman" w:hAnsi="Times New Roman" w:cs="Times New Roman"/>
          <w:sz w:val="20"/>
          <w:szCs w:val="20"/>
        </w:rPr>
        <w:t>(*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>
        <w:rPr>
          <w:rFonts w:ascii="Times New Roman" w:hAnsi="Times New Roman" w:cs="Times New Roman"/>
          <w:sz w:val="20"/>
          <w:szCs w:val="20"/>
        </w:rPr>
        <w:t>&lt; 0.05, **</w:t>
      </w: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0.01, ***</w:t>
      </w: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0.001).</w:t>
      </w:r>
    </w:p>
    <w:p w14:paraId="4BBD9337" w14:textId="77777777" w:rsidR="009F2162" w:rsidRDefault="009F2162" w:rsidP="009F2162">
      <w:pPr>
        <w:spacing w:line="240" w:lineRule="auto"/>
      </w:pPr>
    </w:p>
    <w:p w14:paraId="42C59227" w14:textId="77777777" w:rsidR="009F2162" w:rsidRDefault="009F2162" w:rsidP="009F2162">
      <w:pPr>
        <w:spacing w:line="240" w:lineRule="auto"/>
        <w:jc w:val="both"/>
        <w:rPr>
          <w:rFonts w:ascii="Times New Roman" w:hAnsi="Times New Roman" w:cs="Times New Roman"/>
        </w:rPr>
      </w:pPr>
    </w:p>
    <w:p w14:paraId="3084AE99" w14:textId="26935D35" w:rsidR="009F2162" w:rsidRDefault="009F2162" w:rsidP="009F2162">
      <w:pPr>
        <w:spacing w:line="240" w:lineRule="auto"/>
        <w:jc w:val="both"/>
        <w:rPr>
          <w:rFonts w:eastAsia="Calibri"/>
          <w:b/>
          <w:bCs/>
          <w:color w:val="212121"/>
          <w:sz w:val="24"/>
          <w:szCs w:val="24"/>
        </w:rPr>
      </w:pPr>
      <w:r>
        <w:rPr>
          <w:rFonts w:eastAsia="Calibri"/>
          <w:b/>
          <w:noProof/>
          <w:color w:val="212121"/>
          <w:sz w:val="24"/>
          <w:szCs w:val="24"/>
          <w:lang w:val="et-EE" w:eastAsia="et-EE"/>
        </w:rPr>
        <w:lastRenderedPageBreak/>
        <w:drawing>
          <wp:inline distT="0" distB="0" distL="0" distR="0" wp14:anchorId="116F0619" wp14:editId="070D8D03">
            <wp:extent cx="5734050" cy="3467100"/>
            <wp:effectExtent l="0" t="0" r="0" b="0"/>
            <wp:docPr id="15028871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AE18C" w14:textId="77777777" w:rsidR="009F2162" w:rsidRDefault="009F2162" w:rsidP="009F2162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color w:val="212121"/>
          <w:sz w:val="20"/>
          <w:szCs w:val="20"/>
        </w:rPr>
      </w:pPr>
      <w:r>
        <w:rPr>
          <w:rFonts w:ascii="Times New Roman" w:eastAsia="Calibri" w:hAnsi="Times New Roman" w:cs="Times New Roman"/>
          <w:color w:val="212121"/>
          <w:sz w:val="20"/>
          <w:szCs w:val="20"/>
        </w:rPr>
        <w:t>S5. Efficacy of biocontrol products against late blight under field conditions in Scotland on cv. Gatsby.</w:t>
      </w:r>
      <w:r>
        <w:rPr>
          <w:rFonts w:ascii="Times New Roman" w:hAnsi="Times New Roman" w:cs="Times New Roman"/>
          <w:sz w:val="20"/>
          <w:szCs w:val="20"/>
        </w:rPr>
        <w:t xml:space="preserve"> Efficacy of the product is expressed as percentage of rAUDPC relative to rAUDPC of the untreated control.</w:t>
      </w:r>
      <w:r>
        <w:rPr>
          <w:rFonts w:ascii="Times New Roman" w:eastAsia="Calibri" w:hAnsi="Times New Roman" w:cs="Times New Roman"/>
          <w:color w:val="212121"/>
          <w:sz w:val="20"/>
          <w:szCs w:val="20"/>
        </w:rPr>
        <w:t xml:space="preserve"> Asterisks indicate statistically significant differences </w:t>
      </w:r>
      <w:r>
        <w:rPr>
          <w:rFonts w:ascii="Times New Roman" w:hAnsi="Times New Roman" w:cs="Times New Roman"/>
          <w:sz w:val="20"/>
          <w:szCs w:val="20"/>
        </w:rPr>
        <w:t>(*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>
        <w:rPr>
          <w:rFonts w:ascii="Times New Roman" w:hAnsi="Times New Roman" w:cs="Times New Roman"/>
          <w:sz w:val="20"/>
          <w:szCs w:val="20"/>
        </w:rPr>
        <w:t>&lt; 0.05, **</w:t>
      </w: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0.01, ***</w:t>
      </w: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0.001).</w:t>
      </w:r>
    </w:p>
    <w:p w14:paraId="211B9A05" w14:textId="77777777" w:rsidR="009F2162" w:rsidRDefault="009F2162" w:rsidP="009F2162">
      <w:pPr>
        <w:spacing w:line="240" w:lineRule="auto"/>
        <w:jc w:val="both"/>
        <w:rPr>
          <w:rFonts w:ascii="Times New Roman" w:hAnsi="Times New Roman" w:cs="Times New Roman"/>
        </w:rPr>
      </w:pPr>
    </w:p>
    <w:p w14:paraId="3AF0637F" w14:textId="5A6D7E59" w:rsidR="009F2162" w:rsidRDefault="009F2162" w:rsidP="009F2162">
      <w:pPr>
        <w:spacing w:line="240" w:lineRule="auto"/>
        <w:jc w:val="both"/>
      </w:pPr>
      <w:r>
        <w:rPr>
          <w:noProof/>
          <w:lang w:val="et-EE" w:eastAsia="et-EE"/>
        </w:rPr>
        <w:drawing>
          <wp:inline distT="0" distB="0" distL="0" distR="0" wp14:anchorId="6B499FCE" wp14:editId="027B9771">
            <wp:extent cx="5724525" cy="3457575"/>
            <wp:effectExtent l="0" t="0" r="9525" b="9525"/>
            <wp:docPr id="13704226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5C306" w14:textId="77777777" w:rsidR="009F2162" w:rsidRDefault="009F2162" w:rsidP="009F2162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color w:val="212121"/>
          <w:sz w:val="20"/>
          <w:szCs w:val="20"/>
        </w:rPr>
      </w:pPr>
      <w:r>
        <w:rPr>
          <w:rFonts w:ascii="Times New Roman" w:eastAsia="Calibri" w:hAnsi="Times New Roman" w:cs="Times New Roman"/>
          <w:color w:val="212121"/>
          <w:sz w:val="20"/>
          <w:szCs w:val="20"/>
        </w:rPr>
        <w:lastRenderedPageBreak/>
        <w:t xml:space="preserve">S6. Efficacy of biocontrol products against late blight under field conditions in Finland on cv. Kuras. </w:t>
      </w:r>
      <w:r>
        <w:rPr>
          <w:rFonts w:ascii="Times New Roman" w:hAnsi="Times New Roman" w:cs="Times New Roman"/>
          <w:sz w:val="20"/>
          <w:szCs w:val="20"/>
        </w:rPr>
        <w:t>Efficacy of the product is expressed as percentage of rAUDPC relative to rAUDPC of the untreated control</w:t>
      </w:r>
      <w:r>
        <w:rPr>
          <w:rFonts w:ascii="Times New Roman" w:eastAsia="Calibri" w:hAnsi="Times New Roman" w:cs="Times New Roman"/>
          <w:color w:val="212121"/>
          <w:sz w:val="20"/>
          <w:szCs w:val="20"/>
        </w:rPr>
        <w:t xml:space="preserve">. Asterisks indicate statistically significant differences </w:t>
      </w:r>
      <w:r>
        <w:rPr>
          <w:rFonts w:ascii="Times New Roman" w:hAnsi="Times New Roman" w:cs="Times New Roman"/>
          <w:sz w:val="20"/>
          <w:szCs w:val="20"/>
        </w:rPr>
        <w:t>(*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>
        <w:rPr>
          <w:rFonts w:ascii="Times New Roman" w:hAnsi="Times New Roman" w:cs="Times New Roman"/>
          <w:sz w:val="20"/>
          <w:szCs w:val="20"/>
        </w:rPr>
        <w:t>&lt; 0.05, **</w:t>
      </w: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0.01, ***</w:t>
      </w: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0.001).</w:t>
      </w:r>
    </w:p>
    <w:p w14:paraId="4AB78662" w14:textId="77777777" w:rsidR="009F2162" w:rsidRDefault="009F2162" w:rsidP="009F2162">
      <w:pPr>
        <w:spacing w:line="240" w:lineRule="auto"/>
        <w:jc w:val="both"/>
        <w:rPr>
          <w:rFonts w:ascii="Times New Roman" w:hAnsi="Times New Roman" w:cs="Times New Roman"/>
        </w:rPr>
      </w:pPr>
    </w:p>
    <w:p w14:paraId="7DAB4932" w14:textId="6122FE41" w:rsidR="009F2162" w:rsidRDefault="009F2162" w:rsidP="009F2162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t-EE" w:eastAsia="et-EE"/>
        </w:rPr>
        <w:drawing>
          <wp:inline distT="0" distB="0" distL="0" distR="0" wp14:anchorId="0284A0EB" wp14:editId="5B5B85A5">
            <wp:extent cx="5734050" cy="3390900"/>
            <wp:effectExtent l="0" t="0" r="0" b="0"/>
            <wp:docPr id="19802169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23FD13" w14:textId="77777777" w:rsidR="009F2162" w:rsidRDefault="009F2162" w:rsidP="009F216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color w:val="212121"/>
          <w:sz w:val="20"/>
          <w:szCs w:val="20"/>
        </w:rPr>
        <w:t xml:space="preserve">S7. Efficacy of biocontrol products against late blight under field conditions in Finland on cv. Mungo. </w:t>
      </w:r>
      <w:r>
        <w:rPr>
          <w:rFonts w:ascii="Times New Roman" w:hAnsi="Times New Roman" w:cs="Times New Roman"/>
          <w:sz w:val="20"/>
          <w:szCs w:val="20"/>
        </w:rPr>
        <w:t>Efficacy of the product is expressed as percentage of rAUDPC relative to rAUDPC of the untreated control.</w:t>
      </w:r>
      <w:r>
        <w:rPr>
          <w:rFonts w:ascii="Times New Roman" w:eastAsia="Calibri" w:hAnsi="Times New Roman" w:cs="Times New Roman"/>
          <w:color w:val="212121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All differences between the treatments are statistically not significant (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0.05). </w:t>
      </w:r>
    </w:p>
    <w:p w14:paraId="29BA61B4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162"/>
    <w:rsid w:val="00252368"/>
    <w:rsid w:val="00732981"/>
    <w:rsid w:val="009F2162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7D6D0"/>
  <w15:chartTrackingRefBased/>
  <w15:docId w15:val="{089B659D-C5DD-4F67-8339-3BF1CA60A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2162"/>
    <w:pPr>
      <w:spacing w:line="25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216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16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162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162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162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162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162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162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162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21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1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1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1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1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1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1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1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1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21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F21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162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F21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2162"/>
    <w:pPr>
      <w:spacing w:before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F21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2162"/>
    <w:pPr>
      <w:spacing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F21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1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1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216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F2162"/>
    <w:pPr>
      <w:spacing w:after="0" w:line="240" w:lineRule="auto"/>
    </w:pPr>
    <w:rPr>
      <w:kern w:val="0"/>
      <w:lang w:val="et-EE"/>
      <w14:ligatures w14:val="none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51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453</Words>
  <Characters>2587</Characters>
  <Application>Microsoft Office Word</Application>
  <DocSecurity>0</DocSecurity>
  <Lines>21</Lines>
  <Paragraphs>6</Paragraphs>
  <ScaleCrop>false</ScaleCrop>
  <Company>Springer Nature</Company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2025-04-03T11:20:00Z</dcterms:created>
  <dcterms:modified xsi:type="dcterms:W3CDTF">2025-04-03T11:20:00Z</dcterms:modified>
</cp:coreProperties>
</file>