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18"/>
          <w:szCs w:val="18"/>
          <w:lang w:bidi="ar"/>
        </w:rPr>
        <w:t>Table S5.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Factors associated with mortality in patients with </w:t>
      </w:r>
      <w:r>
        <w:rPr>
          <w:rFonts w:ascii="Times New Roman" w:hAnsi="Times New Roman" w:eastAsia="宋体" w:cs="Times New Roman"/>
          <w:i/>
          <w:color w:val="000000"/>
          <w:kern w:val="0"/>
          <w:sz w:val="18"/>
          <w:szCs w:val="18"/>
          <w:lang w:bidi="ar"/>
        </w:rPr>
        <w:t>Elizabethkingia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infections</w:t>
      </w:r>
    </w:p>
    <w:tbl>
      <w:tblPr>
        <w:tblStyle w:val="3"/>
        <w:tblW w:w="13980" w:type="dxa"/>
        <w:tblInd w:w="-106" w:type="dxa"/>
        <w:tblBorders>
          <w:top w:val="single" w:color="auto" w:sz="4" w:space="0"/>
          <w:left w:val="none" w:color="auto" w:sz="6" w:space="0"/>
          <w:bottom w:val="single" w:color="auto" w:sz="4" w:space="0"/>
          <w:right w:val="none" w:color="auto" w:sz="6" w:space="0"/>
          <w:insideH w:val="single" w:color="auto" w:sz="4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3"/>
        <w:gridCol w:w="2077"/>
        <w:gridCol w:w="2644"/>
        <w:gridCol w:w="3398"/>
        <w:gridCol w:w="2648"/>
      </w:tblGrid>
      <w:tr>
        <w:tc>
          <w:tcPr>
            <w:tcW w:w="241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</w:rPr>
              <w:t>Factor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</w:rPr>
              <w:t>Outcome</w:t>
            </w:r>
          </w:p>
        </w:tc>
        <w:tc>
          <w:tcPr>
            <w:tcW w:w="45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Univariate Analysis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</w:rPr>
              <w:t>Dead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</w:rPr>
              <w:t>Survived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OR (95% CI)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i/>
                <w:kern w:val="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-Value</w:t>
            </w:r>
          </w:p>
        </w:tc>
      </w:tr>
      <w:tr>
        <w:tc>
          <w:tcPr>
            <w:tcW w:w="10491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 xml:space="preserve">All Isolates (n = 92) </w:t>
            </w:r>
          </w:p>
          <w:p>
            <w:pPr>
              <w:pStyle w:val="4"/>
              <w:ind w:firstLine="0" w:firstLineChars="0"/>
              <w:rPr>
                <w:rFonts w:hint="default" w:ascii="Times New Roman" w:hAnsi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</w:rPr>
              <w:t>Species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i/>
                <w:sz w:val="20"/>
                <w:szCs w:val="20"/>
              </w:rPr>
            </w:pPr>
            <w:r>
              <w:rPr>
                <w:rFonts w:hint="default" w:ascii="Times New Roman" w:hAnsi="Times New Roman"/>
                <w:i/>
                <w:sz w:val="20"/>
                <w:szCs w:val="20"/>
              </w:rPr>
              <w:t>E. meningoseptica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31.25% (5)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0.232 (0.011-5.123)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0.324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i/>
                <w:sz w:val="20"/>
                <w:szCs w:val="20"/>
              </w:rPr>
            </w:pPr>
            <w:r>
              <w:rPr>
                <w:rFonts w:hint="default" w:ascii="Times New Roman" w:hAnsi="Times New Roman"/>
                <w:i/>
                <w:sz w:val="20"/>
                <w:szCs w:val="20"/>
              </w:rPr>
              <w:t>E. anophelis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100% (4)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62.5% (10)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5.571 (0.256-121.364)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0.233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i/>
                <w:sz w:val="20"/>
                <w:szCs w:val="20"/>
              </w:rPr>
            </w:pPr>
            <w:r>
              <w:rPr>
                <w:rFonts w:hint="default" w:ascii="Times New Roman" w:hAnsi="Times New Roman"/>
                <w:i/>
                <w:sz w:val="20"/>
                <w:szCs w:val="20"/>
              </w:rPr>
              <w:t>E. miricola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6.25% (1)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1.148 (0.040-33.329)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0.800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Age ≥65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100% (4)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50% (8)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9.000 (0.417-194.368)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0.068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Sex, 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75% (3)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81.25% (13)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 w:eastAsia="微软雅黑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0.692 (0.052-9.210)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0.624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10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rPr>
                <w:rFonts w:hint="default" w:ascii="Times New Roman" w:hAnsi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</w:rPr>
              <w:t xml:space="preserve">Underlying disease 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Cardiovascular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100% (4)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62.5% (10)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 w:eastAsia="微软雅黑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5.571 (0.256-121.364)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0.233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Hypertension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100% (4)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56.25% (9)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7.105 (0.328-153.766)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0.163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Cerebral infarction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100% (4)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31.25% (5)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18.818 (0.853-414.973)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0.023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Tumor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25% (1)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50% (8)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0.333 (0.028-3.926)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0.369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Diabetes mellitus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75% (3)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31.25% (5)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6.600 (0.543-80.235)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0.110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Chronic obstructive pulmonary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50% (2)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12.5% (2)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7.000 (0.600-81.684)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0.094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outset" w:color="auto" w:sz="6" w:space="0"/>
          </w:tblBorders>
        </w:tblPrEx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End-stage renal disease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25% (4)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0.309 (0.014-6.948)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0.520</w:t>
            </w:r>
          </w:p>
        </w:tc>
      </w:tr>
    </w:tbl>
    <w:p>
      <w:pPr>
        <w:rPr>
          <w:sz w:val="16"/>
          <w:szCs w:val="16"/>
        </w:rPr>
      </w:pPr>
      <w:r>
        <w:rPr>
          <w:rFonts w:ascii="Times New Roman" w:hAnsi="Times New Roman" w:eastAsia="宋体" w:cs="Times New Roman"/>
          <w:color w:val="000000"/>
          <w:kern w:val="0"/>
          <w:sz w:val="16"/>
          <w:szCs w:val="16"/>
          <w:lang w:bidi="ar"/>
        </w:rPr>
        <w:t xml:space="preserve">OR: </w:t>
      </w:r>
      <w:r>
        <w:rPr>
          <w:rFonts w:ascii="Times New Roman" w:hAnsi="Times New Roman" w:eastAsia="宋体" w:cs="Times New Roman"/>
          <w:color w:val="000000"/>
          <w:kern w:val="0"/>
          <w:sz w:val="16"/>
          <w:szCs w:val="16"/>
          <w:lang w:bidi="ar"/>
        </w:rPr>
        <w:t>O</w:t>
      </w:r>
      <w:r>
        <w:rPr>
          <w:rFonts w:ascii="Times New Roman" w:hAnsi="Times New Roman" w:eastAsia="宋体" w:cs="Times New Roman"/>
          <w:color w:val="000000"/>
          <w:kern w:val="0"/>
          <w:sz w:val="16"/>
          <w:szCs w:val="16"/>
          <w:lang w:bidi="ar"/>
        </w:rPr>
        <w:t xml:space="preserve">dds ratio; CI: </w:t>
      </w:r>
      <w:r>
        <w:rPr>
          <w:rFonts w:ascii="Times New Roman" w:hAnsi="Times New Roman" w:eastAsia="宋体" w:cs="Times New Roman"/>
          <w:color w:val="000000"/>
          <w:kern w:val="0"/>
          <w:sz w:val="16"/>
          <w:szCs w:val="16"/>
          <w:lang w:bidi="ar"/>
        </w:rPr>
        <w:t>C</w:t>
      </w:r>
      <w:bookmarkStart w:id="0" w:name="_GoBack"/>
      <w:bookmarkEnd w:id="0"/>
      <w:r>
        <w:rPr>
          <w:rFonts w:ascii="Times New Roman" w:hAnsi="Times New Roman" w:eastAsia="宋体" w:cs="Times New Roman"/>
          <w:color w:val="000000"/>
          <w:kern w:val="0"/>
          <w:sz w:val="16"/>
          <w:szCs w:val="16"/>
          <w:lang w:bidi="ar"/>
        </w:rPr>
        <w:t>onfidence interval</w:t>
      </w:r>
    </w:p>
    <w:sectPr>
      <w:pgSz w:w="15840" w:h="12240" w:orient="landscape"/>
      <w:pgMar w:top="1800" w:right="1440" w:bottom="1800" w:left="144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DDDBA"/>
    <w:rsid w:val="003A1377"/>
    <w:rsid w:val="005D66B1"/>
    <w:rsid w:val="00654077"/>
    <w:rsid w:val="00AB5F87"/>
    <w:rsid w:val="6FBDBDD3"/>
    <w:rsid w:val="7FADDDBA"/>
    <w:rsid w:val="7FFB7F25"/>
    <w:rsid w:val="BFB37761"/>
    <w:rsid w:val="FDDDA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0"/>
    <w:pPr>
      <w:widowControl/>
      <w:ind w:firstLine="420" w:firstLineChars="200"/>
      <w:jc w:val="left"/>
    </w:pPr>
    <w:rPr>
      <w:rFonts w:hint="eastAsia" w:ascii="宋体" w:hAnsi="宋体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861</Characters>
  <Lines>34</Lines>
  <Paragraphs>25</Paragraphs>
  <TotalTime>0</TotalTime>
  <ScaleCrop>false</ScaleCrop>
  <LinksUpToDate>false</LinksUpToDate>
  <CharactersWithSpaces>980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2020-08-04T02:17:00Z</dcterms:created>
  <dc:creator>yangchenmacbookpro</dc:creator>
  <cp:lastModifiedBy>yangchenmacbookpro</cp:lastModifiedBy>
  <dcterms:modified xsi:type="dcterms:W3CDTF">2020-09-02T21:48:12Z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