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E7839" w14:textId="77777777" w:rsidR="00364A2F" w:rsidRPr="00FB0781" w:rsidRDefault="00364A2F" w:rsidP="00BA71ED">
      <w:pPr>
        <w:pStyle w:val="MDPI31text"/>
        <w:spacing w:line="480" w:lineRule="auto"/>
        <w:rPr>
          <w:rFonts w:asciiTheme="majorBidi" w:hAnsiTheme="majorBidi" w:cstheme="majorBidi"/>
          <w:sz w:val="22"/>
        </w:rPr>
      </w:pPr>
    </w:p>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630"/>
        <w:gridCol w:w="1991"/>
        <w:gridCol w:w="7845"/>
      </w:tblGrid>
      <w:tr w:rsidR="00364A2F" w:rsidRPr="00FB0781" w14:paraId="285E75BF" w14:textId="77777777" w:rsidTr="00364A2F">
        <w:tc>
          <w:tcPr>
            <w:tcW w:w="5000" w:type="pct"/>
            <w:gridSpan w:val="3"/>
            <w:tcBorders>
              <w:top w:val="nil"/>
              <w:left w:val="nil"/>
              <w:bottom w:val="single" w:sz="8" w:space="0" w:color="auto"/>
              <w:right w:val="nil"/>
            </w:tcBorders>
          </w:tcPr>
          <w:p w14:paraId="703E7D6B"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b/>
                <w:bCs/>
                <w:snapToGrid w:val="0"/>
                <w:sz w:val="22"/>
                <w:szCs w:val="22"/>
                <w:lang w:eastAsia="de-DE" w:bidi="en-US"/>
              </w:rPr>
              <w:t>Table 1.</w:t>
            </w:r>
            <w:r w:rsidRPr="00FB0781">
              <w:rPr>
                <w:rFonts w:asciiTheme="majorBidi" w:eastAsia="Times New Roman" w:hAnsiTheme="majorBidi" w:cstheme="majorBidi"/>
                <w:snapToGrid w:val="0"/>
                <w:sz w:val="22"/>
                <w:szCs w:val="22"/>
                <w:lang w:eastAsia="de-DE" w:bidi="en-US"/>
              </w:rPr>
              <w:t xml:space="preserve"> SHEI components and corresponding SHP guide recommendations</w:t>
            </w:r>
          </w:p>
        </w:tc>
      </w:tr>
      <w:tr w:rsidR="00364A2F" w:rsidRPr="00FB0781" w14:paraId="6DFE4E4A" w14:textId="77777777" w:rsidTr="00364A2F">
        <w:tc>
          <w:tcPr>
            <w:tcW w:w="301" w:type="pct"/>
            <w:tcBorders>
              <w:top w:val="single" w:sz="12" w:space="0" w:color="auto"/>
              <w:left w:val="nil"/>
              <w:bottom w:val="single" w:sz="12" w:space="0" w:color="auto"/>
              <w:right w:val="nil"/>
            </w:tcBorders>
            <w:vAlign w:val="center"/>
          </w:tcPr>
          <w:p w14:paraId="4AD7EE3D" w14:textId="77777777" w:rsidR="00364A2F" w:rsidRPr="00FB0781" w:rsidRDefault="00364A2F" w:rsidP="00BA71ED">
            <w:pPr>
              <w:spacing w:line="240" w:lineRule="auto"/>
              <w:rPr>
                <w:rFonts w:asciiTheme="majorBidi" w:eastAsia="Times New Roman" w:hAnsiTheme="majorBidi" w:cstheme="majorBidi"/>
                <w:b/>
                <w:bCs/>
                <w:snapToGrid w:val="0"/>
                <w:sz w:val="22"/>
                <w:szCs w:val="22"/>
                <w:lang w:eastAsia="de-DE" w:bidi="en-US"/>
              </w:rPr>
            </w:pPr>
            <w:r w:rsidRPr="00FB0781">
              <w:rPr>
                <w:rFonts w:asciiTheme="majorBidi" w:eastAsia="Times New Roman" w:hAnsiTheme="majorBidi" w:cstheme="majorBidi"/>
                <w:b/>
                <w:bCs/>
                <w:snapToGrid w:val="0"/>
                <w:sz w:val="22"/>
                <w:szCs w:val="22"/>
                <w:lang w:eastAsia="de-DE" w:bidi="en-US"/>
              </w:rPr>
              <w:t>#</w:t>
            </w:r>
          </w:p>
        </w:tc>
        <w:tc>
          <w:tcPr>
            <w:tcW w:w="951" w:type="pct"/>
            <w:tcBorders>
              <w:top w:val="single" w:sz="12" w:space="0" w:color="auto"/>
              <w:left w:val="nil"/>
              <w:bottom w:val="single" w:sz="12" w:space="0" w:color="auto"/>
              <w:right w:val="nil"/>
            </w:tcBorders>
            <w:vAlign w:val="center"/>
          </w:tcPr>
          <w:p w14:paraId="58DB696F" w14:textId="77777777" w:rsidR="00364A2F" w:rsidRPr="00FB0781" w:rsidRDefault="00364A2F" w:rsidP="00BA71ED">
            <w:pPr>
              <w:spacing w:line="240" w:lineRule="auto"/>
              <w:rPr>
                <w:rFonts w:asciiTheme="majorBidi" w:eastAsia="Times New Roman" w:hAnsiTheme="majorBidi" w:cstheme="majorBidi"/>
                <w:b/>
                <w:bCs/>
                <w:snapToGrid w:val="0"/>
                <w:sz w:val="22"/>
                <w:szCs w:val="22"/>
                <w:lang w:eastAsia="de-DE" w:bidi="en-US"/>
              </w:rPr>
            </w:pPr>
            <w:r w:rsidRPr="00FB0781">
              <w:rPr>
                <w:rFonts w:asciiTheme="majorBidi" w:eastAsia="Times New Roman" w:hAnsiTheme="majorBidi" w:cstheme="majorBidi"/>
                <w:b/>
                <w:bCs/>
                <w:snapToGrid w:val="0"/>
                <w:sz w:val="22"/>
                <w:szCs w:val="22"/>
                <w:lang w:eastAsia="de-DE" w:bidi="en-US"/>
              </w:rPr>
              <w:t>Component</w:t>
            </w:r>
          </w:p>
        </w:tc>
        <w:tc>
          <w:tcPr>
            <w:tcW w:w="3749" w:type="pct"/>
            <w:tcBorders>
              <w:top w:val="single" w:sz="12" w:space="0" w:color="auto"/>
              <w:left w:val="nil"/>
              <w:bottom w:val="single" w:sz="12" w:space="0" w:color="auto"/>
              <w:right w:val="nil"/>
            </w:tcBorders>
            <w:vAlign w:val="center"/>
          </w:tcPr>
          <w:p w14:paraId="7468A7E7" w14:textId="77777777" w:rsidR="00364A2F" w:rsidRPr="00FB0781" w:rsidRDefault="00364A2F" w:rsidP="00BA71ED">
            <w:pPr>
              <w:spacing w:line="240" w:lineRule="auto"/>
              <w:rPr>
                <w:rFonts w:asciiTheme="majorBidi" w:eastAsia="Times New Roman" w:hAnsiTheme="majorBidi" w:cstheme="majorBidi"/>
                <w:b/>
                <w:bCs/>
                <w:snapToGrid w:val="0"/>
                <w:sz w:val="22"/>
                <w:szCs w:val="22"/>
                <w:lang w:eastAsia="de-DE" w:bidi="en-US"/>
              </w:rPr>
            </w:pPr>
            <w:r w:rsidRPr="00FB0781">
              <w:rPr>
                <w:rFonts w:asciiTheme="majorBidi" w:eastAsia="Times New Roman" w:hAnsiTheme="majorBidi" w:cstheme="majorBidi"/>
                <w:b/>
                <w:bCs/>
                <w:snapToGrid w:val="0"/>
                <w:sz w:val="22"/>
                <w:szCs w:val="22"/>
                <w:lang w:eastAsia="de-DE" w:bidi="en-US"/>
              </w:rPr>
              <w:t>SHP guide recommendation</w:t>
            </w:r>
          </w:p>
        </w:tc>
      </w:tr>
      <w:tr w:rsidR="00364A2F" w:rsidRPr="00FB0781" w14:paraId="0866C374" w14:textId="77777777" w:rsidTr="00364A2F">
        <w:trPr>
          <w:trHeight w:val="330"/>
        </w:trPr>
        <w:tc>
          <w:tcPr>
            <w:tcW w:w="301" w:type="pct"/>
            <w:tcBorders>
              <w:top w:val="single" w:sz="12" w:space="0" w:color="auto"/>
              <w:left w:val="nil"/>
              <w:bottom w:val="single" w:sz="4" w:space="0" w:color="auto"/>
              <w:right w:val="nil"/>
            </w:tcBorders>
            <w:vAlign w:val="center"/>
          </w:tcPr>
          <w:p w14:paraId="500E5302"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w:t>
            </w:r>
          </w:p>
        </w:tc>
        <w:tc>
          <w:tcPr>
            <w:tcW w:w="951" w:type="pct"/>
            <w:tcBorders>
              <w:top w:val="single" w:sz="12" w:space="0" w:color="auto"/>
              <w:left w:val="nil"/>
              <w:bottom w:val="single" w:sz="4" w:space="0" w:color="auto"/>
              <w:right w:val="nil"/>
            </w:tcBorders>
            <w:vAlign w:val="center"/>
          </w:tcPr>
          <w:p w14:paraId="509363BE"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Fruits</w:t>
            </w:r>
          </w:p>
        </w:tc>
        <w:tc>
          <w:tcPr>
            <w:tcW w:w="3749" w:type="pct"/>
            <w:vMerge w:val="restart"/>
            <w:tcBorders>
              <w:top w:val="single" w:sz="12" w:space="0" w:color="auto"/>
              <w:left w:val="nil"/>
              <w:bottom w:val="single" w:sz="4" w:space="0" w:color="auto"/>
              <w:right w:val="nil"/>
            </w:tcBorders>
            <w:vAlign w:val="center"/>
          </w:tcPr>
          <w:p w14:paraId="41665F11"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“Make sure to cover your daily requirement from fruits and vegetables.”</w:t>
            </w:r>
          </w:p>
          <w:p w14:paraId="0F59F05C"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 xml:space="preserve"> “It is preferable to eat more vegetables than fruits.”</w:t>
            </w:r>
          </w:p>
        </w:tc>
      </w:tr>
      <w:tr w:rsidR="00364A2F" w:rsidRPr="00FB0781" w14:paraId="36953A8A" w14:textId="77777777" w:rsidTr="00364A2F">
        <w:tc>
          <w:tcPr>
            <w:tcW w:w="301" w:type="pct"/>
            <w:tcBorders>
              <w:left w:val="nil"/>
              <w:bottom w:val="single" w:sz="4" w:space="0" w:color="auto"/>
              <w:right w:val="nil"/>
            </w:tcBorders>
            <w:vAlign w:val="center"/>
          </w:tcPr>
          <w:p w14:paraId="6964FE4C"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w:t>
            </w:r>
          </w:p>
        </w:tc>
        <w:tc>
          <w:tcPr>
            <w:tcW w:w="951" w:type="pct"/>
            <w:tcBorders>
              <w:left w:val="nil"/>
              <w:bottom w:val="single" w:sz="4" w:space="0" w:color="auto"/>
              <w:right w:val="nil"/>
            </w:tcBorders>
            <w:vAlign w:val="center"/>
          </w:tcPr>
          <w:p w14:paraId="627C9C8C"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Vegetables</w:t>
            </w:r>
          </w:p>
        </w:tc>
        <w:tc>
          <w:tcPr>
            <w:tcW w:w="3749" w:type="pct"/>
            <w:vMerge/>
            <w:tcBorders>
              <w:top w:val="nil"/>
              <w:left w:val="nil"/>
              <w:bottom w:val="single" w:sz="4" w:space="0" w:color="auto"/>
              <w:right w:val="nil"/>
            </w:tcBorders>
          </w:tcPr>
          <w:p w14:paraId="618E9920"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p>
        </w:tc>
      </w:tr>
      <w:tr w:rsidR="00364A2F" w:rsidRPr="00FB0781" w14:paraId="73AFC237" w14:textId="77777777" w:rsidTr="00364A2F">
        <w:tc>
          <w:tcPr>
            <w:tcW w:w="301" w:type="pct"/>
            <w:tcBorders>
              <w:left w:val="nil"/>
              <w:bottom w:val="single" w:sz="4" w:space="0" w:color="auto"/>
              <w:right w:val="nil"/>
            </w:tcBorders>
            <w:vAlign w:val="center"/>
          </w:tcPr>
          <w:p w14:paraId="15F398C7"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w:t>
            </w:r>
          </w:p>
        </w:tc>
        <w:tc>
          <w:tcPr>
            <w:tcW w:w="951" w:type="pct"/>
            <w:tcBorders>
              <w:left w:val="nil"/>
              <w:bottom w:val="single" w:sz="4" w:space="0" w:color="auto"/>
              <w:right w:val="nil"/>
            </w:tcBorders>
            <w:vAlign w:val="center"/>
          </w:tcPr>
          <w:p w14:paraId="3D38B933"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Grains</w:t>
            </w:r>
          </w:p>
        </w:tc>
        <w:tc>
          <w:tcPr>
            <w:tcW w:w="3749" w:type="pct"/>
            <w:tcBorders>
              <w:left w:val="nil"/>
              <w:bottom w:val="single" w:sz="4" w:space="0" w:color="auto"/>
              <w:right w:val="nil"/>
            </w:tcBorders>
            <w:vAlign w:val="center"/>
          </w:tcPr>
          <w:p w14:paraId="4425A821"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“Make sure to cover your daily requirement from grains and starches.”</w:t>
            </w:r>
          </w:p>
        </w:tc>
      </w:tr>
      <w:tr w:rsidR="00364A2F" w:rsidRPr="00FB0781" w14:paraId="6E3B411A" w14:textId="77777777" w:rsidTr="00364A2F">
        <w:tc>
          <w:tcPr>
            <w:tcW w:w="301" w:type="pct"/>
            <w:tcBorders>
              <w:left w:val="nil"/>
              <w:bottom w:val="single" w:sz="4" w:space="0" w:color="auto"/>
              <w:right w:val="nil"/>
            </w:tcBorders>
            <w:vAlign w:val="center"/>
          </w:tcPr>
          <w:p w14:paraId="38BABC14"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4</w:t>
            </w:r>
          </w:p>
        </w:tc>
        <w:tc>
          <w:tcPr>
            <w:tcW w:w="951" w:type="pct"/>
            <w:tcBorders>
              <w:left w:val="nil"/>
              <w:bottom w:val="single" w:sz="4" w:space="0" w:color="auto"/>
              <w:right w:val="nil"/>
            </w:tcBorders>
            <w:vAlign w:val="center"/>
          </w:tcPr>
          <w:p w14:paraId="6ECE2E18"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Whole grain ratio</w:t>
            </w:r>
          </w:p>
        </w:tc>
        <w:tc>
          <w:tcPr>
            <w:tcW w:w="3749" w:type="pct"/>
            <w:tcBorders>
              <w:left w:val="nil"/>
              <w:bottom w:val="single" w:sz="4" w:space="0" w:color="auto"/>
              <w:right w:val="nil"/>
            </w:tcBorders>
            <w:vAlign w:val="center"/>
          </w:tcPr>
          <w:p w14:paraId="76CB3EF5"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“Ensure that at least half of your grain intake is from whole grain foods.”</w:t>
            </w:r>
          </w:p>
        </w:tc>
      </w:tr>
      <w:tr w:rsidR="00364A2F" w:rsidRPr="00FB0781" w14:paraId="77B2F31E" w14:textId="77777777" w:rsidTr="00364A2F">
        <w:tc>
          <w:tcPr>
            <w:tcW w:w="301" w:type="pct"/>
            <w:tcBorders>
              <w:left w:val="nil"/>
              <w:bottom w:val="single" w:sz="4" w:space="0" w:color="auto"/>
              <w:right w:val="nil"/>
            </w:tcBorders>
            <w:vAlign w:val="center"/>
          </w:tcPr>
          <w:p w14:paraId="723D6546"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w:t>
            </w:r>
          </w:p>
        </w:tc>
        <w:tc>
          <w:tcPr>
            <w:tcW w:w="951" w:type="pct"/>
            <w:tcBorders>
              <w:left w:val="nil"/>
              <w:bottom w:val="single" w:sz="4" w:space="0" w:color="auto"/>
              <w:right w:val="nil"/>
            </w:tcBorders>
            <w:vAlign w:val="center"/>
          </w:tcPr>
          <w:p w14:paraId="38631EBF"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Protein foods</w:t>
            </w:r>
          </w:p>
        </w:tc>
        <w:tc>
          <w:tcPr>
            <w:tcW w:w="3749" w:type="pct"/>
            <w:tcBorders>
              <w:left w:val="nil"/>
              <w:bottom w:val="single" w:sz="4" w:space="0" w:color="auto"/>
              <w:right w:val="nil"/>
            </w:tcBorders>
            <w:vAlign w:val="center"/>
          </w:tcPr>
          <w:p w14:paraId="4D9F6A04"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“Make sure to cover your daily requirement from protein foods.”</w:t>
            </w:r>
          </w:p>
        </w:tc>
      </w:tr>
      <w:tr w:rsidR="00364A2F" w:rsidRPr="00FB0781" w14:paraId="5F0DC21E" w14:textId="77777777" w:rsidTr="00364A2F">
        <w:tc>
          <w:tcPr>
            <w:tcW w:w="301" w:type="pct"/>
            <w:tcBorders>
              <w:left w:val="nil"/>
              <w:bottom w:val="single" w:sz="4" w:space="0" w:color="auto"/>
              <w:right w:val="nil"/>
            </w:tcBorders>
            <w:vAlign w:val="center"/>
          </w:tcPr>
          <w:p w14:paraId="2725B3AC"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6</w:t>
            </w:r>
          </w:p>
        </w:tc>
        <w:tc>
          <w:tcPr>
            <w:tcW w:w="951" w:type="pct"/>
            <w:tcBorders>
              <w:left w:val="nil"/>
              <w:bottom w:val="single" w:sz="4" w:space="0" w:color="auto"/>
              <w:right w:val="nil"/>
            </w:tcBorders>
            <w:vAlign w:val="center"/>
          </w:tcPr>
          <w:p w14:paraId="6C6A8501"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Seafood and plant-based protein foods</w:t>
            </w:r>
          </w:p>
        </w:tc>
        <w:tc>
          <w:tcPr>
            <w:tcW w:w="3749" w:type="pct"/>
            <w:tcBorders>
              <w:left w:val="nil"/>
              <w:bottom w:val="single" w:sz="4" w:space="0" w:color="auto"/>
              <w:right w:val="nil"/>
            </w:tcBorders>
            <w:vAlign w:val="center"/>
          </w:tcPr>
          <w:p w14:paraId="4D7D680E"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“Consume protein from a variety of sources.”</w:t>
            </w:r>
          </w:p>
        </w:tc>
      </w:tr>
      <w:tr w:rsidR="00364A2F" w:rsidRPr="00FB0781" w14:paraId="52C7256F" w14:textId="77777777" w:rsidTr="00364A2F">
        <w:tc>
          <w:tcPr>
            <w:tcW w:w="301" w:type="pct"/>
            <w:tcBorders>
              <w:left w:val="nil"/>
              <w:bottom w:val="single" w:sz="4" w:space="0" w:color="auto"/>
              <w:right w:val="nil"/>
            </w:tcBorders>
            <w:vAlign w:val="center"/>
          </w:tcPr>
          <w:p w14:paraId="2DDCDB5B"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7</w:t>
            </w:r>
          </w:p>
        </w:tc>
        <w:tc>
          <w:tcPr>
            <w:tcW w:w="951" w:type="pct"/>
            <w:tcBorders>
              <w:left w:val="nil"/>
              <w:bottom w:val="single" w:sz="4" w:space="0" w:color="auto"/>
              <w:right w:val="nil"/>
            </w:tcBorders>
            <w:vAlign w:val="center"/>
          </w:tcPr>
          <w:p w14:paraId="0CD7FF77"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Dairy products</w:t>
            </w:r>
          </w:p>
        </w:tc>
        <w:tc>
          <w:tcPr>
            <w:tcW w:w="3749" w:type="pct"/>
            <w:tcBorders>
              <w:left w:val="nil"/>
              <w:bottom w:val="single" w:sz="4" w:space="0" w:color="auto"/>
              <w:right w:val="nil"/>
            </w:tcBorders>
            <w:vAlign w:val="center"/>
          </w:tcPr>
          <w:p w14:paraId="55701DB2"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“Make sure to cover your daily requirement from dairy products and their alternatives.”</w:t>
            </w:r>
          </w:p>
          <w:p w14:paraId="4930089C"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“Choose dairy products that are low in fat and have no added sugar.”</w:t>
            </w:r>
          </w:p>
        </w:tc>
      </w:tr>
      <w:tr w:rsidR="00364A2F" w:rsidRPr="00FB0781" w14:paraId="7CB02D80" w14:textId="77777777" w:rsidTr="00364A2F">
        <w:tc>
          <w:tcPr>
            <w:tcW w:w="301" w:type="pct"/>
            <w:tcBorders>
              <w:left w:val="nil"/>
              <w:bottom w:val="single" w:sz="4" w:space="0" w:color="auto"/>
              <w:right w:val="nil"/>
            </w:tcBorders>
            <w:vAlign w:val="center"/>
          </w:tcPr>
          <w:p w14:paraId="3CF3E838"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8</w:t>
            </w:r>
          </w:p>
        </w:tc>
        <w:tc>
          <w:tcPr>
            <w:tcW w:w="951" w:type="pct"/>
            <w:tcBorders>
              <w:left w:val="nil"/>
              <w:bottom w:val="single" w:sz="4" w:space="0" w:color="auto"/>
              <w:right w:val="nil"/>
            </w:tcBorders>
            <w:vAlign w:val="center"/>
          </w:tcPr>
          <w:p w14:paraId="74207E76"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Beverages</w:t>
            </w:r>
          </w:p>
        </w:tc>
        <w:tc>
          <w:tcPr>
            <w:tcW w:w="3749" w:type="pct"/>
            <w:tcBorders>
              <w:left w:val="nil"/>
              <w:bottom w:val="single" w:sz="4" w:space="0" w:color="auto"/>
              <w:right w:val="nil"/>
            </w:tcBorders>
            <w:vAlign w:val="center"/>
          </w:tcPr>
          <w:p w14:paraId="1DA07812"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 xml:space="preserve">“Make sure to drink 3.7 litres for males and 2.7 litres for females of beverages per day.” </w:t>
            </w:r>
          </w:p>
          <w:p w14:paraId="302B001D"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“Limit consumption of sugary and caffeine-containing beverages.”</w:t>
            </w:r>
          </w:p>
        </w:tc>
      </w:tr>
      <w:tr w:rsidR="00364A2F" w:rsidRPr="00FB0781" w14:paraId="743200F2" w14:textId="77777777" w:rsidTr="00364A2F">
        <w:tc>
          <w:tcPr>
            <w:tcW w:w="301" w:type="pct"/>
            <w:tcBorders>
              <w:left w:val="nil"/>
              <w:bottom w:val="single" w:sz="4" w:space="0" w:color="auto"/>
              <w:right w:val="nil"/>
            </w:tcBorders>
            <w:vAlign w:val="center"/>
          </w:tcPr>
          <w:p w14:paraId="0DCE86F5"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9</w:t>
            </w:r>
          </w:p>
        </w:tc>
        <w:tc>
          <w:tcPr>
            <w:tcW w:w="951" w:type="pct"/>
            <w:tcBorders>
              <w:left w:val="nil"/>
              <w:bottom w:val="single" w:sz="4" w:space="0" w:color="auto"/>
              <w:right w:val="nil"/>
            </w:tcBorders>
            <w:vAlign w:val="center"/>
          </w:tcPr>
          <w:p w14:paraId="471C176E"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Fatty acid ratio</w:t>
            </w:r>
          </w:p>
        </w:tc>
        <w:tc>
          <w:tcPr>
            <w:tcW w:w="3749" w:type="pct"/>
            <w:tcBorders>
              <w:left w:val="nil"/>
              <w:bottom w:val="single" w:sz="4" w:space="0" w:color="auto"/>
              <w:right w:val="nil"/>
            </w:tcBorders>
            <w:vAlign w:val="center"/>
          </w:tcPr>
          <w:p w14:paraId="1BBBBA2B"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“Unsaturated fats are mainly found in plant food sources, such as nuts, sunflower oil, and olive oil, and are also found in some types of fish.”</w:t>
            </w:r>
          </w:p>
          <w:p w14:paraId="0BE1C9FB"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“Saturated fats are mainly found in animal food sources, such as red meat, dairy, and butter, and some plant sources such as coconut oil.”</w:t>
            </w:r>
          </w:p>
          <w:p w14:paraId="700E6B29"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“Excessive consumption of saturated fats is associated with an increased risk of cardiovascular disease.”</w:t>
            </w:r>
          </w:p>
        </w:tc>
      </w:tr>
      <w:tr w:rsidR="00364A2F" w:rsidRPr="00FB0781" w14:paraId="75D049A6" w14:textId="77777777" w:rsidTr="00364A2F">
        <w:tc>
          <w:tcPr>
            <w:tcW w:w="301" w:type="pct"/>
            <w:tcBorders>
              <w:left w:val="nil"/>
              <w:bottom w:val="single" w:sz="4" w:space="0" w:color="auto"/>
              <w:right w:val="nil"/>
            </w:tcBorders>
            <w:vAlign w:val="center"/>
          </w:tcPr>
          <w:p w14:paraId="3D5B4A43"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951" w:type="pct"/>
            <w:tcBorders>
              <w:left w:val="nil"/>
              <w:bottom w:val="single" w:sz="4" w:space="0" w:color="auto"/>
              <w:right w:val="nil"/>
            </w:tcBorders>
            <w:vAlign w:val="center"/>
          </w:tcPr>
          <w:p w14:paraId="723CBA0A"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Saturated fats</w:t>
            </w:r>
          </w:p>
        </w:tc>
        <w:tc>
          <w:tcPr>
            <w:tcW w:w="3749" w:type="pct"/>
            <w:tcBorders>
              <w:left w:val="nil"/>
              <w:bottom w:val="single" w:sz="4" w:space="0" w:color="auto"/>
              <w:right w:val="nil"/>
            </w:tcBorders>
            <w:vAlign w:val="center"/>
          </w:tcPr>
          <w:p w14:paraId="1EB9F956"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“A healthy adult should not consume more than 10% of calories from saturated fat per day.”</w:t>
            </w:r>
          </w:p>
          <w:p w14:paraId="5F9F1AB4"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“Excessive consumption of saturated fats is associated with an increased risk of cardiovascular disease.”</w:t>
            </w:r>
          </w:p>
        </w:tc>
      </w:tr>
      <w:tr w:rsidR="00364A2F" w:rsidRPr="00FB0781" w14:paraId="5D6F9D87" w14:textId="77777777" w:rsidTr="00364A2F">
        <w:tc>
          <w:tcPr>
            <w:tcW w:w="301" w:type="pct"/>
            <w:tcBorders>
              <w:left w:val="nil"/>
              <w:bottom w:val="single" w:sz="4" w:space="0" w:color="auto"/>
              <w:right w:val="nil"/>
            </w:tcBorders>
            <w:vAlign w:val="center"/>
          </w:tcPr>
          <w:p w14:paraId="52A65279"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11</w:t>
            </w:r>
          </w:p>
        </w:tc>
        <w:tc>
          <w:tcPr>
            <w:tcW w:w="951" w:type="pct"/>
            <w:tcBorders>
              <w:left w:val="nil"/>
              <w:bottom w:val="single" w:sz="4" w:space="0" w:color="auto"/>
              <w:right w:val="nil"/>
            </w:tcBorders>
            <w:vAlign w:val="center"/>
          </w:tcPr>
          <w:p w14:paraId="51B6DED2"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Added sugar</w:t>
            </w:r>
          </w:p>
        </w:tc>
        <w:tc>
          <w:tcPr>
            <w:tcW w:w="3749" w:type="pct"/>
            <w:tcBorders>
              <w:left w:val="nil"/>
              <w:bottom w:val="single" w:sz="4" w:space="0" w:color="auto"/>
              <w:right w:val="nil"/>
            </w:tcBorders>
            <w:vAlign w:val="center"/>
          </w:tcPr>
          <w:p w14:paraId="6F8F0995"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“A healthy adult should not consume more than 50 grams (i.e. 10% of calories) of added sugar each day.”</w:t>
            </w:r>
          </w:p>
        </w:tc>
      </w:tr>
      <w:tr w:rsidR="00364A2F" w:rsidRPr="00FB0781" w14:paraId="12BD1CF6" w14:textId="77777777" w:rsidTr="00364A2F">
        <w:tc>
          <w:tcPr>
            <w:tcW w:w="301" w:type="pct"/>
            <w:tcBorders>
              <w:top w:val="single" w:sz="4" w:space="0" w:color="auto"/>
              <w:left w:val="nil"/>
              <w:bottom w:val="single" w:sz="12" w:space="0" w:color="auto"/>
              <w:right w:val="nil"/>
            </w:tcBorders>
            <w:vAlign w:val="center"/>
          </w:tcPr>
          <w:p w14:paraId="1DFB1C63"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12</w:t>
            </w:r>
          </w:p>
        </w:tc>
        <w:tc>
          <w:tcPr>
            <w:tcW w:w="951" w:type="pct"/>
            <w:tcBorders>
              <w:top w:val="single" w:sz="4" w:space="0" w:color="auto"/>
              <w:left w:val="nil"/>
              <w:bottom w:val="single" w:sz="12" w:space="0" w:color="auto"/>
              <w:right w:val="nil"/>
            </w:tcBorders>
            <w:vAlign w:val="center"/>
          </w:tcPr>
          <w:p w14:paraId="457CBB5C"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Sodium</w:t>
            </w:r>
          </w:p>
        </w:tc>
        <w:tc>
          <w:tcPr>
            <w:tcW w:w="3749" w:type="pct"/>
            <w:tcBorders>
              <w:top w:val="single" w:sz="4" w:space="0" w:color="auto"/>
              <w:left w:val="nil"/>
              <w:bottom w:val="single" w:sz="12" w:space="0" w:color="auto"/>
              <w:right w:val="nil"/>
            </w:tcBorders>
            <w:vAlign w:val="center"/>
          </w:tcPr>
          <w:p w14:paraId="5D2C9781" w14:textId="77777777" w:rsidR="00364A2F" w:rsidRPr="00FB0781" w:rsidRDefault="00364A2F"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“A healthy adult should not consume more than 5 grams of salt or 2000 mg of sodium per day.”</w:t>
            </w:r>
          </w:p>
        </w:tc>
      </w:tr>
    </w:tbl>
    <w:p w14:paraId="3F66C064" w14:textId="77777777" w:rsidR="00ED029C" w:rsidRPr="00FB0781" w:rsidRDefault="00ED029C" w:rsidP="00BA71ED">
      <w:pPr>
        <w:pStyle w:val="MDPI31text"/>
        <w:spacing w:line="480" w:lineRule="auto"/>
        <w:rPr>
          <w:rFonts w:asciiTheme="majorBidi" w:hAnsiTheme="majorBidi" w:cstheme="majorBidi"/>
          <w:sz w:val="22"/>
        </w:rPr>
      </w:pPr>
    </w:p>
    <w:tbl>
      <w:tblPr>
        <w:tblW w:w="5116" w:type="pct"/>
        <w:tblBorders>
          <w:insideH w:val="single" w:sz="4" w:space="0" w:color="auto"/>
        </w:tblBorders>
        <w:tblLook w:val="04A0" w:firstRow="1" w:lastRow="0" w:firstColumn="1" w:lastColumn="0" w:noHBand="0" w:noVBand="1"/>
      </w:tblPr>
      <w:tblGrid>
        <w:gridCol w:w="4108"/>
        <w:gridCol w:w="236"/>
        <w:gridCol w:w="908"/>
        <w:gridCol w:w="908"/>
        <w:gridCol w:w="908"/>
        <w:gridCol w:w="910"/>
        <w:gridCol w:w="908"/>
        <w:gridCol w:w="908"/>
        <w:gridCol w:w="720"/>
        <w:gridCol w:w="195"/>
      </w:tblGrid>
      <w:tr w:rsidR="00ED029C" w:rsidRPr="00FB0781" w14:paraId="09811D0E" w14:textId="77777777" w:rsidTr="00ED029C">
        <w:trPr>
          <w:gridAfter w:val="1"/>
          <w:wAfter w:w="94" w:type="pct"/>
          <w:trHeight w:val="315"/>
        </w:trPr>
        <w:tc>
          <w:tcPr>
            <w:tcW w:w="4906" w:type="pct"/>
            <w:gridSpan w:val="9"/>
            <w:tcBorders>
              <w:bottom w:val="single" w:sz="12" w:space="0" w:color="auto"/>
            </w:tcBorders>
          </w:tcPr>
          <w:p w14:paraId="561F4AB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b/>
                <w:bCs/>
                <w:snapToGrid w:val="0"/>
                <w:sz w:val="22"/>
                <w:szCs w:val="22"/>
                <w:lang w:eastAsia="de-DE" w:bidi="en-US"/>
              </w:rPr>
              <w:t>Table 2.</w:t>
            </w:r>
            <w:r w:rsidRPr="00FB0781">
              <w:rPr>
                <w:rFonts w:asciiTheme="majorBidi" w:eastAsia="Times New Roman" w:hAnsiTheme="majorBidi" w:cstheme="majorBidi"/>
                <w:snapToGrid w:val="0"/>
                <w:sz w:val="22"/>
                <w:szCs w:val="22"/>
                <w:lang w:eastAsia="de-DE" w:bidi="en-US"/>
              </w:rPr>
              <w:t xml:space="preserve"> Recommended amounts of each food group in servings per 1000 kcal</w:t>
            </w:r>
          </w:p>
        </w:tc>
      </w:tr>
      <w:tr w:rsidR="00ED029C" w:rsidRPr="00FB0781" w14:paraId="49F75A6F" w14:textId="77777777" w:rsidTr="00ED029C">
        <w:trPr>
          <w:gridAfter w:val="1"/>
          <w:wAfter w:w="91" w:type="pct"/>
          <w:trHeight w:val="315"/>
        </w:trPr>
        <w:tc>
          <w:tcPr>
            <w:tcW w:w="1918" w:type="pct"/>
            <w:tcBorders>
              <w:top w:val="single" w:sz="12" w:space="0" w:color="auto"/>
              <w:bottom w:val="single" w:sz="12" w:space="0" w:color="auto"/>
            </w:tcBorders>
            <w:shd w:val="clear" w:color="auto" w:fill="auto"/>
            <w:vAlign w:val="center"/>
          </w:tcPr>
          <w:p w14:paraId="394450C4" w14:textId="77777777" w:rsidR="00ED029C" w:rsidRPr="00FB0781" w:rsidRDefault="00ED029C" w:rsidP="00BA71ED">
            <w:pPr>
              <w:spacing w:line="240" w:lineRule="auto"/>
              <w:rPr>
                <w:rFonts w:asciiTheme="majorBidi" w:eastAsia="Times New Roman" w:hAnsiTheme="majorBidi" w:cstheme="majorBidi"/>
                <w:snapToGrid w:val="0"/>
                <w:color w:val="auto"/>
                <w:sz w:val="22"/>
                <w:szCs w:val="22"/>
                <w:lang w:eastAsia="de-DE" w:bidi="en-US"/>
              </w:rPr>
            </w:pPr>
            <w:r w:rsidRPr="00FB0781">
              <w:rPr>
                <w:rFonts w:asciiTheme="majorBidi" w:eastAsia="Times New Roman" w:hAnsiTheme="majorBidi" w:cstheme="majorBidi"/>
                <w:snapToGrid w:val="0"/>
                <w:color w:val="auto"/>
                <w:sz w:val="22"/>
                <w:szCs w:val="22"/>
                <w:lang w:eastAsia="de-DE" w:bidi="en-US"/>
              </w:rPr>
              <w:t>Food group</w:t>
            </w:r>
          </w:p>
        </w:tc>
        <w:tc>
          <w:tcPr>
            <w:tcW w:w="110" w:type="pct"/>
            <w:tcBorders>
              <w:top w:val="single" w:sz="12" w:space="0" w:color="auto"/>
              <w:bottom w:val="single" w:sz="12" w:space="0" w:color="auto"/>
            </w:tcBorders>
          </w:tcPr>
          <w:p w14:paraId="0CDB4F44" w14:textId="77777777" w:rsidR="00ED029C" w:rsidRPr="00FB0781" w:rsidRDefault="00ED029C" w:rsidP="00BA71ED">
            <w:pPr>
              <w:spacing w:line="240" w:lineRule="auto"/>
              <w:rPr>
                <w:rFonts w:asciiTheme="majorBidi" w:eastAsia="Times New Roman" w:hAnsiTheme="majorBidi" w:cstheme="majorBidi"/>
                <w:snapToGrid w:val="0"/>
                <w:color w:val="auto"/>
                <w:sz w:val="22"/>
                <w:szCs w:val="22"/>
                <w:lang w:eastAsia="de-DE" w:bidi="en-US"/>
              </w:rPr>
            </w:pPr>
          </w:p>
        </w:tc>
        <w:tc>
          <w:tcPr>
            <w:tcW w:w="2881" w:type="pct"/>
            <w:gridSpan w:val="7"/>
            <w:tcBorders>
              <w:top w:val="single" w:sz="12" w:space="0" w:color="auto"/>
              <w:bottom w:val="single" w:sz="12" w:space="0" w:color="auto"/>
            </w:tcBorders>
            <w:shd w:val="clear" w:color="auto" w:fill="auto"/>
            <w:vAlign w:val="center"/>
          </w:tcPr>
          <w:p w14:paraId="547C91EF" w14:textId="77777777" w:rsidR="00ED029C" w:rsidRPr="00FB0781" w:rsidRDefault="00ED029C" w:rsidP="00BA71ED">
            <w:pPr>
              <w:spacing w:line="240" w:lineRule="auto"/>
              <w:rPr>
                <w:rFonts w:asciiTheme="majorBidi" w:eastAsia="Times New Roman" w:hAnsiTheme="majorBidi" w:cstheme="majorBidi"/>
                <w:snapToGrid w:val="0"/>
                <w:color w:val="auto"/>
                <w:sz w:val="22"/>
                <w:szCs w:val="22"/>
                <w:lang w:eastAsia="de-DE" w:bidi="en-US"/>
              </w:rPr>
            </w:pPr>
            <w:r w:rsidRPr="00FB0781">
              <w:rPr>
                <w:rFonts w:asciiTheme="majorBidi" w:eastAsia="Times New Roman" w:hAnsiTheme="majorBidi" w:cstheme="majorBidi"/>
                <w:snapToGrid w:val="0"/>
                <w:color w:val="auto"/>
                <w:sz w:val="22"/>
                <w:szCs w:val="22"/>
                <w:lang w:eastAsia="de-DE" w:bidi="en-US"/>
              </w:rPr>
              <w:t>Caloric level (kcal)</w:t>
            </w:r>
          </w:p>
        </w:tc>
      </w:tr>
      <w:tr w:rsidR="00ED029C" w:rsidRPr="00FB0781" w14:paraId="38A87ACB" w14:textId="77777777" w:rsidTr="00ED029C">
        <w:trPr>
          <w:trHeight w:val="278"/>
        </w:trPr>
        <w:tc>
          <w:tcPr>
            <w:tcW w:w="1918" w:type="pct"/>
            <w:tcBorders>
              <w:top w:val="single" w:sz="12" w:space="0" w:color="auto"/>
              <w:bottom w:val="single" w:sz="4" w:space="0" w:color="auto"/>
            </w:tcBorders>
            <w:shd w:val="clear" w:color="auto" w:fill="auto"/>
          </w:tcPr>
          <w:p w14:paraId="315541A5"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110" w:type="pct"/>
            <w:tcBorders>
              <w:top w:val="single" w:sz="12" w:space="0" w:color="auto"/>
              <w:bottom w:val="single" w:sz="4" w:space="0" w:color="auto"/>
            </w:tcBorders>
          </w:tcPr>
          <w:p w14:paraId="2EC4314E"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424" w:type="pct"/>
            <w:tcBorders>
              <w:top w:val="single" w:sz="12" w:space="0" w:color="auto"/>
              <w:bottom w:val="single" w:sz="4" w:space="0" w:color="auto"/>
            </w:tcBorders>
            <w:shd w:val="clear" w:color="auto" w:fill="auto"/>
            <w:vAlign w:val="center"/>
          </w:tcPr>
          <w:p w14:paraId="37A4596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2000</w:t>
            </w:r>
          </w:p>
        </w:tc>
        <w:tc>
          <w:tcPr>
            <w:tcW w:w="424" w:type="pct"/>
            <w:tcBorders>
              <w:top w:val="single" w:sz="12" w:space="0" w:color="auto"/>
              <w:bottom w:val="single" w:sz="4" w:space="0" w:color="auto"/>
            </w:tcBorders>
            <w:shd w:val="clear" w:color="auto" w:fill="auto"/>
            <w:vAlign w:val="center"/>
          </w:tcPr>
          <w:p w14:paraId="37076724"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2200</w:t>
            </w:r>
          </w:p>
        </w:tc>
        <w:tc>
          <w:tcPr>
            <w:tcW w:w="424" w:type="pct"/>
            <w:tcBorders>
              <w:top w:val="single" w:sz="12" w:space="0" w:color="auto"/>
              <w:bottom w:val="single" w:sz="4" w:space="0" w:color="auto"/>
            </w:tcBorders>
            <w:shd w:val="clear" w:color="auto" w:fill="auto"/>
            <w:vAlign w:val="center"/>
          </w:tcPr>
          <w:p w14:paraId="320CA0ED"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2400</w:t>
            </w:r>
          </w:p>
        </w:tc>
        <w:tc>
          <w:tcPr>
            <w:tcW w:w="425" w:type="pct"/>
            <w:tcBorders>
              <w:top w:val="single" w:sz="12" w:space="0" w:color="auto"/>
              <w:bottom w:val="single" w:sz="4" w:space="0" w:color="auto"/>
            </w:tcBorders>
            <w:shd w:val="clear" w:color="auto" w:fill="auto"/>
            <w:vAlign w:val="center"/>
          </w:tcPr>
          <w:p w14:paraId="29867D9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2600</w:t>
            </w:r>
          </w:p>
        </w:tc>
        <w:tc>
          <w:tcPr>
            <w:tcW w:w="424" w:type="pct"/>
            <w:tcBorders>
              <w:top w:val="single" w:sz="12" w:space="0" w:color="auto"/>
              <w:bottom w:val="single" w:sz="4" w:space="0" w:color="auto"/>
            </w:tcBorders>
            <w:shd w:val="clear" w:color="auto" w:fill="auto"/>
            <w:vAlign w:val="center"/>
          </w:tcPr>
          <w:p w14:paraId="278BD282"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2800</w:t>
            </w:r>
          </w:p>
        </w:tc>
        <w:tc>
          <w:tcPr>
            <w:tcW w:w="424" w:type="pct"/>
            <w:tcBorders>
              <w:top w:val="single" w:sz="12" w:space="0" w:color="auto"/>
              <w:bottom w:val="single" w:sz="4" w:space="0" w:color="auto"/>
            </w:tcBorders>
            <w:shd w:val="clear" w:color="auto" w:fill="auto"/>
            <w:vAlign w:val="center"/>
          </w:tcPr>
          <w:p w14:paraId="3A178CD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3000</w:t>
            </w:r>
          </w:p>
        </w:tc>
        <w:tc>
          <w:tcPr>
            <w:tcW w:w="425" w:type="pct"/>
            <w:gridSpan w:val="2"/>
            <w:tcBorders>
              <w:top w:val="single" w:sz="12" w:space="0" w:color="auto"/>
              <w:bottom w:val="single" w:sz="4" w:space="0" w:color="auto"/>
            </w:tcBorders>
            <w:shd w:val="clear" w:color="auto" w:fill="auto"/>
            <w:vAlign w:val="center"/>
          </w:tcPr>
          <w:p w14:paraId="3483A046"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3200</w:t>
            </w:r>
          </w:p>
        </w:tc>
      </w:tr>
      <w:tr w:rsidR="00ED029C" w:rsidRPr="00FB0781" w14:paraId="595DCC3E" w14:textId="77777777" w:rsidTr="00ED029C">
        <w:trPr>
          <w:trHeight w:val="315"/>
        </w:trPr>
        <w:tc>
          <w:tcPr>
            <w:tcW w:w="1918" w:type="pct"/>
            <w:tcBorders>
              <w:bottom w:val="single" w:sz="4" w:space="0" w:color="auto"/>
            </w:tcBorders>
            <w:shd w:val="clear" w:color="auto" w:fill="auto"/>
            <w:vAlign w:val="center"/>
          </w:tcPr>
          <w:p w14:paraId="327B7DA9"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Fruits</w:t>
            </w:r>
          </w:p>
        </w:tc>
        <w:tc>
          <w:tcPr>
            <w:tcW w:w="110" w:type="pct"/>
            <w:tcBorders>
              <w:bottom w:val="single" w:sz="4" w:space="0" w:color="auto"/>
            </w:tcBorders>
          </w:tcPr>
          <w:p w14:paraId="469093E9"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424" w:type="pct"/>
            <w:tcBorders>
              <w:bottom w:val="single" w:sz="4" w:space="0" w:color="auto"/>
            </w:tcBorders>
            <w:shd w:val="clear" w:color="auto" w:fill="auto"/>
            <w:vAlign w:val="center"/>
          </w:tcPr>
          <w:p w14:paraId="3387317B"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w:t>
            </w:r>
          </w:p>
        </w:tc>
        <w:tc>
          <w:tcPr>
            <w:tcW w:w="424" w:type="pct"/>
            <w:tcBorders>
              <w:bottom w:val="single" w:sz="4" w:space="0" w:color="auto"/>
            </w:tcBorders>
            <w:shd w:val="clear" w:color="auto" w:fill="auto"/>
            <w:vAlign w:val="center"/>
          </w:tcPr>
          <w:p w14:paraId="6481FB5F"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0.9</w:t>
            </w:r>
          </w:p>
        </w:tc>
        <w:tc>
          <w:tcPr>
            <w:tcW w:w="424" w:type="pct"/>
            <w:tcBorders>
              <w:bottom w:val="single" w:sz="4" w:space="0" w:color="auto"/>
            </w:tcBorders>
            <w:shd w:val="clear" w:color="auto" w:fill="auto"/>
            <w:vAlign w:val="center"/>
          </w:tcPr>
          <w:p w14:paraId="6995547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0.8</w:t>
            </w:r>
          </w:p>
        </w:tc>
        <w:tc>
          <w:tcPr>
            <w:tcW w:w="425" w:type="pct"/>
            <w:tcBorders>
              <w:bottom w:val="single" w:sz="4" w:space="0" w:color="auto"/>
            </w:tcBorders>
            <w:shd w:val="clear" w:color="auto" w:fill="auto"/>
            <w:vAlign w:val="center"/>
          </w:tcPr>
          <w:p w14:paraId="20D7053F"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0.8</w:t>
            </w:r>
          </w:p>
        </w:tc>
        <w:tc>
          <w:tcPr>
            <w:tcW w:w="424" w:type="pct"/>
            <w:tcBorders>
              <w:bottom w:val="single" w:sz="4" w:space="0" w:color="auto"/>
            </w:tcBorders>
            <w:shd w:val="clear" w:color="auto" w:fill="auto"/>
            <w:vAlign w:val="center"/>
          </w:tcPr>
          <w:p w14:paraId="73F10073"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0.7</w:t>
            </w:r>
          </w:p>
        </w:tc>
        <w:tc>
          <w:tcPr>
            <w:tcW w:w="424" w:type="pct"/>
            <w:tcBorders>
              <w:bottom w:val="single" w:sz="4" w:space="0" w:color="auto"/>
            </w:tcBorders>
            <w:shd w:val="clear" w:color="auto" w:fill="auto"/>
            <w:vAlign w:val="center"/>
          </w:tcPr>
          <w:p w14:paraId="7FAB2F5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0.7</w:t>
            </w:r>
          </w:p>
        </w:tc>
        <w:tc>
          <w:tcPr>
            <w:tcW w:w="425" w:type="pct"/>
            <w:gridSpan w:val="2"/>
            <w:tcBorders>
              <w:bottom w:val="single" w:sz="4" w:space="0" w:color="auto"/>
            </w:tcBorders>
            <w:shd w:val="clear" w:color="auto" w:fill="auto"/>
            <w:vAlign w:val="center"/>
          </w:tcPr>
          <w:p w14:paraId="654313D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0.6</w:t>
            </w:r>
          </w:p>
        </w:tc>
      </w:tr>
      <w:tr w:rsidR="00ED029C" w:rsidRPr="00FB0781" w14:paraId="23552882" w14:textId="77777777" w:rsidTr="00ED029C">
        <w:trPr>
          <w:trHeight w:val="300"/>
        </w:trPr>
        <w:tc>
          <w:tcPr>
            <w:tcW w:w="1918" w:type="pct"/>
            <w:tcBorders>
              <w:bottom w:val="single" w:sz="4" w:space="0" w:color="auto"/>
            </w:tcBorders>
            <w:shd w:val="clear" w:color="auto" w:fill="auto"/>
            <w:vAlign w:val="center"/>
          </w:tcPr>
          <w:p w14:paraId="7E7140E2"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Vegetables</w:t>
            </w:r>
          </w:p>
        </w:tc>
        <w:tc>
          <w:tcPr>
            <w:tcW w:w="110" w:type="pct"/>
            <w:tcBorders>
              <w:bottom w:val="single" w:sz="4" w:space="0" w:color="auto"/>
            </w:tcBorders>
          </w:tcPr>
          <w:p w14:paraId="59D3208D"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424" w:type="pct"/>
            <w:tcBorders>
              <w:bottom w:val="single" w:sz="4" w:space="0" w:color="auto"/>
            </w:tcBorders>
            <w:shd w:val="clear" w:color="auto" w:fill="auto"/>
            <w:vAlign w:val="bottom"/>
          </w:tcPr>
          <w:p w14:paraId="1394A435"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1.5</w:t>
            </w:r>
          </w:p>
        </w:tc>
        <w:tc>
          <w:tcPr>
            <w:tcW w:w="424" w:type="pct"/>
            <w:tcBorders>
              <w:bottom w:val="single" w:sz="4" w:space="0" w:color="auto"/>
            </w:tcBorders>
            <w:shd w:val="clear" w:color="auto" w:fill="auto"/>
            <w:vAlign w:val="bottom"/>
          </w:tcPr>
          <w:p w14:paraId="486C36B5"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1.5</w:t>
            </w:r>
          </w:p>
        </w:tc>
        <w:tc>
          <w:tcPr>
            <w:tcW w:w="424" w:type="pct"/>
            <w:tcBorders>
              <w:bottom w:val="single" w:sz="4" w:space="0" w:color="auto"/>
            </w:tcBorders>
            <w:shd w:val="clear" w:color="auto" w:fill="auto"/>
            <w:vAlign w:val="bottom"/>
          </w:tcPr>
          <w:p w14:paraId="7A7B9318"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1.3</w:t>
            </w:r>
          </w:p>
        </w:tc>
        <w:tc>
          <w:tcPr>
            <w:tcW w:w="425" w:type="pct"/>
            <w:tcBorders>
              <w:bottom w:val="single" w:sz="4" w:space="0" w:color="auto"/>
            </w:tcBorders>
            <w:shd w:val="clear" w:color="auto" w:fill="auto"/>
            <w:vAlign w:val="bottom"/>
          </w:tcPr>
          <w:p w14:paraId="71C6FBA6"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1.3</w:t>
            </w:r>
          </w:p>
        </w:tc>
        <w:tc>
          <w:tcPr>
            <w:tcW w:w="424" w:type="pct"/>
            <w:tcBorders>
              <w:bottom w:val="single" w:sz="4" w:space="0" w:color="auto"/>
            </w:tcBorders>
            <w:shd w:val="clear" w:color="auto" w:fill="auto"/>
            <w:vAlign w:val="bottom"/>
          </w:tcPr>
          <w:p w14:paraId="79B0F9ED"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1.1</w:t>
            </w:r>
          </w:p>
        </w:tc>
        <w:tc>
          <w:tcPr>
            <w:tcW w:w="424" w:type="pct"/>
            <w:tcBorders>
              <w:bottom w:val="single" w:sz="4" w:space="0" w:color="auto"/>
            </w:tcBorders>
            <w:shd w:val="clear" w:color="auto" w:fill="auto"/>
            <w:vAlign w:val="bottom"/>
          </w:tcPr>
          <w:p w14:paraId="1570E539"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1.3</w:t>
            </w:r>
          </w:p>
        </w:tc>
        <w:tc>
          <w:tcPr>
            <w:tcW w:w="425" w:type="pct"/>
            <w:gridSpan w:val="2"/>
            <w:tcBorders>
              <w:bottom w:val="single" w:sz="4" w:space="0" w:color="auto"/>
            </w:tcBorders>
            <w:shd w:val="clear" w:color="auto" w:fill="auto"/>
            <w:vAlign w:val="bottom"/>
          </w:tcPr>
          <w:p w14:paraId="27167361"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1.3</w:t>
            </w:r>
          </w:p>
        </w:tc>
      </w:tr>
      <w:tr w:rsidR="00ED029C" w:rsidRPr="00FB0781" w14:paraId="422C3BE9" w14:textId="77777777" w:rsidTr="00ED029C">
        <w:trPr>
          <w:trHeight w:val="300"/>
        </w:trPr>
        <w:tc>
          <w:tcPr>
            <w:tcW w:w="1918" w:type="pct"/>
            <w:tcBorders>
              <w:bottom w:val="single" w:sz="4" w:space="0" w:color="auto"/>
            </w:tcBorders>
            <w:shd w:val="clear" w:color="auto" w:fill="auto"/>
            <w:vAlign w:val="center"/>
          </w:tcPr>
          <w:p w14:paraId="14FFB5A8"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Grains (whole grains, refined grains)</w:t>
            </w:r>
          </w:p>
        </w:tc>
        <w:tc>
          <w:tcPr>
            <w:tcW w:w="110" w:type="pct"/>
            <w:tcBorders>
              <w:bottom w:val="single" w:sz="4" w:space="0" w:color="auto"/>
            </w:tcBorders>
          </w:tcPr>
          <w:p w14:paraId="30E8AAE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424" w:type="pct"/>
            <w:tcBorders>
              <w:bottom w:val="single" w:sz="4" w:space="0" w:color="auto"/>
            </w:tcBorders>
            <w:shd w:val="clear" w:color="auto" w:fill="auto"/>
            <w:vAlign w:val="center"/>
          </w:tcPr>
          <w:p w14:paraId="68F019BB"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3.6</w:t>
            </w:r>
          </w:p>
        </w:tc>
        <w:tc>
          <w:tcPr>
            <w:tcW w:w="424" w:type="pct"/>
            <w:tcBorders>
              <w:bottom w:val="single" w:sz="4" w:space="0" w:color="auto"/>
            </w:tcBorders>
            <w:shd w:val="clear" w:color="auto" w:fill="auto"/>
            <w:vAlign w:val="center"/>
          </w:tcPr>
          <w:p w14:paraId="5E180A47"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3.5</w:t>
            </w:r>
          </w:p>
        </w:tc>
        <w:tc>
          <w:tcPr>
            <w:tcW w:w="424" w:type="pct"/>
            <w:tcBorders>
              <w:bottom w:val="single" w:sz="4" w:space="0" w:color="auto"/>
            </w:tcBorders>
            <w:shd w:val="clear" w:color="auto" w:fill="auto"/>
            <w:vAlign w:val="center"/>
          </w:tcPr>
          <w:p w14:paraId="5B4F1C7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3.7</w:t>
            </w:r>
          </w:p>
        </w:tc>
        <w:tc>
          <w:tcPr>
            <w:tcW w:w="425" w:type="pct"/>
            <w:tcBorders>
              <w:bottom w:val="single" w:sz="4" w:space="0" w:color="auto"/>
            </w:tcBorders>
            <w:shd w:val="clear" w:color="auto" w:fill="auto"/>
            <w:vAlign w:val="center"/>
          </w:tcPr>
          <w:p w14:paraId="0504A0F6"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3.8</w:t>
            </w:r>
          </w:p>
        </w:tc>
        <w:tc>
          <w:tcPr>
            <w:tcW w:w="424" w:type="pct"/>
            <w:tcBorders>
              <w:bottom w:val="single" w:sz="4" w:space="0" w:color="auto"/>
            </w:tcBorders>
            <w:shd w:val="clear" w:color="auto" w:fill="auto"/>
            <w:vAlign w:val="center"/>
          </w:tcPr>
          <w:p w14:paraId="1D9F9DAA"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4.0</w:t>
            </w:r>
          </w:p>
        </w:tc>
        <w:tc>
          <w:tcPr>
            <w:tcW w:w="424" w:type="pct"/>
            <w:tcBorders>
              <w:bottom w:val="single" w:sz="4" w:space="0" w:color="auto"/>
            </w:tcBorders>
            <w:shd w:val="clear" w:color="auto" w:fill="auto"/>
            <w:vAlign w:val="center"/>
          </w:tcPr>
          <w:p w14:paraId="0F70414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4.0</w:t>
            </w:r>
          </w:p>
        </w:tc>
        <w:tc>
          <w:tcPr>
            <w:tcW w:w="425" w:type="pct"/>
            <w:gridSpan w:val="2"/>
            <w:tcBorders>
              <w:bottom w:val="single" w:sz="4" w:space="0" w:color="auto"/>
            </w:tcBorders>
            <w:shd w:val="clear" w:color="auto" w:fill="auto"/>
            <w:vAlign w:val="center"/>
          </w:tcPr>
          <w:p w14:paraId="6083FA75"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4.1</w:t>
            </w:r>
          </w:p>
        </w:tc>
      </w:tr>
      <w:tr w:rsidR="00ED029C" w:rsidRPr="00FB0781" w14:paraId="583CD271" w14:textId="77777777" w:rsidTr="00ED029C">
        <w:trPr>
          <w:trHeight w:val="512"/>
        </w:trPr>
        <w:tc>
          <w:tcPr>
            <w:tcW w:w="1918" w:type="pct"/>
            <w:tcBorders>
              <w:bottom w:val="single" w:sz="4" w:space="0" w:color="auto"/>
            </w:tcBorders>
            <w:shd w:val="clear" w:color="auto" w:fill="auto"/>
            <w:vAlign w:val="center"/>
          </w:tcPr>
          <w:p w14:paraId="36033894"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Protein foods (poultry, eggs, meat, seafood, beans, legumes, nuts, and seeds)</w:t>
            </w:r>
          </w:p>
        </w:tc>
        <w:tc>
          <w:tcPr>
            <w:tcW w:w="110" w:type="pct"/>
            <w:tcBorders>
              <w:bottom w:val="single" w:sz="4" w:space="0" w:color="auto"/>
            </w:tcBorders>
          </w:tcPr>
          <w:p w14:paraId="349E64ED"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424" w:type="pct"/>
            <w:tcBorders>
              <w:bottom w:val="single" w:sz="4" w:space="0" w:color="auto"/>
            </w:tcBorders>
            <w:shd w:val="clear" w:color="auto" w:fill="auto"/>
            <w:vAlign w:val="center"/>
          </w:tcPr>
          <w:p w14:paraId="3B92A5CD"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2.6</w:t>
            </w:r>
          </w:p>
        </w:tc>
        <w:tc>
          <w:tcPr>
            <w:tcW w:w="424" w:type="pct"/>
            <w:tcBorders>
              <w:bottom w:val="single" w:sz="4" w:space="0" w:color="auto"/>
            </w:tcBorders>
            <w:shd w:val="clear" w:color="auto" w:fill="auto"/>
            <w:vAlign w:val="center"/>
          </w:tcPr>
          <w:p w14:paraId="03EF6AD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3.2</w:t>
            </w:r>
          </w:p>
        </w:tc>
        <w:tc>
          <w:tcPr>
            <w:tcW w:w="424" w:type="pct"/>
            <w:tcBorders>
              <w:bottom w:val="single" w:sz="4" w:space="0" w:color="auto"/>
            </w:tcBorders>
            <w:shd w:val="clear" w:color="auto" w:fill="auto"/>
            <w:vAlign w:val="center"/>
          </w:tcPr>
          <w:p w14:paraId="12E17007"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2.8</w:t>
            </w:r>
          </w:p>
        </w:tc>
        <w:tc>
          <w:tcPr>
            <w:tcW w:w="425" w:type="pct"/>
            <w:tcBorders>
              <w:bottom w:val="single" w:sz="4" w:space="0" w:color="auto"/>
            </w:tcBorders>
            <w:shd w:val="clear" w:color="auto" w:fill="auto"/>
            <w:vAlign w:val="center"/>
          </w:tcPr>
          <w:p w14:paraId="6D93747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2.6</w:t>
            </w:r>
          </w:p>
        </w:tc>
        <w:tc>
          <w:tcPr>
            <w:tcW w:w="424" w:type="pct"/>
            <w:tcBorders>
              <w:bottom w:val="single" w:sz="4" w:space="0" w:color="auto"/>
            </w:tcBorders>
            <w:shd w:val="clear" w:color="auto" w:fill="auto"/>
            <w:vAlign w:val="center"/>
          </w:tcPr>
          <w:p w14:paraId="4CE6D9D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2.5</w:t>
            </w:r>
          </w:p>
        </w:tc>
        <w:tc>
          <w:tcPr>
            <w:tcW w:w="424" w:type="pct"/>
            <w:tcBorders>
              <w:bottom w:val="single" w:sz="4" w:space="0" w:color="auto"/>
            </w:tcBorders>
            <w:shd w:val="clear" w:color="auto" w:fill="auto"/>
            <w:vAlign w:val="center"/>
          </w:tcPr>
          <w:p w14:paraId="4F40996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2.3</w:t>
            </w:r>
          </w:p>
        </w:tc>
        <w:tc>
          <w:tcPr>
            <w:tcW w:w="425" w:type="pct"/>
            <w:gridSpan w:val="2"/>
            <w:tcBorders>
              <w:bottom w:val="single" w:sz="4" w:space="0" w:color="auto"/>
            </w:tcBorders>
            <w:shd w:val="clear" w:color="auto" w:fill="auto"/>
            <w:vAlign w:val="center"/>
          </w:tcPr>
          <w:p w14:paraId="7C4AAF87"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2.2</w:t>
            </w:r>
          </w:p>
        </w:tc>
      </w:tr>
      <w:tr w:rsidR="00ED029C" w:rsidRPr="00FB0781" w14:paraId="7AD8F47E" w14:textId="77777777" w:rsidTr="00ED029C">
        <w:trPr>
          <w:trHeight w:val="296"/>
        </w:trPr>
        <w:tc>
          <w:tcPr>
            <w:tcW w:w="1918" w:type="pct"/>
            <w:tcBorders>
              <w:bottom w:val="single" w:sz="4" w:space="0" w:color="auto"/>
              <w:right w:val="nil"/>
            </w:tcBorders>
            <w:shd w:val="clear" w:color="auto" w:fill="auto"/>
            <w:vAlign w:val="center"/>
          </w:tcPr>
          <w:p w14:paraId="30621164"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Seafood, beans, legumes, nuts, and seeds</w:t>
            </w:r>
          </w:p>
        </w:tc>
        <w:tc>
          <w:tcPr>
            <w:tcW w:w="110" w:type="pct"/>
            <w:tcBorders>
              <w:left w:val="nil"/>
              <w:bottom w:val="single" w:sz="4" w:space="0" w:color="auto"/>
            </w:tcBorders>
          </w:tcPr>
          <w:p w14:paraId="3D420916"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424" w:type="pct"/>
            <w:tcBorders>
              <w:top w:val="single" w:sz="4" w:space="0" w:color="auto"/>
              <w:left w:val="nil"/>
              <w:bottom w:val="single" w:sz="4" w:space="0" w:color="auto"/>
            </w:tcBorders>
            <w:shd w:val="clear" w:color="auto" w:fill="auto"/>
            <w:vAlign w:val="center"/>
          </w:tcPr>
          <w:p w14:paraId="29637014"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1.5</w:t>
            </w:r>
          </w:p>
        </w:tc>
        <w:tc>
          <w:tcPr>
            <w:tcW w:w="424" w:type="pct"/>
            <w:tcBorders>
              <w:bottom w:val="single" w:sz="4" w:space="0" w:color="auto"/>
            </w:tcBorders>
            <w:shd w:val="clear" w:color="auto" w:fill="auto"/>
            <w:vAlign w:val="center"/>
          </w:tcPr>
          <w:p w14:paraId="66CF75FF"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1.5</w:t>
            </w:r>
          </w:p>
        </w:tc>
        <w:tc>
          <w:tcPr>
            <w:tcW w:w="424" w:type="pct"/>
            <w:tcBorders>
              <w:bottom w:val="single" w:sz="4" w:space="0" w:color="auto"/>
            </w:tcBorders>
            <w:shd w:val="clear" w:color="auto" w:fill="auto"/>
            <w:vAlign w:val="center"/>
          </w:tcPr>
          <w:p w14:paraId="3FEEA375"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1.3</w:t>
            </w:r>
          </w:p>
        </w:tc>
        <w:tc>
          <w:tcPr>
            <w:tcW w:w="425" w:type="pct"/>
            <w:tcBorders>
              <w:bottom w:val="single" w:sz="4" w:space="0" w:color="auto"/>
            </w:tcBorders>
            <w:shd w:val="clear" w:color="auto" w:fill="auto"/>
            <w:vAlign w:val="center"/>
          </w:tcPr>
          <w:p w14:paraId="4101A7F4"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1.2</w:t>
            </w:r>
          </w:p>
        </w:tc>
        <w:tc>
          <w:tcPr>
            <w:tcW w:w="424" w:type="pct"/>
            <w:tcBorders>
              <w:bottom w:val="single" w:sz="4" w:space="0" w:color="auto"/>
            </w:tcBorders>
            <w:shd w:val="clear" w:color="auto" w:fill="auto"/>
            <w:vAlign w:val="center"/>
          </w:tcPr>
          <w:p w14:paraId="77951D6B"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1.1</w:t>
            </w:r>
          </w:p>
        </w:tc>
        <w:tc>
          <w:tcPr>
            <w:tcW w:w="424" w:type="pct"/>
            <w:tcBorders>
              <w:bottom w:val="single" w:sz="4" w:space="0" w:color="auto"/>
            </w:tcBorders>
            <w:shd w:val="clear" w:color="auto" w:fill="auto"/>
            <w:vAlign w:val="center"/>
          </w:tcPr>
          <w:p w14:paraId="2E9693A6"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425" w:type="pct"/>
            <w:gridSpan w:val="2"/>
            <w:tcBorders>
              <w:bottom w:val="single" w:sz="4" w:space="0" w:color="auto"/>
            </w:tcBorders>
            <w:shd w:val="clear" w:color="auto" w:fill="auto"/>
            <w:vAlign w:val="center"/>
          </w:tcPr>
          <w:p w14:paraId="61AB11DB"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0.9</w:t>
            </w:r>
          </w:p>
        </w:tc>
      </w:tr>
      <w:tr w:rsidR="00ED029C" w:rsidRPr="00FB0781" w14:paraId="4B30D2B2" w14:textId="77777777" w:rsidTr="00ED029C">
        <w:trPr>
          <w:trHeight w:val="287"/>
        </w:trPr>
        <w:tc>
          <w:tcPr>
            <w:tcW w:w="1918" w:type="pct"/>
            <w:tcBorders>
              <w:top w:val="single" w:sz="4" w:space="0" w:color="auto"/>
              <w:bottom w:val="single" w:sz="12" w:space="0" w:color="auto"/>
              <w:right w:val="nil"/>
            </w:tcBorders>
            <w:shd w:val="clear" w:color="auto" w:fill="auto"/>
            <w:vAlign w:val="center"/>
          </w:tcPr>
          <w:p w14:paraId="7028823A"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Dairy</w:t>
            </w:r>
          </w:p>
        </w:tc>
        <w:tc>
          <w:tcPr>
            <w:tcW w:w="110" w:type="pct"/>
            <w:tcBorders>
              <w:top w:val="single" w:sz="4" w:space="0" w:color="auto"/>
              <w:left w:val="nil"/>
              <w:bottom w:val="single" w:sz="12" w:space="0" w:color="auto"/>
            </w:tcBorders>
          </w:tcPr>
          <w:p w14:paraId="5D18E008"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424" w:type="pct"/>
            <w:tcBorders>
              <w:top w:val="single" w:sz="4" w:space="0" w:color="auto"/>
              <w:left w:val="nil"/>
              <w:bottom w:val="single" w:sz="12" w:space="0" w:color="auto"/>
            </w:tcBorders>
            <w:shd w:val="clear" w:color="auto" w:fill="auto"/>
            <w:vAlign w:val="center"/>
          </w:tcPr>
          <w:p w14:paraId="1E578194"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424" w:type="pct"/>
            <w:tcBorders>
              <w:top w:val="single" w:sz="4" w:space="0" w:color="auto"/>
              <w:bottom w:val="single" w:sz="12" w:space="0" w:color="auto"/>
            </w:tcBorders>
            <w:shd w:val="clear" w:color="auto" w:fill="auto"/>
            <w:vAlign w:val="center"/>
          </w:tcPr>
          <w:p w14:paraId="1E12C91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0.9</w:t>
            </w:r>
          </w:p>
        </w:tc>
        <w:tc>
          <w:tcPr>
            <w:tcW w:w="424" w:type="pct"/>
            <w:tcBorders>
              <w:top w:val="single" w:sz="4" w:space="0" w:color="auto"/>
              <w:bottom w:val="single" w:sz="12" w:space="0" w:color="auto"/>
            </w:tcBorders>
            <w:shd w:val="clear" w:color="auto" w:fill="auto"/>
            <w:vAlign w:val="center"/>
          </w:tcPr>
          <w:p w14:paraId="51B9EF71"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0.8</w:t>
            </w:r>
          </w:p>
        </w:tc>
        <w:tc>
          <w:tcPr>
            <w:tcW w:w="425" w:type="pct"/>
            <w:tcBorders>
              <w:top w:val="single" w:sz="4" w:space="0" w:color="auto"/>
              <w:bottom w:val="single" w:sz="12" w:space="0" w:color="auto"/>
            </w:tcBorders>
            <w:shd w:val="clear" w:color="auto" w:fill="auto"/>
            <w:vAlign w:val="center"/>
          </w:tcPr>
          <w:p w14:paraId="6523ABB3"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0.8</w:t>
            </w:r>
          </w:p>
        </w:tc>
        <w:tc>
          <w:tcPr>
            <w:tcW w:w="424" w:type="pct"/>
            <w:tcBorders>
              <w:top w:val="single" w:sz="4" w:space="0" w:color="auto"/>
              <w:bottom w:val="single" w:sz="12" w:space="0" w:color="auto"/>
            </w:tcBorders>
            <w:shd w:val="clear" w:color="auto" w:fill="auto"/>
            <w:vAlign w:val="center"/>
          </w:tcPr>
          <w:p w14:paraId="247ED037"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1.1</w:t>
            </w:r>
          </w:p>
        </w:tc>
        <w:tc>
          <w:tcPr>
            <w:tcW w:w="424" w:type="pct"/>
            <w:tcBorders>
              <w:top w:val="single" w:sz="4" w:space="0" w:color="auto"/>
              <w:bottom w:val="single" w:sz="12" w:space="0" w:color="auto"/>
            </w:tcBorders>
            <w:shd w:val="clear" w:color="auto" w:fill="auto"/>
            <w:vAlign w:val="center"/>
          </w:tcPr>
          <w:p w14:paraId="30068DD2"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425" w:type="pct"/>
            <w:gridSpan w:val="2"/>
            <w:tcBorders>
              <w:top w:val="single" w:sz="4" w:space="0" w:color="auto"/>
              <w:bottom w:val="single" w:sz="12" w:space="0" w:color="auto"/>
            </w:tcBorders>
            <w:shd w:val="clear" w:color="auto" w:fill="auto"/>
            <w:vAlign w:val="center"/>
          </w:tcPr>
          <w:p w14:paraId="067B81D7"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0.9</w:t>
            </w:r>
          </w:p>
        </w:tc>
      </w:tr>
      <w:tr w:rsidR="00ED029C" w:rsidRPr="00FB0781" w14:paraId="76E2D9E1" w14:textId="77777777" w:rsidTr="00ED029C">
        <w:trPr>
          <w:gridAfter w:val="1"/>
          <w:wAfter w:w="94" w:type="pct"/>
          <w:trHeight w:val="287"/>
        </w:trPr>
        <w:tc>
          <w:tcPr>
            <w:tcW w:w="4906" w:type="pct"/>
            <w:gridSpan w:val="9"/>
            <w:tcBorders>
              <w:top w:val="nil"/>
              <w:bottom w:val="single" w:sz="4" w:space="0" w:color="auto"/>
            </w:tcBorders>
            <w:shd w:val="clear" w:color="auto" w:fill="auto"/>
            <w:vAlign w:val="center"/>
          </w:tcPr>
          <w:p w14:paraId="2B0FDC58"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Note: Values are expressed as servings per 1000 kcal.</w:t>
            </w:r>
          </w:p>
          <w:p w14:paraId="1A84E21B"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Serving sizes: 80 g for fruits, vegetables, grains, beans, and legumes; 30 g for poultry, meat, seafood, nuts, and seeds; 50 g for eggs; and 240 g for dairy.</w:t>
            </w:r>
          </w:p>
        </w:tc>
      </w:tr>
    </w:tbl>
    <w:p w14:paraId="0958B8B0" w14:textId="77777777" w:rsidR="00ED029C" w:rsidRPr="00FB0781" w:rsidRDefault="00ED029C" w:rsidP="00BA71ED">
      <w:pPr>
        <w:pStyle w:val="MDPI31text"/>
        <w:spacing w:line="480" w:lineRule="auto"/>
        <w:rPr>
          <w:rFonts w:asciiTheme="majorBidi" w:hAnsiTheme="majorBidi" w:cstheme="majorBidi"/>
          <w:sz w:val="22"/>
        </w:rPr>
      </w:pPr>
    </w:p>
    <w:tbl>
      <w:tblPr>
        <w:tblW w:w="5000" w:type="pct"/>
        <w:tblBorders>
          <w:insideH w:val="single" w:sz="4" w:space="0" w:color="auto"/>
        </w:tblBorders>
        <w:tblLook w:val="04A0" w:firstRow="1" w:lastRow="0" w:firstColumn="1" w:lastColumn="0" w:noHBand="0" w:noVBand="1"/>
      </w:tblPr>
      <w:tblGrid>
        <w:gridCol w:w="2605"/>
        <w:gridCol w:w="1481"/>
        <w:gridCol w:w="912"/>
        <w:gridCol w:w="911"/>
        <w:gridCol w:w="911"/>
        <w:gridCol w:w="911"/>
        <w:gridCol w:w="911"/>
        <w:gridCol w:w="911"/>
        <w:gridCol w:w="913"/>
      </w:tblGrid>
      <w:tr w:rsidR="00ED029C" w:rsidRPr="00FB0781" w14:paraId="32A0060C" w14:textId="77777777" w:rsidTr="00ED029C">
        <w:trPr>
          <w:trHeight w:val="315"/>
        </w:trPr>
        <w:tc>
          <w:tcPr>
            <w:tcW w:w="5000" w:type="pct"/>
            <w:gridSpan w:val="9"/>
            <w:tcBorders>
              <w:bottom w:val="single" w:sz="12" w:space="0" w:color="auto"/>
            </w:tcBorders>
          </w:tcPr>
          <w:p w14:paraId="34E0E438" w14:textId="11934F5B"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b/>
                <w:bCs/>
                <w:snapToGrid w:val="0"/>
                <w:sz w:val="22"/>
                <w:szCs w:val="22"/>
                <w:lang w:eastAsia="de-DE" w:bidi="en-US"/>
              </w:rPr>
              <w:t>Table 3.</w:t>
            </w:r>
            <w:r w:rsidRPr="00FB0781">
              <w:rPr>
                <w:rFonts w:asciiTheme="majorBidi" w:eastAsia="Times New Roman" w:hAnsiTheme="majorBidi" w:cstheme="majorBidi"/>
                <w:snapToGrid w:val="0"/>
                <w:sz w:val="22"/>
                <w:szCs w:val="22"/>
                <w:lang w:eastAsia="de-DE" w:bidi="en-US"/>
              </w:rPr>
              <w:t xml:space="preserve"> Recommended amounts of nutrients in their specified unit per 1000 kcal</w:t>
            </w:r>
          </w:p>
        </w:tc>
      </w:tr>
      <w:tr w:rsidR="00ED029C" w:rsidRPr="00FB0781" w14:paraId="6FEBC670" w14:textId="77777777" w:rsidTr="00ED029C">
        <w:trPr>
          <w:trHeight w:val="315"/>
        </w:trPr>
        <w:tc>
          <w:tcPr>
            <w:tcW w:w="1245" w:type="pct"/>
            <w:tcBorders>
              <w:top w:val="single" w:sz="12" w:space="0" w:color="auto"/>
              <w:bottom w:val="single" w:sz="12" w:space="0" w:color="auto"/>
            </w:tcBorders>
            <w:shd w:val="clear" w:color="auto" w:fill="auto"/>
            <w:vAlign w:val="center"/>
          </w:tcPr>
          <w:p w14:paraId="4014BBB2"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Nutrient</w:t>
            </w:r>
          </w:p>
        </w:tc>
        <w:tc>
          <w:tcPr>
            <w:tcW w:w="708" w:type="pct"/>
            <w:tcBorders>
              <w:top w:val="single" w:sz="12" w:space="0" w:color="auto"/>
              <w:bottom w:val="single" w:sz="12" w:space="0" w:color="auto"/>
            </w:tcBorders>
          </w:tcPr>
          <w:p w14:paraId="7671847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Unit</w:t>
            </w:r>
          </w:p>
        </w:tc>
        <w:tc>
          <w:tcPr>
            <w:tcW w:w="3046" w:type="pct"/>
            <w:gridSpan w:val="7"/>
            <w:tcBorders>
              <w:top w:val="single" w:sz="12" w:space="0" w:color="auto"/>
              <w:bottom w:val="single" w:sz="12" w:space="0" w:color="auto"/>
            </w:tcBorders>
            <w:shd w:val="clear" w:color="auto" w:fill="auto"/>
            <w:vAlign w:val="center"/>
          </w:tcPr>
          <w:p w14:paraId="7BF48DAB"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Caloric level (kcal)</w:t>
            </w:r>
          </w:p>
        </w:tc>
      </w:tr>
      <w:tr w:rsidR="00ED029C" w:rsidRPr="00FB0781" w14:paraId="76A565E1" w14:textId="77777777" w:rsidTr="00ED029C">
        <w:trPr>
          <w:trHeight w:val="278"/>
        </w:trPr>
        <w:tc>
          <w:tcPr>
            <w:tcW w:w="1245" w:type="pct"/>
            <w:tcBorders>
              <w:top w:val="single" w:sz="12" w:space="0" w:color="auto"/>
              <w:bottom w:val="single" w:sz="4" w:space="0" w:color="auto"/>
            </w:tcBorders>
            <w:shd w:val="clear" w:color="auto" w:fill="auto"/>
          </w:tcPr>
          <w:p w14:paraId="4328B77D"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708" w:type="pct"/>
            <w:tcBorders>
              <w:top w:val="single" w:sz="12" w:space="0" w:color="auto"/>
              <w:bottom w:val="single" w:sz="4" w:space="0" w:color="auto"/>
            </w:tcBorders>
          </w:tcPr>
          <w:p w14:paraId="0C14198B"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p>
        </w:tc>
        <w:tc>
          <w:tcPr>
            <w:tcW w:w="436" w:type="pct"/>
            <w:tcBorders>
              <w:top w:val="single" w:sz="12" w:space="0" w:color="auto"/>
              <w:bottom w:val="single" w:sz="4" w:space="0" w:color="auto"/>
            </w:tcBorders>
            <w:shd w:val="clear" w:color="auto" w:fill="auto"/>
            <w:vAlign w:val="center"/>
          </w:tcPr>
          <w:p w14:paraId="7A24A8E2"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2000</w:t>
            </w:r>
          </w:p>
        </w:tc>
        <w:tc>
          <w:tcPr>
            <w:tcW w:w="435" w:type="pct"/>
            <w:tcBorders>
              <w:top w:val="single" w:sz="12" w:space="0" w:color="auto"/>
              <w:bottom w:val="single" w:sz="4" w:space="0" w:color="auto"/>
            </w:tcBorders>
            <w:shd w:val="clear" w:color="auto" w:fill="auto"/>
            <w:vAlign w:val="center"/>
          </w:tcPr>
          <w:p w14:paraId="6B6FD99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2200</w:t>
            </w:r>
          </w:p>
        </w:tc>
        <w:tc>
          <w:tcPr>
            <w:tcW w:w="435" w:type="pct"/>
            <w:tcBorders>
              <w:top w:val="single" w:sz="12" w:space="0" w:color="auto"/>
              <w:bottom w:val="single" w:sz="4" w:space="0" w:color="auto"/>
            </w:tcBorders>
            <w:shd w:val="clear" w:color="auto" w:fill="auto"/>
            <w:vAlign w:val="center"/>
          </w:tcPr>
          <w:p w14:paraId="3CFA6612"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2400</w:t>
            </w:r>
          </w:p>
        </w:tc>
        <w:tc>
          <w:tcPr>
            <w:tcW w:w="435" w:type="pct"/>
            <w:tcBorders>
              <w:top w:val="single" w:sz="12" w:space="0" w:color="auto"/>
              <w:bottom w:val="single" w:sz="4" w:space="0" w:color="auto"/>
            </w:tcBorders>
            <w:shd w:val="clear" w:color="auto" w:fill="auto"/>
            <w:vAlign w:val="center"/>
          </w:tcPr>
          <w:p w14:paraId="6D2A84A5"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2600</w:t>
            </w:r>
          </w:p>
        </w:tc>
        <w:tc>
          <w:tcPr>
            <w:tcW w:w="435" w:type="pct"/>
            <w:tcBorders>
              <w:top w:val="single" w:sz="12" w:space="0" w:color="auto"/>
              <w:bottom w:val="single" w:sz="4" w:space="0" w:color="auto"/>
            </w:tcBorders>
            <w:shd w:val="clear" w:color="auto" w:fill="auto"/>
            <w:vAlign w:val="center"/>
          </w:tcPr>
          <w:p w14:paraId="132FB26B"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2800</w:t>
            </w:r>
          </w:p>
        </w:tc>
        <w:tc>
          <w:tcPr>
            <w:tcW w:w="435" w:type="pct"/>
            <w:tcBorders>
              <w:top w:val="single" w:sz="12" w:space="0" w:color="auto"/>
              <w:bottom w:val="single" w:sz="4" w:space="0" w:color="auto"/>
            </w:tcBorders>
            <w:shd w:val="clear" w:color="auto" w:fill="auto"/>
            <w:vAlign w:val="center"/>
          </w:tcPr>
          <w:p w14:paraId="27DC6BBE"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3000</w:t>
            </w:r>
          </w:p>
        </w:tc>
        <w:tc>
          <w:tcPr>
            <w:tcW w:w="434" w:type="pct"/>
            <w:tcBorders>
              <w:top w:val="single" w:sz="12" w:space="0" w:color="auto"/>
              <w:bottom w:val="single" w:sz="4" w:space="0" w:color="auto"/>
            </w:tcBorders>
            <w:shd w:val="clear" w:color="auto" w:fill="auto"/>
            <w:vAlign w:val="center"/>
          </w:tcPr>
          <w:p w14:paraId="4E1E2CB1"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3200</w:t>
            </w:r>
          </w:p>
        </w:tc>
      </w:tr>
      <w:tr w:rsidR="00ED029C" w:rsidRPr="00FB0781" w14:paraId="565F7466" w14:textId="77777777" w:rsidTr="00ED029C">
        <w:trPr>
          <w:trHeight w:val="287"/>
        </w:trPr>
        <w:tc>
          <w:tcPr>
            <w:tcW w:w="1245" w:type="pct"/>
            <w:tcBorders>
              <w:top w:val="single" w:sz="4" w:space="0" w:color="auto"/>
              <w:bottom w:val="single" w:sz="4" w:space="0" w:color="auto"/>
              <w:right w:val="nil"/>
            </w:tcBorders>
            <w:shd w:val="clear" w:color="auto" w:fill="auto"/>
            <w:vAlign w:val="center"/>
          </w:tcPr>
          <w:p w14:paraId="424251F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Fatty acid ratio</w:t>
            </w:r>
          </w:p>
        </w:tc>
        <w:tc>
          <w:tcPr>
            <w:tcW w:w="708" w:type="pct"/>
            <w:tcBorders>
              <w:top w:val="single" w:sz="4" w:space="0" w:color="auto"/>
              <w:left w:val="nil"/>
              <w:bottom w:val="single" w:sz="4" w:space="0" w:color="auto"/>
            </w:tcBorders>
          </w:tcPr>
          <w:p w14:paraId="054E3EEE"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Grams</w:t>
            </w:r>
          </w:p>
        </w:tc>
        <w:tc>
          <w:tcPr>
            <w:tcW w:w="436" w:type="pct"/>
            <w:tcBorders>
              <w:top w:val="single" w:sz="4" w:space="0" w:color="auto"/>
              <w:left w:val="nil"/>
              <w:bottom w:val="single" w:sz="4" w:space="0" w:color="auto"/>
            </w:tcBorders>
            <w:shd w:val="clear" w:color="auto" w:fill="auto"/>
            <w:vAlign w:val="center"/>
          </w:tcPr>
          <w:p w14:paraId="25D0E2AA"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3.12</w:t>
            </w:r>
          </w:p>
        </w:tc>
        <w:tc>
          <w:tcPr>
            <w:tcW w:w="435" w:type="pct"/>
            <w:tcBorders>
              <w:top w:val="single" w:sz="4" w:space="0" w:color="auto"/>
              <w:bottom w:val="single" w:sz="4" w:space="0" w:color="auto"/>
            </w:tcBorders>
            <w:shd w:val="clear" w:color="auto" w:fill="auto"/>
            <w:vAlign w:val="center"/>
          </w:tcPr>
          <w:p w14:paraId="5994620F"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3.10</w:t>
            </w:r>
          </w:p>
        </w:tc>
        <w:tc>
          <w:tcPr>
            <w:tcW w:w="435" w:type="pct"/>
            <w:tcBorders>
              <w:top w:val="single" w:sz="4" w:space="0" w:color="auto"/>
              <w:bottom w:val="single" w:sz="4" w:space="0" w:color="auto"/>
            </w:tcBorders>
            <w:shd w:val="clear" w:color="auto" w:fill="auto"/>
            <w:vAlign w:val="center"/>
          </w:tcPr>
          <w:p w14:paraId="2C82AC2C"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2.68</w:t>
            </w:r>
          </w:p>
        </w:tc>
        <w:tc>
          <w:tcPr>
            <w:tcW w:w="435" w:type="pct"/>
            <w:tcBorders>
              <w:top w:val="single" w:sz="4" w:space="0" w:color="auto"/>
              <w:bottom w:val="single" w:sz="4" w:space="0" w:color="auto"/>
            </w:tcBorders>
            <w:shd w:val="clear" w:color="auto" w:fill="auto"/>
            <w:vAlign w:val="center"/>
          </w:tcPr>
          <w:p w14:paraId="2C13DBD8"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2.69</w:t>
            </w:r>
          </w:p>
        </w:tc>
        <w:tc>
          <w:tcPr>
            <w:tcW w:w="435" w:type="pct"/>
            <w:tcBorders>
              <w:top w:val="single" w:sz="4" w:space="0" w:color="auto"/>
              <w:bottom w:val="single" w:sz="4" w:space="0" w:color="auto"/>
            </w:tcBorders>
            <w:shd w:val="clear" w:color="auto" w:fill="auto"/>
            <w:vAlign w:val="center"/>
          </w:tcPr>
          <w:p w14:paraId="10E5A85E"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2.61</w:t>
            </w:r>
          </w:p>
        </w:tc>
        <w:tc>
          <w:tcPr>
            <w:tcW w:w="435" w:type="pct"/>
            <w:tcBorders>
              <w:top w:val="single" w:sz="4" w:space="0" w:color="auto"/>
              <w:bottom w:val="single" w:sz="4" w:space="0" w:color="auto"/>
            </w:tcBorders>
            <w:shd w:val="clear" w:color="auto" w:fill="auto"/>
            <w:vAlign w:val="center"/>
          </w:tcPr>
          <w:p w14:paraId="5578C8C8"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2.66</w:t>
            </w:r>
          </w:p>
        </w:tc>
        <w:tc>
          <w:tcPr>
            <w:tcW w:w="434" w:type="pct"/>
            <w:tcBorders>
              <w:top w:val="single" w:sz="4" w:space="0" w:color="auto"/>
              <w:bottom w:val="single" w:sz="4" w:space="0" w:color="auto"/>
            </w:tcBorders>
            <w:shd w:val="clear" w:color="auto" w:fill="auto"/>
            <w:vAlign w:val="center"/>
          </w:tcPr>
          <w:p w14:paraId="15BB880F"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2.67</w:t>
            </w:r>
          </w:p>
        </w:tc>
      </w:tr>
      <w:tr w:rsidR="00ED029C" w:rsidRPr="00FB0781" w14:paraId="13F7A672" w14:textId="77777777" w:rsidTr="00ED029C">
        <w:trPr>
          <w:trHeight w:val="287"/>
        </w:trPr>
        <w:tc>
          <w:tcPr>
            <w:tcW w:w="1245" w:type="pct"/>
            <w:tcBorders>
              <w:top w:val="single" w:sz="4" w:space="0" w:color="auto"/>
              <w:bottom w:val="single" w:sz="4" w:space="0" w:color="auto"/>
              <w:right w:val="nil"/>
            </w:tcBorders>
            <w:shd w:val="clear" w:color="auto" w:fill="auto"/>
            <w:vAlign w:val="center"/>
          </w:tcPr>
          <w:p w14:paraId="27015BCD"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Saturated fat</w:t>
            </w:r>
          </w:p>
        </w:tc>
        <w:tc>
          <w:tcPr>
            <w:tcW w:w="708" w:type="pct"/>
            <w:tcBorders>
              <w:top w:val="single" w:sz="4" w:space="0" w:color="auto"/>
              <w:left w:val="nil"/>
              <w:bottom w:val="single" w:sz="4" w:space="0" w:color="auto"/>
            </w:tcBorders>
          </w:tcPr>
          <w:p w14:paraId="7A2B8CC7"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 xml:space="preserve">% of energy </w:t>
            </w:r>
          </w:p>
        </w:tc>
        <w:tc>
          <w:tcPr>
            <w:tcW w:w="436" w:type="pct"/>
            <w:tcBorders>
              <w:top w:val="single" w:sz="4" w:space="0" w:color="auto"/>
              <w:left w:val="nil"/>
              <w:bottom w:val="single" w:sz="4" w:space="0" w:color="auto"/>
            </w:tcBorders>
            <w:shd w:val="clear" w:color="auto" w:fill="auto"/>
            <w:vAlign w:val="center"/>
          </w:tcPr>
          <w:p w14:paraId="73C4AF2B"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6.77</w:t>
            </w:r>
          </w:p>
        </w:tc>
        <w:tc>
          <w:tcPr>
            <w:tcW w:w="435" w:type="pct"/>
            <w:tcBorders>
              <w:top w:val="single" w:sz="4" w:space="0" w:color="auto"/>
              <w:bottom w:val="single" w:sz="4" w:space="0" w:color="auto"/>
            </w:tcBorders>
            <w:shd w:val="clear" w:color="auto" w:fill="auto"/>
            <w:vAlign w:val="center"/>
          </w:tcPr>
          <w:p w14:paraId="5B80EEA5"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6.71</w:t>
            </w:r>
          </w:p>
        </w:tc>
        <w:tc>
          <w:tcPr>
            <w:tcW w:w="435" w:type="pct"/>
            <w:tcBorders>
              <w:top w:val="single" w:sz="4" w:space="0" w:color="auto"/>
              <w:bottom w:val="single" w:sz="4" w:space="0" w:color="auto"/>
            </w:tcBorders>
            <w:shd w:val="clear" w:color="auto" w:fill="auto"/>
            <w:vAlign w:val="center"/>
          </w:tcPr>
          <w:p w14:paraId="7C500AAD"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8.36</w:t>
            </w:r>
          </w:p>
        </w:tc>
        <w:tc>
          <w:tcPr>
            <w:tcW w:w="435" w:type="pct"/>
            <w:tcBorders>
              <w:top w:val="single" w:sz="4" w:space="0" w:color="auto"/>
              <w:bottom w:val="single" w:sz="4" w:space="0" w:color="auto"/>
            </w:tcBorders>
            <w:shd w:val="clear" w:color="auto" w:fill="auto"/>
            <w:vAlign w:val="center"/>
          </w:tcPr>
          <w:p w14:paraId="25B68DC7"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8.28</w:t>
            </w:r>
          </w:p>
        </w:tc>
        <w:tc>
          <w:tcPr>
            <w:tcW w:w="435" w:type="pct"/>
            <w:tcBorders>
              <w:top w:val="single" w:sz="4" w:space="0" w:color="auto"/>
              <w:bottom w:val="single" w:sz="4" w:space="0" w:color="auto"/>
            </w:tcBorders>
            <w:shd w:val="clear" w:color="auto" w:fill="auto"/>
            <w:vAlign w:val="center"/>
          </w:tcPr>
          <w:p w14:paraId="6769D9BE"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8.29</w:t>
            </w:r>
          </w:p>
        </w:tc>
        <w:tc>
          <w:tcPr>
            <w:tcW w:w="435" w:type="pct"/>
            <w:tcBorders>
              <w:top w:val="single" w:sz="4" w:space="0" w:color="auto"/>
              <w:bottom w:val="single" w:sz="4" w:space="0" w:color="auto"/>
            </w:tcBorders>
            <w:shd w:val="clear" w:color="auto" w:fill="auto"/>
            <w:vAlign w:val="center"/>
          </w:tcPr>
          <w:p w14:paraId="62D32EAE"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8.81</w:t>
            </w:r>
          </w:p>
        </w:tc>
        <w:tc>
          <w:tcPr>
            <w:tcW w:w="434" w:type="pct"/>
            <w:tcBorders>
              <w:top w:val="single" w:sz="4" w:space="0" w:color="auto"/>
              <w:bottom w:val="single" w:sz="4" w:space="0" w:color="auto"/>
            </w:tcBorders>
            <w:shd w:val="clear" w:color="auto" w:fill="auto"/>
            <w:vAlign w:val="center"/>
          </w:tcPr>
          <w:p w14:paraId="5AB2AF30"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8.35</w:t>
            </w:r>
          </w:p>
        </w:tc>
      </w:tr>
      <w:tr w:rsidR="00ED029C" w:rsidRPr="00FB0781" w14:paraId="0B165800" w14:textId="77777777" w:rsidTr="00ED029C">
        <w:trPr>
          <w:trHeight w:val="287"/>
        </w:trPr>
        <w:tc>
          <w:tcPr>
            <w:tcW w:w="1245" w:type="pct"/>
            <w:tcBorders>
              <w:top w:val="single" w:sz="4" w:space="0" w:color="auto"/>
              <w:bottom w:val="single" w:sz="12" w:space="0" w:color="auto"/>
              <w:right w:val="nil"/>
            </w:tcBorders>
            <w:shd w:val="clear" w:color="auto" w:fill="auto"/>
            <w:vAlign w:val="center"/>
          </w:tcPr>
          <w:p w14:paraId="1EB92D5F"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Added sugar</w:t>
            </w:r>
          </w:p>
        </w:tc>
        <w:tc>
          <w:tcPr>
            <w:tcW w:w="708" w:type="pct"/>
            <w:tcBorders>
              <w:top w:val="single" w:sz="4" w:space="0" w:color="auto"/>
              <w:left w:val="nil"/>
              <w:bottom w:val="single" w:sz="12" w:space="0" w:color="auto"/>
            </w:tcBorders>
          </w:tcPr>
          <w:p w14:paraId="410E53B4"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 xml:space="preserve">% of energy </w:t>
            </w:r>
          </w:p>
        </w:tc>
        <w:tc>
          <w:tcPr>
            <w:tcW w:w="436" w:type="pct"/>
            <w:tcBorders>
              <w:top w:val="single" w:sz="4" w:space="0" w:color="auto"/>
              <w:left w:val="nil"/>
              <w:bottom w:val="single" w:sz="12" w:space="0" w:color="auto"/>
            </w:tcBorders>
            <w:shd w:val="clear" w:color="auto" w:fill="auto"/>
            <w:vAlign w:val="center"/>
          </w:tcPr>
          <w:p w14:paraId="5DADF116"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5.99</w:t>
            </w:r>
          </w:p>
        </w:tc>
        <w:tc>
          <w:tcPr>
            <w:tcW w:w="435" w:type="pct"/>
            <w:tcBorders>
              <w:top w:val="single" w:sz="4" w:space="0" w:color="auto"/>
              <w:bottom w:val="single" w:sz="12" w:space="0" w:color="auto"/>
            </w:tcBorders>
            <w:shd w:val="clear" w:color="auto" w:fill="auto"/>
            <w:vAlign w:val="center"/>
          </w:tcPr>
          <w:p w14:paraId="7506CAE1"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6.72</w:t>
            </w:r>
          </w:p>
        </w:tc>
        <w:tc>
          <w:tcPr>
            <w:tcW w:w="435" w:type="pct"/>
            <w:tcBorders>
              <w:top w:val="single" w:sz="4" w:space="0" w:color="auto"/>
              <w:bottom w:val="single" w:sz="12" w:space="0" w:color="auto"/>
            </w:tcBorders>
            <w:shd w:val="clear" w:color="auto" w:fill="auto"/>
            <w:vAlign w:val="center"/>
          </w:tcPr>
          <w:p w14:paraId="20A21D8A"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6.66</w:t>
            </w:r>
          </w:p>
        </w:tc>
        <w:tc>
          <w:tcPr>
            <w:tcW w:w="435" w:type="pct"/>
            <w:tcBorders>
              <w:top w:val="single" w:sz="4" w:space="0" w:color="auto"/>
              <w:bottom w:val="single" w:sz="12" w:space="0" w:color="auto"/>
            </w:tcBorders>
            <w:shd w:val="clear" w:color="auto" w:fill="auto"/>
            <w:vAlign w:val="center"/>
          </w:tcPr>
          <w:p w14:paraId="0653FE18"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5.38</w:t>
            </w:r>
          </w:p>
        </w:tc>
        <w:tc>
          <w:tcPr>
            <w:tcW w:w="435" w:type="pct"/>
            <w:tcBorders>
              <w:top w:val="single" w:sz="4" w:space="0" w:color="auto"/>
              <w:bottom w:val="single" w:sz="12" w:space="0" w:color="auto"/>
            </w:tcBorders>
            <w:shd w:val="clear" w:color="auto" w:fill="auto"/>
            <w:vAlign w:val="center"/>
          </w:tcPr>
          <w:p w14:paraId="5F4792B8"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5.14</w:t>
            </w:r>
          </w:p>
        </w:tc>
        <w:tc>
          <w:tcPr>
            <w:tcW w:w="435" w:type="pct"/>
            <w:tcBorders>
              <w:top w:val="single" w:sz="4" w:space="0" w:color="auto"/>
              <w:bottom w:val="single" w:sz="12" w:space="0" w:color="auto"/>
            </w:tcBorders>
            <w:shd w:val="clear" w:color="auto" w:fill="auto"/>
            <w:vAlign w:val="center"/>
          </w:tcPr>
          <w:p w14:paraId="57D478EE"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7.33</w:t>
            </w:r>
          </w:p>
        </w:tc>
        <w:tc>
          <w:tcPr>
            <w:tcW w:w="434" w:type="pct"/>
            <w:tcBorders>
              <w:top w:val="single" w:sz="4" w:space="0" w:color="auto"/>
              <w:bottom w:val="single" w:sz="12" w:space="0" w:color="auto"/>
            </w:tcBorders>
            <w:shd w:val="clear" w:color="auto" w:fill="auto"/>
            <w:vAlign w:val="center"/>
          </w:tcPr>
          <w:p w14:paraId="0D30255F" w14:textId="77777777" w:rsidR="00ED029C" w:rsidRPr="00FB0781" w:rsidRDefault="00ED029C"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8.62</w:t>
            </w:r>
          </w:p>
        </w:tc>
      </w:tr>
    </w:tbl>
    <w:p w14:paraId="4635410B" w14:textId="070850B4" w:rsidR="00ED029C" w:rsidRPr="00FB0781" w:rsidRDefault="00ED029C" w:rsidP="00BA71ED">
      <w:pPr>
        <w:pStyle w:val="MDPI31text"/>
        <w:tabs>
          <w:tab w:val="left" w:pos="3280"/>
        </w:tabs>
        <w:spacing w:line="480" w:lineRule="auto"/>
        <w:ind w:left="0" w:firstLine="0"/>
        <w:rPr>
          <w:rFonts w:asciiTheme="majorBidi" w:hAnsiTheme="majorBidi" w:cstheme="majorBidi"/>
          <w:sz w:val="22"/>
        </w:rPr>
      </w:pPr>
    </w:p>
    <w:p w14:paraId="2666FD28" w14:textId="77777777" w:rsidR="00A43A61" w:rsidRPr="00FB0781" w:rsidRDefault="00A43A61" w:rsidP="00BA71ED">
      <w:pPr>
        <w:pStyle w:val="MDPI31text"/>
        <w:spacing w:line="480" w:lineRule="auto"/>
        <w:ind w:left="0"/>
        <w:rPr>
          <w:rFonts w:asciiTheme="majorBidi" w:hAnsiTheme="majorBidi" w:cstheme="majorBidi"/>
          <w:sz w:val="22"/>
        </w:rPr>
      </w:pPr>
    </w:p>
    <w:tbl>
      <w:tblPr>
        <w:tblStyle w:val="TableGrid"/>
        <w:tblW w:w="5000" w:type="pct"/>
        <w:tblBorders>
          <w:insideV w:val="none" w:sz="0" w:space="0" w:color="auto"/>
        </w:tblBorders>
        <w:tblLook w:val="04A0" w:firstRow="1" w:lastRow="0" w:firstColumn="1" w:lastColumn="0" w:noHBand="0" w:noVBand="1"/>
      </w:tblPr>
      <w:tblGrid>
        <w:gridCol w:w="495"/>
        <w:gridCol w:w="2104"/>
        <w:gridCol w:w="1394"/>
        <w:gridCol w:w="3383"/>
        <w:gridCol w:w="3090"/>
      </w:tblGrid>
      <w:tr w:rsidR="00D14242" w:rsidRPr="00FB0781" w14:paraId="55F04BC8" w14:textId="77777777" w:rsidTr="00D14242">
        <w:tc>
          <w:tcPr>
            <w:tcW w:w="5000" w:type="pct"/>
            <w:gridSpan w:val="5"/>
            <w:tcBorders>
              <w:top w:val="nil"/>
              <w:left w:val="nil"/>
              <w:bottom w:val="single" w:sz="12" w:space="0" w:color="auto"/>
              <w:right w:val="nil"/>
            </w:tcBorders>
            <w:vAlign w:val="center"/>
          </w:tcPr>
          <w:p w14:paraId="4E636396"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b/>
                <w:bCs/>
                <w:snapToGrid w:val="0"/>
                <w:sz w:val="22"/>
                <w:szCs w:val="22"/>
                <w:lang w:eastAsia="de-DE" w:bidi="en-US"/>
              </w:rPr>
              <w:t>Table 4.</w:t>
            </w:r>
            <w:r w:rsidRPr="00FB0781">
              <w:rPr>
                <w:rFonts w:asciiTheme="majorBidi" w:eastAsia="Times New Roman" w:hAnsiTheme="majorBidi" w:cstheme="majorBidi"/>
                <w:snapToGrid w:val="0"/>
                <w:sz w:val="22"/>
                <w:szCs w:val="22"/>
                <w:lang w:eastAsia="de-DE" w:bidi="en-US"/>
              </w:rPr>
              <w:t xml:space="preserve"> SHEI components, maximum score points, and standards</w:t>
            </w:r>
          </w:p>
        </w:tc>
      </w:tr>
      <w:tr w:rsidR="00D14242" w:rsidRPr="00FB0781" w14:paraId="127144AE" w14:textId="77777777" w:rsidTr="00D14242">
        <w:tc>
          <w:tcPr>
            <w:tcW w:w="237" w:type="pct"/>
            <w:tcBorders>
              <w:top w:val="single" w:sz="12" w:space="0" w:color="auto"/>
              <w:left w:val="nil"/>
              <w:bottom w:val="single" w:sz="12" w:space="0" w:color="auto"/>
              <w:right w:val="nil"/>
            </w:tcBorders>
            <w:vAlign w:val="center"/>
          </w:tcPr>
          <w:p w14:paraId="7E980CC5"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w:t>
            </w:r>
          </w:p>
        </w:tc>
        <w:tc>
          <w:tcPr>
            <w:tcW w:w="1005" w:type="pct"/>
            <w:tcBorders>
              <w:top w:val="single" w:sz="12" w:space="0" w:color="auto"/>
              <w:left w:val="nil"/>
              <w:bottom w:val="single" w:sz="12" w:space="0" w:color="auto"/>
              <w:right w:val="nil"/>
            </w:tcBorders>
            <w:vAlign w:val="center"/>
          </w:tcPr>
          <w:p w14:paraId="2A2EEEF5"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Component</w:t>
            </w:r>
          </w:p>
        </w:tc>
        <w:tc>
          <w:tcPr>
            <w:tcW w:w="666" w:type="pct"/>
            <w:tcBorders>
              <w:top w:val="single" w:sz="12" w:space="0" w:color="auto"/>
              <w:left w:val="nil"/>
              <w:bottom w:val="single" w:sz="12" w:space="0" w:color="auto"/>
              <w:right w:val="nil"/>
            </w:tcBorders>
            <w:vAlign w:val="center"/>
          </w:tcPr>
          <w:p w14:paraId="6591FD8D"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Maximum score points</w:t>
            </w:r>
          </w:p>
        </w:tc>
        <w:tc>
          <w:tcPr>
            <w:tcW w:w="1616" w:type="pct"/>
            <w:tcBorders>
              <w:top w:val="single" w:sz="12" w:space="0" w:color="auto"/>
              <w:left w:val="nil"/>
              <w:bottom w:val="single" w:sz="12" w:space="0" w:color="auto"/>
              <w:right w:val="nil"/>
            </w:tcBorders>
            <w:vAlign w:val="center"/>
          </w:tcPr>
          <w:p w14:paraId="2CB8EE2E"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Standard for maximum score</w:t>
            </w:r>
          </w:p>
        </w:tc>
        <w:tc>
          <w:tcPr>
            <w:tcW w:w="1477" w:type="pct"/>
            <w:tcBorders>
              <w:top w:val="single" w:sz="12" w:space="0" w:color="auto"/>
              <w:left w:val="nil"/>
              <w:bottom w:val="single" w:sz="12" w:space="0" w:color="auto"/>
              <w:right w:val="nil"/>
            </w:tcBorders>
            <w:vAlign w:val="center"/>
          </w:tcPr>
          <w:p w14:paraId="4D961A06"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Standard for minimum score</w:t>
            </w:r>
          </w:p>
        </w:tc>
      </w:tr>
      <w:tr w:rsidR="00D14242" w:rsidRPr="00FB0781" w14:paraId="4CD02030" w14:textId="77777777" w:rsidTr="00D14242">
        <w:tc>
          <w:tcPr>
            <w:tcW w:w="237" w:type="pct"/>
            <w:tcBorders>
              <w:top w:val="single" w:sz="12" w:space="0" w:color="auto"/>
              <w:left w:val="nil"/>
              <w:bottom w:val="single" w:sz="12" w:space="0" w:color="auto"/>
              <w:right w:val="nil"/>
            </w:tcBorders>
          </w:tcPr>
          <w:p w14:paraId="1E647B4A"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p>
        </w:tc>
        <w:tc>
          <w:tcPr>
            <w:tcW w:w="4763" w:type="pct"/>
            <w:gridSpan w:val="4"/>
            <w:tcBorders>
              <w:top w:val="single" w:sz="12" w:space="0" w:color="auto"/>
              <w:left w:val="nil"/>
              <w:bottom w:val="single" w:sz="12" w:space="0" w:color="auto"/>
              <w:right w:val="nil"/>
            </w:tcBorders>
            <w:shd w:val="clear" w:color="auto" w:fill="auto"/>
            <w:vAlign w:val="center"/>
          </w:tcPr>
          <w:p w14:paraId="0FDA8294"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Adequacy components</w:t>
            </w:r>
          </w:p>
        </w:tc>
      </w:tr>
      <w:tr w:rsidR="00D14242" w:rsidRPr="00FB0781" w14:paraId="0CD79B7F" w14:textId="77777777" w:rsidTr="00D14242">
        <w:tc>
          <w:tcPr>
            <w:tcW w:w="237" w:type="pct"/>
            <w:tcBorders>
              <w:top w:val="single" w:sz="12" w:space="0" w:color="auto"/>
              <w:left w:val="nil"/>
              <w:bottom w:val="single" w:sz="4" w:space="0" w:color="auto"/>
              <w:right w:val="nil"/>
            </w:tcBorders>
            <w:vAlign w:val="center"/>
          </w:tcPr>
          <w:p w14:paraId="676FA2A8"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w:t>
            </w:r>
          </w:p>
        </w:tc>
        <w:tc>
          <w:tcPr>
            <w:tcW w:w="1005" w:type="pct"/>
            <w:tcBorders>
              <w:top w:val="single" w:sz="12" w:space="0" w:color="auto"/>
              <w:left w:val="nil"/>
              <w:bottom w:val="single" w:sz="4" w:space="0" w:color="auto"/>
              <w:right w:val="nil"/>
            </w:tcBorders>
            <w:vAlign w:val="center"/>
          </w:tcPr>
          <w:p w14:paraId="40C00356"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Fruits</w:t>
            </w:r>
          </w:p>
        </w:tc>
        <w:tc>
          <w:tcPr>
            <w:tcW w:w="666" w:type="pct"/>
            <w:tcBorders>
              <w:top w:val="single" w:sz="12" w:space="0" w:color="auto"/>
              <w:left w:val="nil"/>
              <w:bottom w:val="single" w:sz="4" w:space="0" w:color="auto"/>
              <w:right w:val="nil"/>
            </w:tcBorders>
            <w:vAlign w:val="center"/>
          </w:tcPr>
          <w:p w14:paraId="214CE132"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1616" w:type="pct"/>
            <w:tcBorders>
              <w:top w:val="single" w:sz="12" w:space="0" w:color="auto"/>
              <w:left w:val="nil"/>
              <w:bottom w:val="single" w:sz="4" w:space="0" w:color="auto"/>
              <w:right w:val="nil"/>
            </w:tcBorders>
            <w:vAlign w:val="center"/>
          </w:tcPr>
          <w:p w14:paraId="1D6804AC"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≥0.6 servings/1000 kcal</w:t>
            </w:r>
          </w:p>
        </w:tc>
        <w:tc>
          <w:tcPr>
            <w:tcW w:w="1477" w:type="pct"/>
            <w:tcBorders>
              <w:top w:val="single" w:sz="12" w:space="0" w:color="auto"/>
              <w:left w:val="nil"/>
              <w:bottom w:val="single" w:sz="4" w:space="0" w:color="auto"/>
              <w:right w:val="nil"/>
            </w:tcBorders>
            <w:vAlign w:val="center"/>
          </w:tcPr>
          <w:p w14:paraId="3A87F53B"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No fruits</w:t>
            </w:r>
          </w:p>
        </w:tc>
      </w:tr>
      <w:tr w:rsidR="00D14242" w:rsidRPr="00FB0781" w14:paraId="6B762220" w14:textId="77777777" w:rsidTr="00D14242">
        <w:tc>
          <w:tcPr>
            <w:tcW w:w="237" w:type="pct"/>
            <w:tcBorders>
              <w:left w:val="nil"/>
              <w:bottom w:val="single" w:sz="4" w:space="0" w:color="auto"/>
              <w:right w:val="nil"/>
            </w:tcBorders>
            <w:vAlign w:val="center"/>
          </w:tcPr>
          <w:p w14:paraId="4675206B"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w:t>
            </w:r>
          </w:p>
        </w:tc>
        <w:tc>
          <w:tcPr>
            <w:tcW w:w="1005" w:type="pct"/>
            <w:tcBorders>
              <w:left w:val="nil"/>
              <w:bottom w:val="single" w:sz="4" w:space="0" w:color="auto"/>
              <w:right w:val="nil"/>
            </w:tcBorders>
            <w:vAlign w:val="center"/>
          </w:tcPr>
          <w:p w14:paraId="16697513"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Vegetables*</w:t>
            </w:r>
          </w:p>
        </w:tc>
        <w:tc>
          <w:tcPr>
            <w:tcW w:w="666" w:type="pct"/>
            <w:tcBorders>
              <w:left w:val="nil"/>
              <w:bottom w:val="single" w:sz="4" w:space="0" w:color="auto"/>
              <w:right w:val="nil"/>
            </w:tcBorders>
            <w:vAlign w:val="center"/>
          </w:tcPr>
          <w:p w14:paraId="66BD2953"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1616" w:type="pct"/>
            <w:tcBorders>
              <w:left w:val="nil"/>
              <w:bottom w:val="single" w:sz="4" w:space="0" w:color="auto"/>
              <w:right w:val="nil"/>
            </w:tcBorders>
            <w:vAlign w:val="center"/>
          </w:tcPr>
          <w:p w14:paraId="01E743AD"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≥1.1 servings/1000 kcal</w:t>
            </w:r>
          </w:p>
        </w:tc>
        <w:tc>
          <w:tcPr>
            <w:tcW w:w="1477" w:type="pct"/>
            <w:tcBorders>
              <w:left w:val="nil"/>
              <w:bottom w:val="single" w:sz="4" w:space="0" w:color="auto"/>
              <w:right w:val="nil"/>
            </w:tcBorders>
            <w:vAlign w:val="center"/>
          </w:tcPr>
          <w:p w14:paraId="201BF441"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No vegetables</w:t>
            </w:r>
          </w:p>
        </w:tc>
      </w:tr>
      <w:tr w:rsidR="00D14242" w:rsidRPr="00FB0781" w14:paraId="65CE7603" w14:textId="77777777" w:rsidTr="00D14242">
        <w:tc>
          <w:tcPr>
            <w:tcW w:w="237" w:type="pct"/>
            <w:tcBorders>
              <w:left w:val="nil"/>
              <w:bottom w:val="single" w:sz="4" w:space="0" w:color="auto"/>
              <w:right w:val="nil"/>
            </w:tcBorders>
            <w:vAlign w:val="center"/>
          </w:tcPr>
          <w:p w14:paraId="2E082587"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w:t>
            </w:r>
          </w:p>
        </w:tc>
        <w:tc>
          <w:tcPr>
            <w:tcW w:w="1005" w:type="pct"/>
            <w:tcBorders>
              <w:left w:val="nil"/>
              <w:bottom w:val="single" w:sz="4" w:space="0" w:color="auto"/>
              <w:right w:val="nil"/>
            </w:tcBorders>
            <w:vAlign w:val="center"/>
          </w:tcPr>
          <w:p w14:paraId="09948849"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Grains</w:t>
            </w:r>
          </w:p>
        </w:tc>
        <w:tc>
          <w:tcPr>
            <w:tcW w:w="666" w:type="pct"/>
            <w:tcBorders>
              <w:left w:val="nil"/>
              <w:bottom w:val="single" w:sz="4" w:space="0" w:color="auto"/>
              <w:right w:val="nil"/>
            </w:tcBorders>
            <w:vAlign w:val="center"/>
          </w:tcPr>
          <w:p w14:paraId="223CFCA3"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w:t>
            </w:r>
          </w:p>
        </w:tc>
        <w:tc>
          <w:tcPr>
            <w:tcW w:w="1616" w:type="pct"/>
            <w:tcBorders>
              <w:left w:val="nil"/>
              <w:bottom w:val="single" w:sz="4" w:space="0" w:color="auto"/>
              <w:right w:val="nil"/>
            </w:tcBorders>
            <w:vAlign w:val="center"/>
          </w:tcPr>
          <w:p w14:paraId="18B4C1D3"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≥3.5 servings/1000 kcal</w:t>
            </w:r>
          </w:p>
        </w:tc>
        <w:tc>
          <w:tcPr>
            <w:tcW w:w="1477" w:type="pct"/>
            <w:tcBorders>
              <w:left w:val="nil"/>
              <w:bottom w:val="single" w:sz="4" w:space="0" w:color="auto"/>
              <w:right w:val="nil"/>
            </w:tcBorders>
            <w:vAlign w:val="center"/>
          </w:tcPr>
          <w:p w14:paraId="697C6F80"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No grains</w:t>
            </w:r>
          </w:p>
        </w:tc>
      </w:tr>
      <w:tr w:rsidR="00D14242" w:rsidRPr="00FB0781" w14:paraId="3841BA9A" w14:textId="77777777" w:rsidTr="00D14242">
        <w:tc>
          <w:tcPr>
            <w:tcW w:w="237" w:type="pct"/>
            <w:tcBorders>
              <w:left w:val="nil"/>
              <w:bottom w:val="single" w:sz="4" w:space="0" w:color="auto"/>
              <w:right w:val="nil"/>
            </w:tcBorders>
            <w:vAlign w:val="center"/>
          </w:tcPr>
          <w:p w14:paraId="3C923C3D"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4</w:t>
            </w:r>
          </w:p>
        </w:tc>
        <w:tc>
          <w:tcPr>
            <w:tcW w:w="1005" w:type="pct"/>
            <w:tcBorders>
              <w:left w:val="nil"/>
              <w:bottom w:val="single" w:sz="4" w:space="0" w:color="auto"/>
              <w:right w:val="nil"/>
            </w:tcBorders>
            <w:vAlign w:val="center"/>
          </w:tcPr>
          <w:p w14:paraId="511DC042"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Whole grain ratio†</w:t>
            </w:r>
          </w:p>
        </w:tc>
        <w:tc>
          <w:tcPr>
            <w:tcW w:w="666" w:type="pct"/>
            <w:tcBorders>
              <w:left w:val="nil"/>
              <w:bottom w:val="single" w:sz="4" w:space="0" w:color="auto"/>
              <w:right w:val="nil"/>
            </w:tcBorders>
            <w:vAlign w:val="center"/>
          </w:tcPr>
          <w:p w14:paraId="7D65847B"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w:t>
            </w:r>
          </w:p>
        </w:tc>
        <w:tc>
          <w:tcPr>
            <w:tcW w:w="1616" w:type="pct"/>
            <w:tcBorders>
              <w:left w:val="nil"/>
              <w:bottom w:val="single" w:sz="4" w:space="0" w:color="auto"/>
              <w:right w:val="nil"/>
            </w:tcBorders>
            <w:vAlign w:val="center"/>
          </w:tcPr>
          <w:p w14:paraId="3A986117"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Whole grains (servings)/total grains (servings) ≥ 0.5</w:t>
            </w:r>
          </w:p>
        </w:tc>
        <w:tc>
          <w:tcPr>
            <w:tcW w:w="1477" w:type="pct"/>
            <w:tcBorders>
              <w:left w:val="nil"/>
              <w:bottom w:val="single" w:sz="4" w:space="0" w:color="auto"/>
              <w:right w:val="nil"/>
            </w:tcBorders>
            <w:vAlign w:val="center"/>
          </w:tcPr>
          <w:p w14:paraId="02D17352"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No whole grains</w:t>
            </w:r>
          </w:p>
        </w:tc>
      </w:tr>
      <w:tr w:rsidR="00D14242" w:rsidRPr="00FB0781" w14:paraId="2E77E53F" w14:textId="77777777" w:rsidTr="00D14242">
        <w:tc>
          <w:tcPr>
            <w:tcW w:w="237" w:type="pct"/>
            <w:tcBorders>
              <w:left w:val="nil"/>
              <w:bottom w:val="single" w:sz="4" w:space="0" w:color="auto"/>
              <w:right w:val="nil"/>
            </w:tcBorders>
            <w:vAlign w:val="center"/>
          </w:tcPr>
          <w:p w14:paraId="4CA0670F"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w:t>
            </w:r>
          </w:p>
        </w:tc>
        <w:tc>
          <w:tcPr>
            <w:tcW w:w="1005" w:type="pct"/>
            <w:tcBorders>
              <w:left w:val="nil"/>
              <w:bottom w:val="single" w:sz="4" w:space="0" w:color="auto"/>
              <w:right w:val="nil"/>
            </w:tcBorders>
            <w:vAlign w:val="center"/>
          </w:tcPr>
          <w:p w14:paraId="409E955F"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Protein foods‡</w:t>
            </w:r>
          </w:p>
        </w:tc>
        <w:tc>
          <w:tcPr>
            <w:tcW w:w="666" w:type="pct"/>
            <w:tcBorders>
              <w:left w:val="nil"/>
              <w:bottom w:val="single" w:sz="4" w:space="0" w:color="auto"/>
              <w:right w:val="nil"/>
            </w:tcBorders>
            <w:vAlign w:val="center"/>
          </w:tcPr>
          <w:p w14:paraId="1ED53F12"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w:t>
            </w:r>
          </w:p>
        </w:tc>
        <w:tc>
          <w:tcPr>
            <w:tcW w:w="1616" w:type="pct"/>
            <w:tcBorders>
              <w:left w:val="nil"/>
              <w:bottom w:val="single" w:sz="4" w:space="0" w:color="auto"/>
              <w:right w:val="nil"/>
            </w:tcBorders>
            <w:vAlign w:val="center"/>
          </w:tcPr>
          <w:p w14:paraId="75E15C0B"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≥2.2 servings/1000 kcal</w:t>
            </w:r>
          </w:p>
        </w:tc>
        <w:tc>
          <w:tcPr>
            <w:tcW w:w="1477" w:type="pct"/>
            <w:tcBorders>
              <w:left w:val="nil"/>
              <w:bottom w:val="single" w:sz="4" w:space="0" w:color="auto"/>
              <w:right w:val="nil"/>
            </w:tcBorders>
            <w:vAlign w:val="center"/>
          </w:tcPr>
          <w:p w14:paraId="61950F46"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No protein foods</w:t>
            </w:r>
          </w:p>
        </w:tc>
      </w:tr>
      <w:tr w:rsidR="00D14242" w:rsidRPr="00FB0781" w14:paraId="30E510BD" w14:textId="77777777" w:rsidTr="00D14242">
        <w:tc>
          <w:tcPr>
            <w:tcW w:w="237" w:type="pct"/>
            <w:tcBorders>
              <w:left w:val="nil"/>
              <w:bottom w:val="single" w:sz="4" w:space="0" w:color="auto"/>
              <w:right w:val="nil"/>
            </w:tcBorders>
            <w:vAlign w:val="center"/>
          </w:tcPr>
          <w:p w14:paraId="48A25C2E"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6</w:t>
            </w:r>
          </w:p>
        </w:tc>
        <w:tc>
          <w:tcPr>
            <w:tcW w:w="1005" w:type="pct"/>
            <w:tcBorders>
              <w:left w:val="nil"/>
              <w:bottom w:val="single" w:sz="4" w:space="0" w:color="auto"/>
              <w:right w:val="nil"/>
            </w:tcBorders>
            <w:vAlign w:val="center"/>
          </w:tcPr>
          <w:p w14:paraId="17B736B1"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Seafood and plant-based protein foods§</w:t>
            </w:r>
          </w:p>
        </w:tc>
        <w:tc>
          <w:tcPr>
            <w:tcW w:w="666" w:type="pct"/>
            <w:tcBorders>
              <w:left w:val="nil"/>
              <w:bottom w:val="single" w:sz="4" w:space="0" w:color="auto"/>
              <w:right w:val="nil"/>
            </w:tcBorders>
            <w:vAlign w:val="center"/>
          </w:tcPr>
          <w:p w14:paraId="6AB9DFF1"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w:t>
            </w:r>
          </w:p>
        </w:tc>
        <w:tc>
          <w:tcPr>
            <w:tcW w:w="1616" w:type="pct"/>
            <w:tcBorders>
              <w:left w:val="nil"/>
              <w:bottom w:val="single" w:sz="4" w:space="0" w:color="auto"/>
              <w:right w:val="nil"/>
            </w:tcBorders>
            <w:vAlign w:val="center"/>
          </w:tcPr>
          <w:p w14:paraId="77D110DD"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≥0.9 servings/1000 kcal</w:t>
            </w:r>
          </w:p>
        </w:tc>
        <w:tc>
          <w:tcPr>
            <w:tcW w:w="1477" w:type="pct"/>
            <w:tcBorders>
              <w:left w:val="nil"/>
              <w:bottom w:val="single" w:sz="4" w:space="0" w:color="auto"/>
              <w:right w:val="nil"/>
            </w:tcBorders>
            <w:vAlign w:val="center"/>
          </w:tcPr>
          <w:p w14:paraId="2A80F934"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No seafood or plant-based protein foods</w:t>
            </w:r>
          </w:p>
        </w:tc>
      </w:tr>
      <w:tr w:rsidR="00D14242" w:rsidRPr="00FB0781" w14:paraId="478768F9" w14:textId="77777777" w:rsidTr="00D14242">
        <w:tc>
          <w:tcPr>
            <w:tcW w:w="237" w:type="pct"/>
            <w:tcBorders>
              <w:left w:val="nil"/>
              <w:bottom w:val="single" w:sz="4" w:space="0" w:color="auto"/>
              <w:right w:val="nil"/>
            </w:tcBorders>
            <w:vAlign w:val="center"/>
          </w:tcPr>
          <w:p w14:paraId="5EBFFC1F"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7</w:t>
            </w:r>
          </w:p>
        </w:tc>
        <w:tc>
          <w:tcPr>
            <w:tcW w:w="1005" w:type="pct"/>
            <w:tcBorders>
              <w:left w:val="nil"/>
              <w:bottom w:val="single" w:sz="4" w:space="0" w:color="auto"/>
              <w:right w:val="nil"/>
            </w:tcBorders>
            <w:vAlign w:val="center"/>
          </w:tcPr>
          <w:p w14:paraId="06382CD3"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Dairy products|</w:t>
            </w:r>
          </w:p>
        </w:tc>
        <w:tc>
          <w:tcPr>
            <w:tcW w:w="666" w:type="pct"/>
            <w:tcBorders>
              <w:left w:val="nil"/>
              <w:bottom w:val="single" w:sz="4" w:space="0" w:color="auto"/>
              <w:right w:val="nil"/>
            </w:tcBorders>
            <w:vAlign w:val="center"/>
          </w:tcPr>
          <w:p w14:paraId="341C3BEC"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1616" w:type="pct"/>
            <w:tcBorders>
              <w:left w:val="nil"/>
              <w:bottom w:val="single" w:sz="4" w:space="0" w:color="auto"/>
              <w:right w:val="nil"/>
            </w:tcBorders>
            <w:vAlign w:val="center"/>
          </w:tcPr>
          <w:p w14:paraId="3A339916"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≥0.8 servings/1000 kcal</w:t>
            </w:r>
          </w:p>
        </w:tc>
        <w:tc>
          <w:tcPr>
            <w:tcW w:w="1477" w:type="pct"/>
            <w:tcBorders>
              <w:left w:val="nil"/>
              <w:bottom w:val="single" w:sz="4" w:space="0" w:color="auto"/>
              <w:right w:val="nil"/>
            </w:tcBorders>
            <w:vAlign w:val="center"/>
          </w:tcPr>
          <w:p w14:paraId="6884BE5A"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No dairy products</w:t>
            </w:r>
          </w:p>
        </w:tc>
      </w:tr>
      <w:tr w:rsidR="00D14242" w:rsidRPr="00FB0781" w14:paraId="31DBFB44" w14:textId="77777777" w:rsidTr="00D14242">
        <w:tc>
          <w:tcPr>
            <w:tcW w:w="237" w:type="pct"/>
            <w:tcBorders>
              <w:left w:val="nil"/>
              <w:bottom w:val="single" w:sz="4" w:space="0" w:color="auto"/>
              <w:right w:val="nil"/>
            </w:tcBorders>
            <w:vAlign w:val="center"/>
          </w:tcPr>
          <w:p w14:paraId="30D2EFF9"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8</w:t>
            </w:r>
          </w:p>
        </w:tc>
        <w:tc>
          <w:tcPr>
            <w:tcW w:w="1005" w:type="pct"/>
            <w:tcBorders>
              <w:left w:val="nil"/>
              <w:bottom w:val="single" w:sz="4" w:space="0" w:color="auto"/>
              <w:right w:val="nil"/>
            </w:tcBorders>
            <w:vAlign w:val="center"/>
          </w:tcPr>
          <w:p w14:paraId="274D034B"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Beverages¶</w:t>
            </w:r>
          </w:p>
        </w:tc>
        <w:tc>
          <w:tcPr>
            <w:tcW w:w="666" w:type="pct"/>
            <w:tcBorders>
              <w:left w:val="nil"/>
              <w:bottom w:val="single" w:sz="4" w:space="0" w:color="auto"/>
              <w:right w:val="nil"/>
            </w:tcBorders>
            <w:vAlign w:val="center"/>
          </w:tcPr>
          <w:p w14:paraId="508413EF"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1616" w:type="pct"/>
            <w:tcBorders>
              <w:left w:val="nil"/>
              <w:bottom w:val="single" w:sz="4" w:space="0" w:color="auto"/>
              <w:right w:val="nil"/>
            </w:tcBorders>
            <w:vAlign w:val="center"/>
          </w:tcPr>
          <w:p w14:paraId="75FDA0CC"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Water + non-sweetened beverages (millilitres)/total beverages (millilitres) = 1</w:t>
            </w:r>
          </w:p>
        </w:tc>
        <w:tc>
          <w:tcPr>
            <w:tcW w:w="1477" w:type="pct"/>
            <w:tcBorders>
              <w:left w:val="nil"/>
              <w:bottom w:val="single" w:sz="4" w:space="0" w:color="auto"/>
              <w:right w:val="nil"/>
            </w:tcBorders>
            <w:vAlign w:val="center"/>
          </w:tcPr>
          <w:p w14:paraId="1E0E9E4F"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No water or non-sweetened beverages</w:t>
            </w:r>
          </w:p>
        </w:tc>
      </w:tr>
      <w:tr w:rsidR="00D14242" w:rsidRPr="00FB0781" w14:paraId="08D223A7" w14:textId="77777777" w:rsidTr="00D14242">
        <w:tc>
          <w:tcPr>
            <w:tcW w:w="237" w:type="pct"/>
            <w:tcBorders>
              <w:left w:val="nil"/>
              <w:bottom w:val="single" w:sz="12" w:space="0" w:color="auto"/>
              <w:right w:val="nil"/>
            </w:tcBorders>
            <w:vAlign w:val="center"/>
          </w:tcPr>
          <w:p w14:paraId="5F432CE1"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9</w:t>
            </w:r>
          </w:p>
        </w:tc>
        <w:tc>
          <w:tcPr>
            <w:tcW w:w="1005" w:type="pct"/>
            <w:tcBorders>
              <w:left w:val="nil"/>
              <w:bottom w:val="single" w:sz="12" w:space="0" w:color="auto"/>
              <w:right w:val="nil"/>
            </w:tcBorders>
            <w:vAlign w:val="center"/>
          </w:tcPr>
          <w:p w14:paraId="2F1D9106"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Fatty acid ratio</w:t>
            </w:r>
          </w:p>
        </w:tc>
        <w:tc>
          <w:tcPr>
            <w:tcW w:w="666" w:type="pct"/>
            <w:tcBorders>
              <w:left w:val="nil"/>
              <w:bottom w:val="single" w:sz="12" w:space="0" w:color="auto"/>
              <w:right w:val="nil"/>
            </w:tcBorders>
            <w:vAlign w:val="center"/>
          </w:tcPr>
          <w:p w14:paraId="1C51727E"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1616" w:type="pct"/>
            <w:tcBorders>
              <w:left w:val="nil"/>
              <w:bottom w:val="single" w:sz="12" w:space="0" w:color="auto"/>
              <w:right w:val="nil"/>
            </w:tcBorders>
            <w:vAlign w:val="center"/>
          </w:tcPr>
          <w:p w14:paraId="7BA2010B"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Unsaturated fatty acids (gram)/saturated fatty acids (gram) ≥ 2.6</w:t>
            </w:r>
          </w:p>
        </w:tc>
        <w:tc>
          <w:tcPr>
            <w:tcW w:w="1477" w:type="pct"/>
            <w:tcBorders>
              <w:left w:val="nil"/>
              <w:bottom w:val="single" w:sz="12" w:space="0" w:color="auto"/>
              <w:right w:val="nil"/>
            </w:tcBorders>
            <w:vAlign w:val="center"/>
          </w:tcPr>
          <w:p w14:paraId="110F08D2"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Unsaturated fatty acids (gram)/saturated fatty acids (gram) ≤ 1.3</w:t>
            </w:r>
          </w:p>
        </w:tc>
      </w:tr>
      <w:tr w:rsidR="00D14242" w:rsidRPr="00FB0781" w14:paraId="5777296A" w14:textId="77777777" w:rsidTr="00D14242">
        <w:tc>
          <w:tcPr>
            <w:tcW w:w="237" w:type="pct"/>
            <w:tcBorders>
              <w:top w:val="single" w:sz="12" w:space="0" w:color="auto"/>
              <w:left w:val="nil"/>
              <w:bottom w:val="single" w:sz="12" w:space="0" w:color="auto"/>
              <w:right w:val="nil"/>
            </w:tcBorders>
          </w:tcPr>
          <w:p w14:paraId="00AE7C76"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p>
        </w:tc>
        <w:tc>
          <w:tcPr>
            <w:tcW w:w="4763" w:type="pct"/>
            <w:gridSpan w:val="4"/>
            <w:tcBorders>
              <w:top w:val="single" w:sz="12" w:space="0" w:color="auto"/>
              <w:left w:val="nil"/>
              <w:bottom w:val="single" w:sz="4" w:space="0" w:color="auto"/>
              <w:right w:val="nil"/>
            </w:tcBorders>
            <w:shd w:val="clear" w:color="auto" w:fill="auto"/>
            <w:vAlign w:val="center"/>
          </w:tcPr>
          <w:p w14:paraId="40E97696"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Moderation components</w:t>
            </w:r>
          </w:p>
        </w:tc>
      </w:tr>
      <w:tr w:rsidR="00D14242" w:rsidRPr="00FB0781" w14:paraId="5C8A97A2" w14:textId="77777777" w:rsidTr="00D14242">
        <w:tc>
          <w:tcPr>
            <w:tcW w:w="237" w:type="pct"/>
            <w:tcBorders>
              <w:top w:val="single" w:sz="12" w:space="0" w:color="auto"/>
              <w:left w:val="nil"/>
              <w:bottom w:val="single" w:sz="4" w:space="0" w:color="auto"/>
              <w:right w:val="nil"/>
            </w:tcBorders>
            <w:vAlign w:val="center"/>
          </w:tcPr>
          <w:p w14:paraId="117CB368"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1005" w:type="pct"/>
            <w:tcBorders>
              <w:top w:val="single" w:sz="12" w:space="0" w:color="auto"/>
              <w:left w:val="nil"/>
              <w:bottom w:val="single" w:sz="4" w:space="0" w:color="auto"/>
              <w:right w:val="nil"/>
            </w:tcBorders>
            <w:vAlign w:val="center"/>
          </w:tcPr>
          <w:p w14:paraId="77FB65D5"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Saturated fats</w:t>
            </w:r>
          </w:p>
        </w:tc>
        <w:tc>
          <w:tcPr>
            <w:tcW w:w="666" w:type="pct"/>
            <w:tcBorders>
              <w:top w:val="single" w:sz="12" w:space="0" w:color="auto"/>
              <w:left w:val="nil"/>
              <w:bottom w:val="single" w:sz="4" w:space="0" w:color="auto"/>
              <w:right w:val="nil"/>
            </w:tcBorders>
            <w:vAlign w:val="center"/>
          </w:tcPr>
          <w:p w14:paraId="027EA068"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1616" w:type="pct"/>
            <w:tcBorders>
              <w:top w:val="single" w:sz="12" w:space="0" w:color="auto"/>
              <w:left w:val="nil"/>
              <w:bottom w:val="single" w:sz="4" w:space="0" w:color="auto"/>
              <w:right w:val="nil"/>
            </w:tcBorders>
            <w:vAlign w:val="center"/>
          </w:tcPr>
          <w:p w14:paraId="4EDC6B5B"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≤7% of energy</w:t>
            </w:r>
          </w:p>
        </w:tc>
        <w:tc>
          <w:tcPr>
            <w:tcW w:w="1477" w:type="pct"/>
            <w:tcBorders>
              <w:top w:val="single" w:sz="12" w:space="0" w:color="auto"/>
              <w:left w:val="nil"/>
              <w:bottom w:val="single" w:sz="4" w:space="0" w:color="auto"/>
              <w:right w:val="nil"/>
            </w:tcBorders>
            <w:vAlign w:val="center"/>
          </w:tcPr>
          <w:p w14:paraId="790F5707"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≥14% of energy</w:t>
            </w:r>
          </w:p>
        </w:tc>
      </w:tr>
      <w:tr w:rsidR="00D14242" w:rsidRPr="00FB0781" w14:paraId="597638B0" w14:textId="77777777" w:rsidTr="00D14242">
        <w:tc>
          <w:tcPr>
            <w:tcW w:w="237" w:type="pct"/>
            <w:tcBorders>
              <w:left w:val="nil"/>
              <w:bottom w:val="single" w:sz="4" w:space="0" w:color="auto"/>
              <w:right w:val="nil"/>
            </w:tcBorders>
            <w:vAlign w:val="center"/>
          </w:tcPr>
          <w:p w14:paraId="4BE817DD"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11</w:t>
            </w:r>
          </w:p>
        </w:tc>
        <w:tc>
          <w:tcPr>
            <w:tcW w:w="1005" w:type="pct"/>
            <w:tcBorders>
              <w:left w:val="nil"/>
              <w:bottom w:val="single" w:sz="4" w:space="0" w:color="auto"/>
              <w:right w:val="nil"/>
            </w:tcBorders>
            <w:vAlign w:val="center"/>
          </w:tcPr>
          <w:p w14:paraId="21E85659"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Added sugar</w:t>
            </w:r>
          </w:p>
        </w:tc>
        <w:tc>
          <w:tcPr>
            <w:tcW w:w="666" w:type="pct"/>
            <w:tcBorders>
              <w:left w:val="nil"/>
              <w:bottom w:val="single" w:sz="4" w:space="0" w:color="auto"/>
              <w:right w:val="nil"/>
            </w:tcBorders>
            <w:vAlign w:val="center"/>
          </w:tcPr>
          <w:p w14:paraId="69455EBC"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1616" w:type="pct"/>
            <w:tcBorders>
              <w:left w:val="nil"/>
              <w:bottom w:val="single" w:sz="4" w:space="0" w:color="auto"/>
              <w:right w:val="nil"/>
            </w:tcBorders>
            <w:vAlign w:val="center"/>
          </w:tcPr>
          <w:p w14:paraId="25503A4D"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≤5% of energy</w:t>
            </w:r>
          </w:p>
        </w:tc>
        <w:tc>
          <w:tcPr>
            <w:tcW w:w="1477" w:type="pct"/>
            <w:tcBorders>
              <w:left w:val="nil"/>
              <w:bottom w:val="single" w:sz="4" w:space="0" w:color="auto"/>
              <w:right w:val="nil"/>
            </w:tcBorders>
            <w:vAlign w:val="center"/>
          </w:tcPr>
          <w:p w14:paraId="11D953F2"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≥25% of energy</w:t>
            </w:r>
          </w:p>
        </w:tc>
      </w:tr>
      <w:tr w:rsidR="00D14242" w:rsidRPr="00FB0781" w14:paraId="1C74B63A" w14:textId="77777777" w:rsidTr="00D14242">
        <w:tc>
          <w:tcPr>
            <w:tcW w:w="237" w:type="pct"/>
            <w:tcBorders>
              <w:left w:val="nil"/>
              <w:bottom w:val="single" w:sz="4" w:space="0" w:color="auto"/>
              <w:right w:val="nil"/>
            </w:tcBorders>
            <w:vAlign w:val="center"/>
          </w:tcPr>
          <w:p w14:paraId="2769A69C"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12</w:t>
            </w:r>
          </w:p>
        </w:tc>
        <w:tc>
          <w:tcPr>
            <w:tcW w:w="1005" w:type="pct"/>
            <w:tcBorders>
              <w:left w:val="nil"/>
              <w:bottom w:val="single" w:sz="4" w:space="0" w:color="auto"/>
              <w:right w:val="nil"/>
            </w:tcBorders>
            <w:vAlign w:val="center"/>
          </w:tcPr>
          <w:p w14:paraId="1B296D04"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Sodium</w:t>
            </w:r>
          </w:p>
        </w:tc>
        <w:tc>
          <w:tcPr>
            <w:tcW w:w="666" w:type="pct"/>
            <w:tcBorders>
              <w:left w:val="nil"/>
              <w:bottom w:val="single" w:sz="4" w:space="0" w:color="auto"/>
              <w:right w:val="nil"/>
            </w:tcBorders>
            <w:vAlign w:val="center"/>
          </w:tcPr>
          <w:p w14:paraId="1F47EABA"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10</w:t>
            </w:r>
          </w:p>
        </w:tc>
        <w:tc>
          <w:tcPr>
            <w:tcW w:w="1616" w:type="pct"/>
            <w:tcBorders>
              <w:left w:val="nil"/>
              <w:bottom w:val="single" w:sz="4" w:space="0" w:color="auto"/>
              <w:right w:val="nil"/>
            </w:tcBorders>
            <w:vAlign w:val="center"/>
          </w:tcPr>
          <w:p w14:paraId="2504A4DC"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≤0.8 g/1000 kcal</w:t>
            </w:r>
          </w:p>
        </w:tc>
        <w:tc>
          <w:tcPr>
            <w:tcW w:w="1477" w:type="pct"/>
            <w:tcBorders>
              <w:left w:val="nil"/>
              <w:bottom w:val="single" w:sz="4" w:space="0" w:color="auto"/>
              <w:right w:val="nil"/>
            </w:tcBorders>
            <w:vAlign w:val="center"/>
          </w:tcPr>
          <w:p w14:paraId="3E3543BE"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≥2 g/1000 kcal</w:t>
            </w:r>
          </w:p>
        </w:tc>
      </w:tr>
      <w:tr w:rsidR="00D14242" w:rsidRPr="00FB0781" w14:paraId="67D4140C" w14:textId="77777777" w:rsidTr="00D14242">
        <w:tc>
          <w:tcPr>
            <w:tcW w:w="5000" w:type="pct"/>
            <w:gridSpan w:val="5"/>
            <w:tcBorders>
              <w:left w:val="nil"/>
              <w:bottom w:val="single" w:sz="12" w:space="0" w:color="auto"/>
              <w:right w:val="nil"/>
            </w:tcBorders>
            <w:vAlign w:val="center"/>
          </w:tcPr>
          <w:p w14:paraId="447F9F9E"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*Vegetables include non-starchy vegetables, starchy vegetables, and beans and legumes.</w:t>
            </w:r>
          </w:p>
          <w:p w14:paraId="6F1B545A"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†Whole grains include any food with a whole grain as the first ingredient, while total grains include any food with any grain as the first ingredient.</w:t>
            </w:r>
          </w:p>
          <w:p w14:paraId="067FE660"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‡Protein foods include poultry, eggs, meat, seafood, beans and legumes, and nuts and seeds.</w:t>
            </w:r>
          </w:p>
          <w:p w14:paraId="73B5B714"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§Seafood and plant-based protein foods include seafood, beans and legumes, and nuts and seeds.</w:t>
            </w:r>
          </w:p>
          <w:p w14:paraId="1D3D820A"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|Plant-based dairy alternatives are included if their protein content is &gt;2.2 g/100 g.</w:t>
            </w:r>
          </w:p>
          <w:p w14:paraId="5BB27234" w14:textId="77777777" w:rsidR="00D14242" w:rsidRPr="00FB0781" w:rsidRDefault="00D14242" w:rsidP="00BA71ED">
            <w:pPr>
              <w:spacing w:line="240" w:lineRule="auto"/>
              <w:rPr>
                <w:rFonts w:asciiTheme="majorBidi" w:eastAsia="Times New Roman" w:hAnsiTheme="majorBidi" w:cstheme="majorBidi"/>
                <w:snapToGrid w:val="0"/>
                <w:sz w:val="22"/>
                <w:szCs w:val="22"/>
                <w:lang w:eastAsia="de-DE" w:bidi="en-US"/>
              </w:rPr>
            </w:pPr>
            <w:r w:rsidRPr="00FB0781">
              <w:rPr>
                <w:rFonts w:asciiTheme="majorBidi" w:eastAsia="Times New Roman" w:hAnsiTheme="majorBidi" w:cstheme="majorBidi"/>
                <w:snapToGrid w:val="0"/>
                <w:sz w:val="22"/>
                <w:szCs w:val="22"/>
                <w:lang w:eastAsia="de-DE" w:bidi="en-US"/>
              </w:rPr>
              <w:t>¶The numerator includes water and non-sweetened beverages consumed (e.g. non-sweetened milk, tea, coffee), and the denominator includes all beverages consumed (i.e. non-sweetened, sweetened, and artificially sweetened).</w:t>
            </w:r>
          </w:p>
        </w:tc>
      </w:tr>
    </w:tbl>
    <w:p w14:paraId="4DEB951F" w14:textId="77777777" w:rsidR="00582D4F" w:rsidRPr="00FB0781" w:rsidRDefault="00582D4F" w:rsidP="00BA71ED">
      <w:pPr>
        <w:pStyle w:val="MDPI31text"/>
        <w:spacing w:line="480" w:lineRule="auto"/>
        <w:rPr>
          <w:rFonts w:asciiTheme="majorBidi" w:hAnsiTheme="majorBidi" w:cstheme="majorBidi"/>
          <w:sz w:val="22"/>
        </w:rPr>
      </w:pPr>
    </w:p>
    <w:sectPr w:rsidR="00582D4F" w:rsidRPr="00FB0781" w:rsidSect="00CA3751">
      <w:headerReference w:type="even" r:id="rId8"/>
      <w:headerReference w:type="default" r:id="rId9"/>
      <w:footerReference w:type="default" r:id="rId10"/>
      <w:headerReference w:type="first" r:id="rId11"/>
      <w:footerReference w:type="first" r:id="rId12"/>
      <w:type w:val="continuous"/>
      <w:pgSz w:w="11906" w:h="16838" w:code="9"/>
      <w:pgMar w:top="1411" w:right="720" w:bottom="907" w:left="720" w:header="720" w:footer="619" w:gutter="0"/>
      <w:lnNumType w:countBy="1" w:distance="259" w:restart="continuous"/>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01EB4" w14:textId="77777777" w:rsidR="00247F5D" w:rsidRDefault="00247F5D">
      <w:pPr>
        <w:spacing w:line="240" w:lineRule="auto"/>
      </w:pPr>
      <w:r>
        <w:separator/>
      </w:r>
    </w:p>
  </w:endnote>
  <w:endnote w:type="continuationSeparator" w:id="0">
    <w:p w14:paraId="13B43418" w14:textId="77777777" w:rsidR="00247F5D" w:rsidRDefault="00247F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557598985"/>
      <w:docPartObj>
        <w:docPartGallery w:val="Page Numbers (Bottom of Page)"/>
        <w:docPartUnique/>
      </w:docPartObj>
    </w:sdtPr>
    <w:sdtEndPr>
      <w:rPr>
        <w:noProof/>
      </w:rPr>
    </w:sdtEndPr>
    <w:sdtContent>
      <w:p w14:paraId="21DF29FD" w14:textId="6F4DA420" w:rsidR="00BA71ED" w:rsidRDefault="00BA71ED">
        <w:pPr>
          <w:pStyle w:val="Footer"/>
          <w:jc w:val="center"/>
        </w:pPr>
        <w:r>
          <w:rPr>
            <w:noProof w:val="0"/>
          </w:rPr>
          <w:fldChar w:fldCharType="begin"/>
        </w:r>
        <w:r>
          <w:instrText xml:space="preserve"> PAGE   \* MERGEFORMAT </w:instrText>
        </w:r>
        <w:r>
          <w:rPr>
            <w:noProof w:val="0"/>
          </w:rPr>
          <w:fldChar w:fldCharType="separate"/>
        </w:r>
        <w:r>
          <w:t>2</w:t>
        </w:r>
        <w:r>
          <w:fldChar w:fldCharType="end"/>
        </w:r>
      </w:p>
    </w:sdtContent>
  </w:sdt>
  <w:p w14:paraId="5DAB181E" w14:textId="77777777" w:rsidR="00C90B3B" w:rsidRPr="00885BB0" w:rsidRDefault="00C90B3B" w:rsidP="00C90B3B">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3D219" w14:textId="0A8D7A8E" w:rsidR="00C90B3B" w:rsidRPr="00062112" w:rsidRDefault="00C90B3B" w:rsidP="000943F3">
    <w:pPr>
      <w:tabs>
        <w:tab w:val="right" w:pos="10466"/>
      </w:tabs>
      <w:spacing w:line="240" w:lineRule="auto"/>
      <w:rPr>
        <w:sz w:val="16"/>
        <w:szCs w:val="16"/>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34779" w14:textId="77777777" w:rsidR="00247F5D" w:rsidRDefault="00247F5D">
      <w:pPr>
        <w:spacing w:line="240" w:lineRule="auto"/>
      </w:pPr>
      <w:r>
        <w:separator/>
      </w:r>
    </w:p>
  </w:footnote>
  <w:footnote w:type="continuationSeparator" w:id="0">
    <w:p w14:paraId="11D685D1" w14:textId="77777777" w:rsidR="00247F5D" w:rsidRDefault="00247F5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FB16C" w14:textId="77777777" w:rsidR="00C90B3B" w:rsidRDefault="00C90B3B" w:rsidP="00C90B3B">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179FC" w14:textId="13CF17E6" w:rsidR="00C90B3B" w:rsidRPr="00310EBF" w:rsidRDefault="00C90B3B" w:rsidP="00350263">
    <w:pPr>
      <w:tabs>
        <w:tab w:val="left" w:pos="1671"/>
      </w:tabs>
      <w:adjustRightInd w:val="0"/>
      <w:snapToGrid w:val="0"/>
      <w:spacing w:after="480" w:line="100" w:lineRule="exact"/>
      <w:jc w:val="left"/>
      <w:rPr>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E996F" w14:textId="1BC58DB2" w:rsidR="00C90B3B" w:rsidRPr="00350263" w:rsidRDefault="00C90B3B" w:rsidP="00350263">
    <w:pPr>
      <w:pStyle w:val="Header"/>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46D00"/>
    <w:multiLevelType w:val="hybridMultilevel"/>
    <w:tmpl w:val="8F4A89D6"/>
    <w:lvl w:ilvl="0" w:tplc="D4ECF69E">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468F5"/>
    <w:multiLevelType w:val="hybridMultilevel"/>
    <w:tmpl w:val="CD3E7292"/>
    <w:lvl w:ilvl="0" w:tplc="F7B6C750">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3" w15:restartNumberingAfterBreak="0">
    <w:nsid w:val="1FC80097"/>
    <w:multiLevelType w:val="hybridMultilevel"/>
    <w:tmpl w:val="DE12E9C8"/>
    <w:lvl w:ilvl="0" w:tplc="8D8CDB2C">
      <w:start w:val="1"/>
      <w:numFmt w:val="decimal"/>
      <w:lvlRestart w:val="0"/>
      <w:pStyle w:val="MDPI8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6"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8"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0" w15:restartNumberingAfterBreak="0">
    <w:nsid w:val="661A3F4C"/>
    <w:multiLevelType w:val="hybridMultilevel"/>
    <w:tmpl w:val="5D841F04"/>
    <w:lvl w:ilvl="0" w:tplc="C3B0C1FC">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11"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739022">
    <w:abstractNumId w:val="5"/>
  </w:num>
  <w:num w:numId="2" w16cid:durableId="1871070396">
    <w:abstractNumId w:val="7"/>
  </w:num>
  <w:num w:numId="3" w16cid:durableId="912589453">
    <w:abstractNumId w:val="4"/>
  </w:num>
  <w:num w:numId="4" w16cid:durableId="9768423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27694436">
    <w:abstractNumId w:val="6"/>
  </w:num>
  <w:num w:numId="6" w16cid:durableId="1366296750">
    <w:abstractNumId w:val="9"/>
  </w:num>
  <w:num w:numId="7" w16cid:durableId="1720665601">
    <w:abstractNumId w:val="2"/>
  </w:num>
  <w:num w:numId="8" w16cid:durableId="1169908287">
    <w:abstractNumId w:val="9"/>
  </w:num>
  <w:num w:numId="9" w16cid:durableId="1005354364">
    <w:abstractNumId w:val="2"/>
  </w:num>
  <w:num w:numId="10" w16cid:durableId="808278404">
    <w:abstractNumId w:val="9"/>
  </w:num>
  <w:num w:numId="11" w16cid:durableId="2078086066">
    <w:abstractNumId w:val="2"/>
  </w:num>
  <w:num w:numId="12" w16cid:durableId="623267721">
    <w:abstractNumId w:val="11"/>
  </w:num>
  <w:num w:numId="13" w16cid:durableId="1414817629">
    <w:abstractNumId w:val="9"/>
  </w:num>
  <w:num w:numId="14" w16cid:durableId="1180512512">
    <w:abstractNumId w:val="2"/>
  </w:num>
  <w:num w:numId="15" w16cid:durableId="857161393">
    <w:abstractNumId w:val="1"/>
  </w:num>
  <w:num w:numId="16" w16cid:durableId="1084767157">
    <w:abstractNumId w:val="8"/>
  </w:num>
  <w:num w:numId="17" w16cid:durableId="1200627556">
    <w:abstractNumId w:val="0"/>
  </w:num>
  <w:num w:numId="18" w16cid:durableId="886650859">
    <w:abstractNumId w:val="9"/>
  </w:num>
  <w:num w:numId="19" w16cid:durableId="611398766">
    <w:abstractNumId w:val="2"/>
  </w:num>
  <w:num w:numId="20" w16cid:durableId="27878980">
    <w:abstractNumId w:val="1"/>
  </w:num>
  <w:num w:numId="21" w16cid:durableId="2065638470">
    <w:abstractNumId w:val="0"/>
  </w:num>
  <w:num w:numId="22" w16cid:durableId="1337999985">
    <w:abstractNumId w:val="10"/>
  </w:num>
  <w:num w:numId="23" w16cid:durableId="16702113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6B9"/>
    <w:rsid w:val="000231E1"/>
    <w:rsid w:val="00027305"/>
    <w:rsid w:val="000330FF"/>
    <w:rsid w:val="00035EF2"/>
    <w:rsid w:val="000550AD"/>
    <w:rsid w:val="00062112"/>
    <w:rsid w:val="00070240"/>
    <w:rsid w:val="00073F06"/>
    <w:rsid w:val="00077A11"/>
    <w:rsid w:val="0008055A"/>
    <w:rsid w:val="000943F3"/>
    <w:rsid w:val="000A0720"/>
    <w:rsid w:val="000B6163"/>
    <w:rsid w:val="000C22AA"/>
    <w:rsid w:val="000D12C7"/>
    <w:rsid w:val="000D1804"/>
    <w:rsid w:val="000D2865"/>
    <w:rsid w:val="000E5185"/>
    <w:rsid w:val="000F03E2"/>
    <w:rsid w:val="0013280E"/>
    <w:rsid w:val="001376AB"/>
    <w:rsid w:val="00147C72"/>
    <w:rsid w:val="0015258F"/>
    <w:rsid w:val="00157715"/>
    <w:rsid w:val="00160036"/>
    <w:rsid w:val="00173DDF"/>
    <w:rsid w:val="00192EF9"/>
    <w:rsid w:val="001978F7"/>
    <w:rsid w:val="00197A9B"/>
    <w:rsid w:val="001B4E10"/>
    <w:rsid w:val="001B6648"/>
    <w:rsid w:val="001B7D47"/>
    <w:rsid w:val="001D43A5"/>
    <w:rsid w:val="001D4B94"/>
    <w:rsid w:val="001E2AEB"/>
    <w:rsid w:val="001E4BE2"/>
    <w:rsid w:val="001F1FD7"/>
    <w:rsid w:val="001F26B9"/>
    <w:rsid w:val="001F3BDE"/>
    <w:rsid w:val="0020251C"/>
    <w:rsid w:val="00202E01"/>
    <w:rsid w:val="0020578D"/>
    <w:rsid w:val="00211C8D"/>
    <w:rsid w:val="0021329E"/>
    <w:rsid w:val="002260A0"/>
    <w:rsid w:val="0022781B"/>
    <w:rsid w:val="00232F01"/>
    <w:rsid w:val="00247F5D"/>
    <w:rsid w:val="002527F3"/>
    <w:rsid w:val="002549C8"/>
    <w:rsid w:val="00264F54"/>
    <w:rsid w:val="00274DF5"/>
    <w:rsid w:val="0027719E"/>
    <w:rsid w:val="00277B9C"/>
    <w:rsid w:val="0029512B"/>
    <w:rsid w:val="002B13D7"/>
    <w:rsid w:val="002C5127"/>
    <w:rsid w:val="002C76AA"/>
    <w:rsid w:val="002E0D48"/>
    <w:rsid w:val="002E7D01"/>
    <w:rsid w:val="002F45D9"/>
    <w:rsid w:val="00320E31"/>
    <w:rsid w:val="0032229C"/>
    <w:rsid w:val="00326141"/>
    <w:rsid w:val="00327B8E"/>
    <w:rsid w:val="003335CA"/>
    <w:rsid w:val="00336870"/>
    <w:rsid w:val="00350263"/>
    <w:rsid w:val="00353112"/>
    <w:rsid w:val="00355677"/>
    <w:rsid w:val="00364A2F"/>
    <w:rsid w:val="00370457"/>
    <w:rsid w:val="0037474C"/>
    <w:rsid w:val="00390107"/>
    <w:rsid w:val="00390A0D"/>
    <w:rsid w:val="003934AC"/>
    <w:rsid w:val="003967F5"/>
    <w:rsid w:val="003977C4"/>
    <w:rsid w:val="003B11AD"/>
    <w:rsid w:val="003B1F9E"/>
    <w:rsid w:val="003B43AA"/>
    <w:rsid w:val="003E4154"/>
    <w:rsid w:val="003F1ECB"/>
    <w:rsid w:val="003F51DB"/>
    <w:rsid w:val="00401D30"/>
    <w:rsid w:val="00405049"/>
    <w:rsid w:val="00411CE7"/>
    <w:rsid w:val="00413234"/>
    <w:rsid w:val="0041350B"/>
    <w:rsid w:val="00417F6A"/>
    <w:rsid w:val="004329D1"/>
    <w:rsid w:val="00435811"/>
    <w:rsid w:val="004564EF"/>
    <w:rsid w:val="0045699E"/>
    <w:rsid w:val="00456F70"/>
    <w:rsid w:val="00461281"/>
    <w:rsid w:val="004612DD"/>
    <w:rsid w:val="004A4156"/>
    <w:rsid w:val="004A6A50"/>
    <w:rsid w:val="004B543E"/>
    <w:rsid w:val="004B786D"/>
    <w:rsid w:val="004C025E"/>
    <w:rsid w:val="004C210B"/>
    <w:rsid w:val="004C3BAD"/>
    <w:rsid w:val="004C5904"/>
    <w:rsid w:val="004D39A2"/>
    <w:rsid w:val="004E0F28"/>
    <w:rsid w:val="00510469"/>
    <w:rsid w:val="00520DC1"/>
    <w:rsid w:val="00521B0E"/>
    <w:rsid w:val="0052378B"/>
    <w:rsid w:val="0053262D"/>
    <w:rsid w:val="00537B60"/>
    <w:rsid w:val="00557412"/>
    <w:rsid w:val="00576E28"/>
    <w:rsid w:val="00582D4F"/>
    <w:rsid w:val="0058522B"/>
    <w:rsid w:val="005902CF"/>
    <w:rsid w:val="005A435E"/>
    <w:rsid w:val="005A79DF"/>
    <w:rsid w:val="005B00C1"/>
    <w:rsid w:val="005C71E1"/>
    <w:rsid w:val="005C74F1"/>
    <w:rsid w:val="005E3F38"/>
    <w:rsid w:val="005F185B"/>
    <w:rsid w:val="005F69D4"/>
    <w:rsid w:val="0060709B"/>
    <w:rsid w:val="00610718"/>
    <w:rsid w:val="00612EEA"/>
    <w:rsid w:val="00615EEE"/>
    <w:rsid w:val="006255D7"/>
    <w:rsid w:val="006349C5"/>
    <w:rsid w:val="00645667"/>
    <w:rsid w:val="00657213"/>
    <w:rsid w:val="00657B19"/>
    <w:rsid w:val="006659ED"/>
    <w:rsid w:val="00666D33"/>
    <w:rsid w:val="00672DCC"/>
    <w:rsid w:val="00692393"/>
    <w:rsid w:val="0069485F"/>
    <w:rsid w:val="006C5F6E"/>
    <w:rsid w:val="006D5B1F"/>
    <w:rsid w:val="006F0855"/>
    <w:rsid w:val="006F195E"/>
    <w:rsid w:val="00703117"/>
    <w:rsid w:val="0070418D"/>
    <w:rsid w:val="00721BCF"/>
    <w:rsid w:val="00742B3E"/>
    <w:rsid w:val="00743AB9"/>
    <w:rsid w:val="00747DA1"/>
    <w:rsid w:val="00762A45"/>
    <w:rsid w:val="00784065"/>
    <w:rsid w:val="00786F88"/>
    <w:rsid w:val="00797D64"/>
    <w:rsid w:val="007A3338"/>
    <w:rsid w:val="007D0BB0"/>
    <w:rsid w:val="007F5E35"/>
    <w:rsid w:val="00801504"/>
    <w:rsid w:val="00830F91"/>
    <w:rsid w:val="008313A9"/>
    <w:rsid w:val="00831BDE"/>
    <w:rsid w:val="00835DDE"/>
    <w:rsid w:val="0084006D"/>
    <w:rsid w:val="008427A3"/>
    <w:rsid w:val="0084391E"/>
    <w:rsid w:val="00850CDD"/>
    <w:rsid w:val="00855471"/>
    <w:rsid w:val="008611B8"/>
    <w:rsid w:val="00874063"/>
    <w:rsid w:val="00882750"/>
    <w:rsid w:val="008838D2"/>
    <w:rsid w:val="00891137"/>
    <w:rsid w:val="008949C9"/>
    <w:rsid w:val="00894E8F"/>
    <w:rsid w:val="008A2B64"/>
    <w:rsid w:val="008B5FC5"/>
    <w:rsid w:val="008C455F"/>
    <w:rsid w:val="008D534B"/>
    <w:rsid w:val="008E01FB"/>
    <w:rsid w:val="008E0DD3"/>
    <w:rsid w:val="0090412B"/>
    <w:rsid w:val="00915BFC"/>
    <w:rsid w:val="00937C38"/>
    <w:rsid w:val="009525FD"/>
    <w:rsid w:val="009532EF"/>
    <w:rsid w:val="00980381"/>
    <w:rsid w:val="009905E2"/>
    <w:rsid w:val="009922B3"/>
    <w:rsid w:val="0099746A"/>
    <w:rsid w:val="009A6662"/>
    <w:rsid w:val="009B1545"/>
    <w:rsid w:val="009B1D1B"/>
    <w:rsid w:val="009B682C"/>
    <w:rsid w:val="009C2217"/>
    <w:rsid w:val="009C3BA8"/>
    <w:rsid w:val="009C50EC"/>
    <w:rsid w:val="009C6EB7"/>
    <w:rsid w:val="009E1472"/>
    <w:rsid w:val="009E6F3F"/>
    <w:rsid w:val="009F70E6"/>
    <w:rsid w:val="00A109FA"/>
    <w:rsid w:val="00A149BE"/>
    <w:rsid w:val="00A43A61"/>
    <w:rsid w:val="00A61CC6"/>
    <w:rsid w:val="00A90027"/>
    <w:rsid w:val="00A922EE"/>
    <w:rsid w:val="00AA252D"/>
    <w:rsid w:val="00AB7A1A"/>
    <w:rsid w:val="00AE6C73"/>
    <w:rsid w:val="00AE7F7F"/>
    <w:rsid w:val="00AF33F6"/>
    <w:rsid w:val="00AF3A21"/>
    <w:rsid w:val="00B13BB4"/>
    <w:rsid w:val="00B20555"/>
    <w:rsid w:val="00B245C9"/>
    <w:rsid w:val="00B33FA5"/>
    <w:rsid w:val="00B34E8E"/>
    <w:rsid w:val="00B42244"/>
    <w:rsid w:val="00B43FAC"/>
    <w:rsid w:val="00B62B37"/>
    <w:rsid w:val="00B715CF"/>
    <w:rsid w:val="00B751BD"/>
    <w:rsid w:val="00B90776"/>
    <w:rsid w:val="00B9176A"/>
    <w:rsid w:val="00B919EF"/>
    <w:rsid w:val="00B9388D"/>
    <w:rsid w:val="00BA3481"/>
    <w:rsid w:val="00BA71ED"/>
    <w:rsid w:val="00BD0170"/>
    <w:rsid w:val="00BD2F41"/>
    <w:rsid w:val="00BD3278"/>
    <w:rsid w:val="00BE05D8"/>
    <w:rsid w:val="00BF0847"/>
    <w:rsid w:val="00BF157E"/>
    <w:rsid w:val="00C06DD9"/>
    <w:rsid w:val="00C07C75"/>
    <w:rsid w:val="00C1192A"/>
    <w:rsid w:val="00C31AF5"/>
    <w:rsid w:val="00C40A45"/>
    <w:rsid w:val="00C44F62"/>
    <w:rsid w:val="00C51ABD"/>
    <w:rsid w:val="00C57E47"/>
    <w:rsid w:val="00C6083F"/>
    <w:rsid w:val="00C64435"/>
    <w:rsid w:val="00C658BF"/>
    <w:rsid w:val="00C77084"/>
    <w:rsid w:val="00C835E3"/>
    <w:rsid w:val="00C86505"/>
    <w:rsid w:val="00C876E2"/>
    <w:rsid w:val="00C90B3B"/>
    <w:rsid w:val="00C97651"/>
    <w:rsid w:val="00CA3751"/>
    <w:rsid w:val="00CB23D2"/>
    <w:rsid w:val="00CB2B6B"/>
    <w:rsid w:val="00CB5A21"/>
    <w:rsid w:val="00CC03C7"/>
    <w:rsid w:val="00CC0501"/>
    <w:rsid w:val="00CE429C"/>
    <w:rsid w:val="00CE591F"/>
    <w:rsid w:val="00D02C7A"/>
    <w:rsid w:val="00D02E15"/>
    <w:rsid w:val="00D03EB1"/>
    <w:rsid w:val="00D14242"/>
    <w:rsid w:val="00D15AC3"/>
    <w:rsid w:val="00D30929"/>
    <w:rsid w:val="00D36044"/>
    <w:rsid w:val="00D47EA5"/>
    <w:rsid w:val="00D543BC"/>
    <w:rsid w:val="00D77192"/>
    <w:rsid w:val="00D83E29"/>
    <w:rsid w:val="00D8615C"/>
    <w:rsid w:val="00DA4375"/>
    <w:rsid w:val="00DA6C33"/>
    <w:rsid w:val="00DD1D1E"/>
    <w:rsid w:val="00DD3F21"/>
    <w:rsid w:val="00DE1434"/>
    <w:rsid w:val="00DE66F9"/>
    <w:rsid w:val="00DF1C1D"/>
    <w:rsid w:val="00DF73F4"/>
    <w:rsid w:val="00E22B91"/>
    <w:rsid w:val="00E23D9F"/>
    <w:rsid w:val="00E45AA3"/>
    <w:rsid w:val="00E80413"/>
    <w:rsid w:val="00E85E0E"/>
    <w:rsid w:val="00EA6168"/>
    <w:rsid w:val="00EA70F0"/>
    <w:rsid w:val="00EC71B4"/>
    <w:rsid w:val="00ED029C"/>
    <w:rsid w:val="00ED7A6A"/>
    <w:rsid w:val="00F12D8D"/>
    <w:rsid w:val="00F130C6"/>
    <w:rsid w:val="00F25C65"/>
    <w:rsid w:val="00F300E3"/>
    <w:rsid w:val="00F45636"/>
    <w:rsid w:val="00F46F81"/>
    <w:rsid w:val="00F6585D"/>
    <w:rsid w:val="00F65AD5"/>
    <w:rsid w:val="00F732F0"/>
    <w:rsid w:val="00F83519"/>
    <w:rsid w:val="00FA2128"/>
    <w:rsid w:val="00FA7192"/>
    <w:rsid w:val="00FB0781"/>
    <w:rsid w:val="00FC4752"/>
    <w:rsid w:val="00FC77C6"/>
    <w:rsid w:val="00FC780D"/>
    <w:rsid w:val="00FE6B4A"/>
    <w:rsid w:val="00FF031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D3C9E6"/>
  <w15:chartTrackingRefBased/>
  <w15:docId w15:val="{F1C355FB-2D33-4767-8BF3-28390C66A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EA5"/>
    <w:pPr>
      <w:spacing w:line="280" w:lineRule="atLeast"/>
      <w:jc w:val="both"/>
    </w:pPr>
    <w:rPr>
      <w:rFonts w:ascii="Palatino Linotype" w:hAnsi="Palatino Linotype"/>
      <w:noProof/>
      <w:color w:val="000000"/>
    </w:rPr>
  </w:style>
  <w:style w:type="paragraph" w:styleId="Heading2">
    <w:name w:val="heading 2"/>
    <w:basedOn w:val="Normal"/>
    <w:link w:val="Heading2Char"/>
    <w:uiPriority w:val="2"/>
    <w:qFormat/>
    <w:rsid w:val="00D83E29"/>
    <w:pPr>
      <w:keepNext/>
      <w:keepLines/>
      <w:spacing w:before="40" w:line="259" w:lineRule="auto"/>
      <w:jc w:val="left"/>
      <w:outlineLvl w:val="1"/>
    </w:pPr>
    <w:rPr>
      <w:rFonts w:ascii="Calibri Light" w:eastAsia="Calibri Light" w:hAnsi="Calibri Light" w:cs="Calibri Light"/>
      <w:noProof w:val="0"/>
      <w:color w:val="2F5496"/>
      <w:sz w:val="26"/>
      <w:szCs w:val="22"/>
      <w:lang w:eastAsia="en-US"/>
    </w:rPr>
  </w:style>
  <w:style w:type="paragraph" w:styleId="Heading3">
    <w:name w:val="heading 3"/>
    <w:basedOn w:val="Normal"/>
    <w:next w:val="Normal"/>
    <w:link w:val="Heading3Char"/>
    <w:uiPriority w:val="9"/>
    <w:semiHidden/>
    <w:unhideWhenUsed/>
    <w:qFormat/>
    <w:rsid w:val="00FC77C6"/>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next w:val="Normal"/>
    <w:qFormat/>
    <w:rsid w:val="00D47EA5"/>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D47EA5"/>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D47EA5"/>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D47EA5"/>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D47EA5"/>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D47EA5"/>
    <w:pPr>
      <w:adjustRightInd w:val="0"/>
      <w:snapToGrid w:val="0"/>
      <w:spacing w:before="240" w:line="280" w:lineRule="atLeast"/>
      <w:ind w:left="2608"/>
      <w:jc w:val="both"/>
    </w:pPr>
    <w:rPr>
      <w:rFonts w:ascii="Palatino Linotype" w:eastAsia="Times New Roman" w:hAnsi="Palatino Linotype"/>
      <w:color w:val="000000"/>
      <w:szCs w:val="22"/>
      <w:lang w:eastAsia="de-DE" w:bidi="en-US"/>
    </w:rPr>
  </w:style>
  <w:style w:type="paragraph" w:customStyle="1" w:styleId="MDPI18keywords">
    <w:name w:val="MDPI_1.8_keywords"/>
    <w:next w:val="Normal"/>
    <w:qFormat/>
    <w:rsid w:val="00D47EA5"/>
    <w:pPr>
      <w:adjustRightInd w:val="0"/>
      <w:snapToGrid w:val="0"/>
      <w:spacing w:before="240"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19line">
    <w:name w:val="MDPI_1.9_line"/>
    <w:qFormat/>
    <w:rsid w:val="00D47EA5"/>
    <w:pPr>
      <w:pBdr>
        <w:bottom w:val="single" w:sz="6" w:space="1" w:color="auto"/>
      </w:pBdr>
      <w:adjustRightInd w:val="0"/>
      <w:snapToGrid w:val="0"/>
      <w:spacing w:after="480" w:line="280" w:lineRule="atLeast"/>
      <w:ind w:left="2608"/>
      <w:jc w:val="both"/>
    </w:pPr>
    <w:rPr>
      <w:rFonts w:ascii="Palatino Linotype" w:eastAsia="Times New Roman" w:hAnsi="Palatino Linotype" w:cs="Cordia New"/>
      <w:color w:val="000000"/>
      <w:szCs w:val="24"/>
      <w:lang w:eastAsia="de-DE" w:bidi="en-US"/>
    </w:rPr>
  </w:style>
  <w:style w:type="table" w:customStyle="1" w:styleId="Mdeck5tablebodythreelines">
    <w:name w:val="M_deck_5_table_body_three_lines"/>
    <w:basedOn w:val="TableNormal"/>
    <w:uiPriority w:val="99"/>
    <w:rsid w:val="002549C8"/>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rsid w:val="00D47EA5"/>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D47EA5"/>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D47EA5"/>
    <w:rPr>
      <w:rFonts w:ascii="Palatino Linotype" w:hAnsi="Palatino Linotype"/>
      <w:noProof/>
      <w:color w:val="000000"/>
      <w:szCs w:val="18"/>
    </w:rPr>
  </w:style>
  <w:style w:type="paragraph" w:styleId="Header">
    <w:name w:val="header"/>
    <w:basedOn w:val="Normal"/>
    <w:link w:val="HeaderChar"/>
    <w:uiPriority w:val="99"/>
    <w:rsid w:val="00D47EA5"/>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D47EA5"/>
    <w:rPr>
      <w:rFonts w:ascii="Palatino Linotype" w:hAnsi="Palatino Linotype"/>
      <w:noProof/>
      <w:color w:val="000000"/>
      <w:szCs w:val="18"/>
    </w:rPr>
  </w:style>
  <w:style w:type="paragraph" w:customStyle="1" w:styleId="MDPI32textnoindent">
    <w:name w:val="MDPI_3.2_text_no_indent"/>
    <w:basedOn w:val="MDPI31text"/>
    <w:qFormat/>
    <w:rsid w:val="00D47EA5"/>
    <w:pPr>
      <w:ind w:firstLine="0"/>
    </w:pPr>
  </w:style>
  <w:style w:type="paragraph" w:customStyle="1" w:styleId="MDPI31text">
    <w:name w:val="MDPI_3.1_text"/>
    <w:qFormat/>
    <w:rsid w:val="005902CF"/>
    <w:pPr>
      <w:adjustRightInd w:val="0"/>
      <w:snapToGrid w:val="0"/>
      <w:spacing w:line="280" w:lineRule="atLeast"/>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D47EA5"/>
    <w:pPr>
      <w:adjustRightInd w:val="0"/>
      <w:snapToGrid w:val="0"/>
      <w:spacing w:after="240"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D47EA5"/>
    <w:pPr>
      <w:adjustRightInd w:val="0"/>
      <w:snapToGrid w:val="0"/>
      <w:spacing w:line="280" w:lineRule="atLeast"/>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D47EA5"/>
    <w:pPr>
      <w:adjustRightInd w:val="0"/>
      <w:snapToGrid w:val="0"/>
      <w:spacing w:before="120"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FE6B4A"/>
    <w:pPr>
      <w:numPr>
        <w:numId w:val="22"/>
      </w:numPr>
      <w:adjustRightInd w:val="0"/>
      <w:snapToGrid w:val="0"/>
      <w:spacing w:line="280" w:lineRule="atLeast"/>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FE6B4A"/>
    <w:pPr>
      <w:numPr>
        <w:numId w:val="20"/>
      </w:numPr>
      <w:adjustRightInd w:val="0"/>
      <w:snapToGrid w:val="0"/>
      <w:spacing w:line="280" w:lineRule="atLeast"/>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D47EA5"/>
    <w:pPr>
      <w:adjustRightInd w:val="0"/>
      <w:snapToGrid w:val="0"/>
      <w:spacing w:before="120" w:after="120" w:line="28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D47EA5"/>
    <w:pPr>
      <w:spacing w:before="120" w:after="120" w:line="280" w:lineRule="atLeast"/>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D47EA5"/>
    <w:pPr>
      <w:adjustRightInd w:val="0"/>
      <w:snapToGrid w:val="0"/>
      <w:spacing w:before="240" w:after="120" w:line="280" w:lineRule="atLeast"/>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8949C9"/>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D47EA5"/>
    <w:pPr>
      <w:adjustRightInd w:val="0"/>
      <w:snapToGrid w:val="0"/>
      <w:spacing w:line="280" w:lineRule="atLeast"/>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D47EA5"/>
    <w:pPr>
      <w:adjustRightInd w:val="0"/>
      <w:snapToGrid w:val="0"/>
      <w:spacing w:before="120" w:after="240" w:line="280" w:lineRule="atLeast"/>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D47EA5"/>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23heading3">
    <w:name w:val="MDPI_2.3_heading3"/>
    <w:qFormat/>
    <w:rsid w:val="00D47EA5"/>
    <w:pPr>
      <w:adjustRightInd w:val="0"/>
      <w:snapToGrid w:val="0"/>
      <w:spacing w:before="60" w:after="60" w:line="280" w:lineRule="atLeast"/>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D47EA5"/>
    <w:pPr>
      <w:adjustRightInd w:val="0"/>
      <w:snapToGrid w:val="0"/>
      <w:spacing w:before="240" w:after="60" w:line="280" w:lineRule="atLeast"/>
      <w:ind w:left="2608"/>
      <w:outlineLvl w:val="0"/>
    </w:pPr>
    <w:rPr>
      <w:rFonts w:ascii="Palatino Linotype" w:eastAsia="Times New Roman" w:hAnsi="Palatino Linotype"/>
      <w:b/>
      <w:snapToGrid w:val="0"/>
      <w:color w:val="000000"/>
      <w:sz w:val="24"/>
      <w:szCs w:val="22"/>
      <w:lang w:eastAsia="de-DE" w:bidi="en-US"/>
    </w:rPr>
  </w:style>
  <w:style w:type="paragraph" w:customStyle="1" w:styleId="MDPI22heading2">
    <w:name w:val="MDPI_2.2_heading2"/>
    <w:qFormat/>
    <w:rsid w:val="00D47EA5"/>
    <w:pPr>
      <w:adjustRightInd w:val="0"/>
      <w:snapToGrid w:val="0"/>
      <w:spacing w:before="60" w:after="60" w:line="280" w:lineRule="atLeast"/>
      <w:ind w:left="2608"/>
      <w:outlineLvl w:val="1"/>
    </w:pPr>
    <w:rPr>
      <w:rFonts w:ascii="Palatino Linotype" w:eastAsia="Times New Roman" w:hAnsi="Palatino Linotype"/>
      <w:i/>
      <w:noProof/>
      <w:snapToGrid w:val="0"/>
      <w:color w:val="000000"/>
      <w:szCs w:val="22"/>
      <w:lang w:eastAsia="de-DE" w:bidi="en-US"/>
    </w:rPr>
  </w:style>
  <w:style w:type="paragraph" w:customStyle="1" w:styleId="MDPI81references">
    <w:name w:val="MDPI_8.1_references"/>
    <w:qFormat/>
    <w:rsid w:val="008E01FB"/>
    <w:pPr>
      <w:numPr>
        <w:numId w:val="23"/>
      </w:numPr>
      <w:adjustRightInd w:val="0"/>
      <w:snapToGrid w:val="0"/>
      <w:spacing w:line="280" w:lineRule="atLeast"/>
      <w:jc w:val="both"/>
    </w:pPr>
    <w:rPr>
      <w:rFonts w:ascii="Palatino Linotype" w:eastAsia="Times New Roman" w:hAnsi="Palatino Linotype"/>
      <w:color w:val="000000"/>
      <w:sz w:val="18"/>
      <w:lang w:eastAsia="de-DE" w:bidi="en-US"/>
    </w:rPr>
  </w:style>
  <w:style w:type="paragraph" w:styleId="BalloonText">
    <w:name w:val="Balloon Text"/>
    <w:basedOn w:val="Normal"/>
    <w:link w:val="BalloonTextChar"/>
    <w:uiPriority w:val="99"/>
    <w:rsid w:val="00D47EA5"/>
    <w:rPr>
      <w:rFonts w:cs="Tahoma"/>
      <w:szCs w:val="18"/>
    </w:rPr>
  </w:style>
  <w:style w:type="character" w:customStyle="1" w:styleId="BalloonTextChar">
    <w:name w:val="Balloon Text Char"/>
    <w:link w:val="BalloonText"/>
    <w:uiPriority w:val="99"/>
    <w:rsid w:val="00D47EA5"/>
    <w:rPr>
      <w:rFonts w:ascii="Palatino Linotype" w:hAnsi="Palatino Linotype" w:cs="Tahoma"/>
      <w:noProof/>
      <w:color w:val="000000"/>
      <w:szCs w:val="18"/>
    </w:rPr>
  </w:style>
  <w:style w:type="character" w:styleId="LineNumber">
    <w:name w:val="line number"/>
    <w:uiPriority w:val="99"/>
    <w:rsid w:val="00C57E47"/>
    <w:rPr>
      <w:rFonts w:ascii="Palatino Linotype" w:hAnsi="Palatino Linotype"/>
      <w:sz w:val="16"/>
    </w:rPr>
  </w:style>
  <w:style w:type="table" w:customStyle="1" w:styleId="MDPI41threelinetable">
    <w:name w:val="MDPI_4.1_three_line_table"/>
    <w:basedOn w:val="TableNormal"/>
    <w:uiPriority w:val="99"/>
    <w:rsid w:val="00D47EA5"/>
    <w:pPr>
      <w:adjustRightInd w:val="0"/>
      <w:snapToGrid w:val="0"/>
      <w:spacing w:line="280" w:lineRule="atLeast"/>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uiPriority w:val="99"/>
    <w:rsid w:val="00D47EA5"/>
    <w:rPr>
      <w:color w:val="0000FF"/>
      <w:u w:val="single"/>
    </w:rPr>
  </w:style>
  <w:style w:type="character" w:styleId="UnresolvedMention">
    <w:name w:val="Unresolved Mention"/>
    <w:uiPriority w:val="99"/>
    <w:semiHidden/>
    <w:unhideWhenUsed/>
    <w:rsid w:val="00891137"/>
    <w:rPr>
      <w:color w:val="605E5C"/>
      <w:shd w:val="clear" w:color="auto" w:fill="E1DFDD"/>
    </w:rPr>
  </w:style>
  <w:style w:type="table" w:styleId="PlainTable4">
    <w:name w:val="Plain Table 4"/>
    <w:basedOn w:val="TableNormal"/>
    <w:uiPriority w:val="44"/>
    <w:rsid w:val="008313A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34textspacebefore">
    <w:name w:val="MDPI_3.4_text_space_before"/>
    <w:qFormat/>
    <w:rsid w:val="00D47EA5"/>
    <w:pPr>
      <w:adjustRightInd w:val="0"/>
      <w:snapToGrid w:val="0"/>
      <w:spacing w:before="240"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82theorem">
    <w:name w:val="MDPI_8.2_theorem"/>
    <w:qFormat/>
    <w:rsid w:val="00D47EA5"/>
    <w:pPr>
      <w:adjustRightInd w:val="0"/>
      <w:snapToGrid w:val="0"/>
      <w:spacing w:line="280" w:lineRule="atLeast"/>
      <w:ind w:left="2608"/>
      <w:jc w:val="both"/>
    </w:pPr>
    <w:rPr>
      <w:rFonts w:ascii="Palatino Linotype" w:eastAsia="Times New Roman" w:hAnsi="Palatino Linotype"/>
      <w:i/>
      <w:snapToGrid w:val="0"/>
      <w:color w:val="000000"/>
      <w:szCs w:val="22"/>
      <w:lang w:eastAsia="de-DE" w:bidi="en-US"/>
    </w:rPr>
  </w:style>
  <w:style w:type="paragraph" w:customStyle="1" w:styleId="MDPI83proof">
    <w:name w:val="MDPI_8.3_proof"/>
    <w:qFormat/>
    <w:rsid w:val="00D47EA5"/>
    <w:pPr>
      <w:adjustRightInd w:val="0"/>
      <w:snapToGrid w:val="0"/>
      <w:spacing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61citation">
    <w:name w:val="MDPI_6.1_citation"/>
    <w:qFormat/>
    <w:rsid w:val="00D47EA5"/>
    <w:pPr>
      <w:adjustRightInd w:val="0"/>
      <w:snapToGrid w:val="0"/>
      <w:spacing w:before="120" w:after="120" w:line="240" w:lineRule="atLeast"/>
      <w:ind w:right="113"/>
    </w:pPr>
    <w:rPr>
      <w:rFonts w:ascii="Palatino Linotype" w:hAnsi="Palatino Linotype" w:cs="Cordia New"/>
      <w:sz w:val="14"/>
      <w:szCs w:val="22"/>
    </w:rPr>
  </w:style>
  <w:style w:type="paragraph" w:customStyle="1" w:styleId="MDPI62backmatter">
    <w:name w:val="MDPI_6.2_back_matter"/>
    <w:qFormat/>
    <w:rsid w:val="00D47EA5"/>
    <w:pPr>
      <w:adjustRightInd w:val="0"/>
      <w:snapToGrid w:val="0"/>
      <w:spacing w:after="120" w:line="280" w:lineRule="atLeast"/>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D47EA5"/>
    <w:pPr>
      <w:adjustRightInd w:val="0"/>
      <w:snapToGrid w:val="0"/>
      <w:spacing w:before="240" w:line="280" w:lineRule="atLeast"/>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F45636"/>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411onetablecaption">
    <w:name w:val="MDPI_4.1.1_one_table_caption"/>
    <w:qFormat/>
    <w:rsid w:val="00D47EA5"/>
    <w:pPr>
      <w:adjustRightInd w:val="0"/>
      <w:snapToGrid w:val="0"/>
      <w:spacing w:before="240" w:after="120" w:line="28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D47EA5"/>
    <w:pPr>
      <w:adjustRightInd w:val="0"/>
      <w:snapToGrid w:val="0"/>
      <w:spacing w:before="240" w:after="120" w:line="280" w:lineRule="atLeast"/>
      <w:jc w:val="center"/>
    </w:pPr>
    <w:rPr>
      <w:rFonts w:ascii="Palatino Linotype" w:hAnsi="Palatino Linotype"/>
      <w:noProof/>
      <w:color w:val="000000"/>
      <w:sz w:val="18"/>
      <w:lang w:bidi="en-US"/>
    </w:rPr>
  </w:style>
  <w:style w:type="paragraph" w:customStyle="1" w:styleId="MDPI72copyright">
    <w:name w:val="MDPI_7.2_copyright"/>
    <w:qFormat/>
    <w:rsid w:val="00370457"/>
    <w:pPr>
      <w:adjustRightInd w:val="0"/>
      <w:snapToGrid w:val="0"/>
      <w:spacing w:before="120" w:line="240" w:lineRule="atLeast"/>
      <w:ind w:right="113"/>
    </w:pPr>
    <w:rPr>
      <w:rFonts w:ascii="Palatino Linotype" w:eastAsia="Times New Roman" w:hAnsi="Palatino Linotype"/>
      <w:noProof/>
      <w:snapToGrid w:val="0"/>
      <w:color w:val="000000"/>
      <w:sz w:val="14"/>
      <w:lang w:val="en-GB" w:eastAsia="en-GB"/>
    </w:rPr>
  </w:style>
  <w:style w:type="table" w:customStyle="1" w:styleId="MDPItable">
    <w:name w:val="MDPI_table"/>
    <w:basedOn w:val="TableNormal"/>
    <w:uiPriority w:val="99"/>
    <w:rsid w:val="00D47EA5"/>
    <w:rPr>
      <w:rFonts w:ascii="Palatino Linotype" w:hAnsi="Palatino Linotype"/>
      <w:color w:val="000000"/>
      <w:lang w:val="en-CA" w:eastAsia="en-US"/>
    </w:rPr>
    <w:tblPr>
      <w:tblCellMar>
        <w:left w:w="0" w:type="dxa"/>
        <w:right w:w="0" w:type="dxa"/>
      </w:tblCellMar>
    </w:tblPr>
  </w:style>
  <w:style w:type="character" w:customStyle="1" w:styleId="apple-converted-space">
    <w:name w:val="apple-converted-space"/>
    <w:rsid w:val="00D47EA5"/>
  </w:style>
  <w:style w:type="paragraph" w:styleId="Bibliography">
    <w:name w:val="Bibliography"/>
    <w:basedOn w:val="Normal"/>
    <w:next w:val="Normal"/>
    <w:uiPriority w:val="37"/>
    <w:semiHidden/>
    <w:unhideWhenUsed/>
    <w:rsid w:val="00D47EA5"/>
  </w:style>
  <w:style w:type="paragraph" w:styleId="BodyText">
    <w:name w:val="Body Text"/>
    <w:link w:val="BodyTextChar"/>
    <w:rsid w:val="00D47EA5"/>
    <w:pPr>
      <w:spacing w:after="120" w:line="340" w:lineRule="atLeast"/>
      <w:jc w:val="both"/>
    </w:pPr>
    <w:rPr>
      <w:rFonts w:ascii="Palatino Linotype" w:hAnsi="Palatino Linotype"/>
      <w:color w:val="000000"/>
      <w:sz w:val="24"/>
      <w:lang w:eastAsia="de-DE"/>
    </w:rPr>
  </w:style>
  <w:style w:type="character" w:customStyle="1" w:styleId="BodyTextChar">
    <w:name w:val="Body Text Char"/>
    <w:link w:val="BodyText"/>
    <w:rsid w:val="00D47EA5"/>
    <w:rPr>
      <w:rFonts w:ascii="Palatino Linotype" w:hAnsi="Palatino Linotype"/>
      <w:color w:val="000000"/>
      <w:sz w:val="24"/>
      <w:lang w:eastAsia="de-DE"/>
    </w:rPr>
  </w:style>
  <w:style w:type="character" w:styleId="CommentReference">
    <w:name w:val="annotation reference"/>
    <w:rsid w:val="00D47EA5"/>
    <w:rPr>
      <w:sz w:val="21"/>
      <w:szCs w:val="21"/>
    </w:rPr>
  </w:style>
  <w:style w:type="paragraph" w:styleId="CommentText">
    <w:name w:val="annotation text"/>
    <w:basedOn w:val="Normal"/>
    <w:link w:val="CommentTextChar"/>
    <w:rsid w:val="00D47EA5"/>
  </w:style>
  <w:style w:type="character" w:customStyle="1" w:styleId="CommentTextChar">
    <w:name w:val="Comment Text Char"/>
    <w:link w:val="CommentText"/>
    <w:rsid w:val="00D47EA5"/>
    <w:rPr>
      <w:rFonts w:ascii="Palatino Linotype" w:hAnsi="Palatino Linotype"/>
      <w:noProof/>
      <w:color w:val="000000"/>
    </w:rPr>
  </w:style>
  <w:style w:type="paragraph" w:styleId="CommentSubject">
    <w:name w:val="annotation subject"/>
    <w:basedOn w:val="CommentText"/>
    <w:next w:val="CommentText"/>
    <w:link w:val="CommentSubjectChar"/>
    <w:rsid w:val="00D47EA5"/>
    <w:rPr>
      <w:b/>
      <w:bCs/>
    </w:rPr>
  </w:style>
  <w:style w:type="character" w:customStyle="1" w:styleId="CommentSubjectChar">
    <w:name w:val="Comment Subject Char"/>
    <w:link w:val="CommentSubject"/>
    <w:rsid w:val="00D47EA5"/>
    <w:rPr>
      <w:rFonts w:ascii="Palatino Linotype" w:hAnsi="Palatino Linotype"/>
      <w:b/>
      <w:bCs/>
      <w:noProof/>
      <w:color w:val="000000"/>
    </w:rPr>
  </w:style>
  <w:style w:type="character" w:styleId="EndnoteReference">
    <w:name w:val="endnote reference"/>
    <w:rsid w:val="00D47EA5"/>
    <w:rPr>
      <w:vertAlign w:val="superscript"/>
    </w:rPr>
  </w:style>
  <w:style w:type="paragraph" w:styleId="EndnoteText">
    <w:name w:val="endnote text"/>
    <w:basedOn w:val="Normal"/>
    <w:link w:val="EndnoteTextChar"/>
    <w:semiHidden/>
    <w:unhideWhenUsed/>
    <w:rsid w:val="00D47EA5"/>
    <w:pPr>
      <w:spacing w:line="240" w:lineRule="auto"/>
    </w:pPr>
  </w:style>
  <w:style w:type="character" w:customStyle="1" w:styleId="EndnoteTextChar">
    <w:name w:val="Endnote Text Char"/>
    <w:link w:val="EndnoteText"/>
    <w:semiHidden/>
    <w:rsid w:val="00D47EA5"/>
    <w:rPr>
      <w:rFonts w:ascii="Palatino Linotype" w:hAnsi="Palatino Linotype"/>
      <w:noProof/>
      <w:color w:val="000000"/>
    </w:rPr>
  </w:style>
  <w:style w:type="character" w:styleId="FollowedHyperlink">
    <w:name w:val="FollowedHyperlink"/>
    <w:rsid w:val="00D47EA5"/>
    <w:rPr>
      <w:color w:val="954F72"/>
      <w:u w:val="single"/>
    </w:rPr>
  </w:style>
  <w:style w:type="paragraph" w:styleId="FootnoteText">
    <w:name w:val="footnote text"/>
    <w:basedOn w:val="Normal"/>
    <w:link w:val="FootnoteTextChar"/>
    <w:semiHidden/>
    <w:unhideWhenUsed/>
    <w:rsid w:val="00D47EA5"/>
    <w:pPr>
      <w:spacing w:line="240" w:lineRule="auto"/>
    </w:pPr>
  </w:style>
  <w:style w:type="character" w:customStyle="1" w:styleId="FootnoteTextChar">
    <w:name w:val="Footnote Text Char"/>
    <w:link w:val="FootnoteText"/>
    <w:semiHidden/>
    <w:rsid w:val="00D47EA5"/>
    <w:rPr>
      <w:rFonts w:ascii="Palatino Linotype" w:hAnsi="Palatino Linotype"/>
      <w:noProof/>
      <w:color w:val="000000"/>
    </w:rPr>
  </w:style>
  <w:style w:type="paragraph" w:styleId="NormalWeb">
    <w:name w:val="Normal (Web)"/>
    <w:basedOn w:val="Normal"/>
    <w:uiPriority w:val="99"/>
    <w:rsid w:val="00D47EA5"/>
    <w:rPr>
      <w:szCs w:val="24"/>
    </w:rPr>
  </w:style>
  <w:style w:type="paragraph" w:customStyle="1" w:styleId="MsoFootnoteText0">
    <w:name w:val="MsoFootnoteText"/>
    <w:basedOn w:val="NormalWeb"/>
    <w:qFormat/>
    <w:rsid w:val="00D47EA5"/>
    <w:rPr>
      <w:rFonts w:ascii="Times New Roman" w:hAnsi="Times New Roman"/>
    </w:rPr>
  </w:style>
  <w:style w:type="character" w:styleId="PageNumber">
    <w:name w:val="page number"/>
    <w:rsid w:val="00D47EA5"/>
  </w:style>
  <w:style w:type="character" w:styleId="PlaceholderText">
    <w:name w:val="Placeholder Text"/>
    <w:uiPriority w:val="99"/>
    <w:rsid w:val="00D47EA5"/>
    <w:rPr>
      <w:color w:val="808080"/>
    </w:rPr>
  </w:style>
  <w:style w:type="paragraph" w:customStyle="1" w:styleId="MDPI71footnotes">
    <w:name w:val="MDPI_7.1_footnotes"/>
    <w:qFormat/>
    <w:rsid w:val="0020578D"/>
    <w:pPr>
      <w:numPr>
        <w:numId w:val="21"/>
      </w:numPr>
      <w:adjustRightInd w:val="0"/>
      <w:snapToGrid w:val="0"/>
      <w:spacing w:line="280" w:lineRule="atLeast"/>
    </w:pPr>
    <w:rPr>
      <w:rFonts w:ascii="Palatino Linotype" w:eastAsiaTheme="minorEastAsia" w:hAnsi="Palatino Linotype"/>
      <w:noProof/>
      <w:color w:val="000000"/>
      <w:sz w:val="18"/>
    </w:rPr>
  </w:style>
  <w:style w:type="character" w:customStyle="1" w:styleId="Heading2Char">
    <w:name w:val="Heading 2 Char"/>
    <w:basedOn w:val="DefaultParagraphFont"/>
    <w:link w:val="Heading2"/>
    <w:uiPriority w:val="2"/>
    <w:rsid w:val="00D83E29"/>
    <w:rPr>
      <w:rFonts w:ascii="Calibri Light" w:eastAsia="Calibri Light" w:hAnsi="Calibri Light" w:cs="Calibri Light"/>
      <w:color w:val="2F5496"/>
      <w:sz w:val="26"/>
      <w:szCs w:val="22"/>
      <w:lang w:eastAsia="en-US"/>
    </w:rPr>
  </w:style>
  <w:style w:type="character" w:customStyle="1" w:styleId="Heading3Char">
    <w:name w:val="Heading 3 Char"/>
    <w:basedOn w:val="DefaultParagraphFont"/>
    <w:link w:val="Heading3"/>
    <w:uiPriority w:val="9"/>
    <w:semiHidden/>
    <w:rsid w:val="00FC77C6"/>
    <w:rPr>
      <w:rFonts w:asciiTheme="majorHAnsi" w:eastAsiaTheme="majorEastAsia" w:hAnsiTheme="majorHAnsi" w:cstheme="majorBidi"/>
      <w:noProof/>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56927">
      <w:bodyDiv w:val="1"/>
      <w:marLeft w:val="0"/>
      <w:marRight w:val="0"/>
      <w:marTop w:val="0"/>
      <w:marBottom w:val="0"/>
      <w:divBdr>
        <w:top w:val="none" w:sz="0" w:space="0" w:color="auto"/>
        <w:left w:val="none" w:sz="0" w:space="0" w:color="auto"/>
        <w:bottom w:val="none" w:sz="0" w:space="0" w:color="auto"/>
        <w:right w:val="none" w:sz="0" w:space="0" w:color="auto"/>
      </w:divBdr>
      <w:divsChild>
        <w:div w:id="1054157398">
          <w:marLeft w:val="640"/>
          <w:marRight w:val="0"/>
          <w:marTop w:val="0"/>
          <w:marBottom w:val="0"/>
          <w:divBdr>
            <w:top w:val="none" w:sz="0" w:space="0" w:color="auto"/>
            <w:left w:val="none" w:sz="0" w:space="0" w:color="auto"/>
            <w:bottom w:val="none" w:sz="0" w:space="0" w:color="auto"/>
            <w:right w:val="none" w:sz="0" w:space="0" w:color="auto"/>
          </w:divBdr>
        </w:div>
        <w:div w:id="1589655480">
          <w:marLeft w:val="640"/>
          <w:marRight w:val="0"/>
          <w:marTop w:val="0"/>
          <w:marBottom w:val="0"/>
          <w:divBdr>
            <w:top w:val="none" w:sz="0" w:space="0" w:color="auto"/>
            <w:left w:val="none" w:sz="0" w:space="0" w:color="auto"/>
            <w:bottom w:val="none" w:sz="0" w:space="0" w:color="auto"/>
            <w:right w:val="none" w:sz="0" w:space="0" w:color="auto"/>
          </w:divBdr>
        </w:div>
        <w:div w:id="1704473172">
          <w:marLeft w:val="640"/>
          <w:marRight w:val="0"/>
          <w:marTop w:val="0"/>
          <w:marBottom w:val="0"/>
          <w:divBdr>
            <w:top w:val="none" w:sz="0" w:space="0" w:color="auto"/>
            <w:left w:val="none" w:sz="0" w:space="0" w:color="auto"/>
            <w:bottom w:val="none" w:sz="0" w:space="0" w:color="auto"/>
            <w:right w:val="none" w:sz="0" w:space="0" w:color="auto"/>
          </w:divBdr>
        </w:div>
        <w:div w:id="2062244846">
          <w:marLeft w:val="640"/>
          <w:marRight w:val="0"/>
          <w:marTop w:val="0"/>
          <w:marBottom w:val="0"/>
          <w:divBdr>
            <w:top w:val="none" w:sz="0" w:space="0" w:color="auto"/>
            <w:left w:val="none" w:sz="0" w:space="0" w:color="auto"/>
            <w:bottom w:val="none" w:sz="0" w:space="0" w:color="auto"/>
            <w:right w:val="none" w:sz="0" w:space="0" w:color="auto"/>
          </w:divBdr>
        </w:div>
        <w:div w:id="562105167">
          <w:marLeft w:val="640"/>
          <w:marRight w:val="0"/>
          <w:marTop w:val="0"/>
          <w:marBottom w:val="0"/>
          <w:divBdr>
            <w:top w:val="none" w:sz="0" w:space="0" w:color="auto"/>
            <w:left w:val="none" w:sz="0" w:space="0" w:color="auto"/>
            <w:bottom w:val="none" w:sz="0" w:space="0" w:color="auto"/>
            <w:right w:val="none" w:sz="0" w:space="0" w:color="auto"/>
          </w:divBdr>
        </w:div>
        <w:div w:id="1861048639">
          <w:marLeft w:val="640"/>
          <w:marRight w:val="0"/>
          <w:marTop w:val="0"/>
          <w:marBottom w:val="0"/>
          <w:divBdr>
            <w:top w:val="none" w:sz="0" w:space="0" w:color="auto"/>
            <w:left w:val="none" w:sz="0" w:space="0" w:color="auto"/>
            <w:bottom w:val="none" w:sz="0" w:space="0" w:color="auto"/>
            <w:right w:val="none" w:sz="0" w:space="0" w:color="auto"/>
          </w:divBdr>
        </w:div>
        <w:div w:id="1262493782">
          <w:marLeft w:val="640"/>
          <w:marRight w:val="0"/>
          <w:marTop w:val="0"/>
          <w:marBottom w:val="0"/>
          <w:divBdr>
            <w:top w:val="none" w:sz="0" w:space="0" w:color="auto"/>
            <w:left w:val="none" w:sz="0" w:space="0" w:color="auto"/>
            <w:bottom w:val="none" w:sz="0" w:space="0" w:color="auto"/>
            <w:right w:val="none" w:sz="0" w:space="0" w:color="auto"/>
          </w:divBdr>
        </w:div>
        <w:div w:id="328022953">
          <w:marLeft w:val="640"/>
          <w:marRight w:val="0"/>
          <w:marTop w:val="0"/>
          <w:marBottom w:val="0"/>
          <w:divBdr>
            <w:top w:val="none" w:sz="0" w:space="0" w:color="auto"/>
            <w:left w:val="none" w:sz="0" w:space="0" w:color="auto"/>
            <w:bottom w:val="none" w:sz="0" w:space="0" w:color="auto"/>
            <w:right w:val="none" w:sz="0" w:space="0" w:color="auto"/>
          </w:divBdr>
        </w:div>
        <w:div w:id="152110995">
          <w:marLeft w:val="640"/>
          <w:marRight w:val="0"/>
          <w:marTop w:val="0"/>
          <w:marBottom w:val="0"/>
          <w:divBdr>
            <w:top w:val="none" w:sz="0" w:space="0" w:color="auto"/>
            <w:left w:val="none" w:sz="0" w:space="0" w:color="auto"/>
            <w:bottom w:val="none" w:sz="0" w:space="0" w:color="auto"/>
            <w:right w:val="none" w:sz="0" w:space="0" w:color="auto"/>
          </w:divBdr>
        </w:div>
        <w:div w:id="1377509454">
          <w:marLeft w:val="640"/>
          <w:marRight w:val="0"/>
          <w:marTop w:val="0"/>
          <w:marBottom w:val="0"/>
          <w:divBdr>
            <w:top w:val="none" w:sz="0" w:space="0" w:color="auto"/>
            <w:left w:val="none" w:sz="0" w:space="0" w:color="auto"/>
            <w:bottom w:val="none" w:sz="0" w:space="0" w:color="auto"/>
            <w:right w:val="none" w:sz="0" w:space="0" w:color="auto"/>
          </w:divBdr>
        </w:div>
        <w:div w:id="105933627">
          <w:marLeft w:val="640"/>
          <w:marRight w:val="0"/>
          <w:marTop w:val="0"/>
          <w:marBottom w:val="0"/>
          <w:divBdr>
            <w:top w:val="none" w:sz="0" w:space="0" w:color="auto"/>
            <w:left w:val="none" w:sz="0" w:space="0" w:color="auto"/>
            <w:bottom w:val="none" w:sz="0" w:space="0" w:color="auto"/>
            <w:right w:val="none" w:sz="0" w:space="0" w:color="auto"/>
          </w:divBdr>
        </w:div>
        <w:div w:id="373426403">
          <w:marLeft w:val="640"/>
          <w:marRight w:val="0"/>
          <w:marTop w:val="0"/>
          <w:marBottom w:val="0"/>
          <w:divBdr>
            <w:top w:val="none" w:sz="0" w:space="0" w:color="auto"/>
            <w:left w:val="none" w:sz="0" w:space="0" w:color="auto"/>
            <w:bottom w:val="none" w:sz="0" w:space="0" w:color="auto"/>
            <w:right w:val="none" w:sz="0" w:space="0" w:color="auto"/>
          </w:divBdr>
        </w:div>
        <w:div w:id="1826051605">
          <w:marLeft w:val="640"/>
          <w:marRight w:val="0"/>
          <w:marTop w:val="0"/>
          <w:marBottom w:val="0"/>
          <w:divBdr>
            <w:top w:val="none" w:sz="0" w:space="0" w:color="auto"/>
            <w:left w:val="none" w:sz="0" w:space="0" w:color="auto"/>
            <w:bottom w:val="none" w:sz="0" w:space="0" w:color="auto"/>
            <w:right w:val="none" w:sz="0" w:space="0" w:color="auto"/>
          </w:divBdr>
        </w:div>
        <w:div w:id="138235110">
          <w:marLeft w:val="640"/>
          <w:marRight w:val="0"/>
          <w:marTop w:val="0"/>
          <w:marBottom w:val="0"/>
          <w:divBdr>
            <w:top w:val="none" w:sz="0" w:space="0" w:color="auto"/>
            <w:left w:val="none" w:sz="0" w:space="0" w:color="auto"/>
            <w:bottom w:val="none" w:sz="0" w:space="0" w:color="auto"/>
            <w:right w:val="none" w:sz="0" w:space="0" w:color="auto"/>
          </w:divBdr>
        </w:div>
        <w:div w:id="1905949501">
          <w:marLeft w:val="640"/>
          <w:marRight w:val="0"/>
          <w:marTop w:val="0"/>
          <w:marBottom w:val="0"/>
          <w:divBdr>
            <w:top w:val="none" w:sz="0" w:space="0" w:color="auto"/>
            <w:left w:val="none" w:sz="0" w:space="0" w:color="auto"/>
            <w:bottom w:val="none" w:sz="0" w:space="0" w:color="auto"/>
            <w:right w:val="none" w:sz="0" w:space="0" w:color="auto"/>
          </w:divBdr>
        </w:div>
        <w:div w:id="1886796694">
          <w:marLeft w:val="640"/>
          <w:marRight w:val="0"/>
          <w:marTop w:val="0"/>
          <w:marBottom w:val="0"/>
          <w:divBdr>
            <w:top w:val="none" w:sz="0" w:space="0" w:color="auto"/>
            <w:left w:val="none" w:sz="0" w:space="0" w:color="auto"/>
            <w:bottom w:val="none" w:sz="0" w:space="0" w:color="auto"/>
            <w:right w:val="none" w:sz="0" w:space="0" w:color="auto"/>
          </w:divBdr>
        </w:div>
        <w:div w:id="1433627137">
          <w:marLeft w:val="640"/>
          <w:marRight w:val="0"/>
          <w:marTop w:val="0"/>
          <w:marBottom w:val="0"/>
          <w:divBdr>
            <w:top w:val="none" w:sz="0" w:space="0" w:color="auto"/>
            <w:left w:val="none" w:sz="0" w:space="0" w:color="auto"/>
            <w:bottom w:val="none" w:sz="0" w:space="0" w:color="auto"/>
            <w:right w:val="none" w:sz="0" w:space="0" w:color="auto"/>
          </w:divBdr>
        </w:div>
        <w:div w:id="793213622">
          <w:marLeft w:val="640"/>
          <w:marRight w:val="0"/>
          <w:marTop w:val="0"/>
          <w:marBottom w:val="0"/>
          <w:divBdr>
            <w:top w:val="none" w:sz="0" w:space="0" w:color="auto"/>
            <w:left w:val="none" w:sz="0" w:space="0" w:color="auto"/>
            <w:bottom w:val="none" w:sz="0" w:space="0" w:color="auto"/>
            <w:right w:val="none" w:sz="0" w:space="0" w:color="auto"/>
          </w:divBdr>
        </w:div>
        <w:div w:id="414012521">
          <w:marLeft w:val="640"/>
          <w:marRight w:val="0"/>
          <w:marTop w:val="0"/>
          <w:marBottom w:val="0"/>
          <w:divBdr>
            <w:top w:val="none" w:sz="0" w:space="0" w:color="auto"/>
            <w:left w:val="none" w:sz="0" w:space="0" w:color="auto"/>
            <w:bottom w:val="none" w:sz="0" w:space="0" w:color="auto"/>
            <w:right w:val="none" w:sz="0" w:space="0" w:color="auto"/>
          </w:divBdr>
        </w:div>
        <w:div w:id="751508224">
          <w:marLeft w:val="640"/>
          <w:marRight w:val="0"/>
          <w:marTop w:val="0"/>
          <w:marBottom w:val="0"/>
          <w:divBdr>
            <w:top w:val="none" w:sz="0" w:space="0" w:color="auto"/>
            <w:left w:val="none" w:sz="0" w:space="0" w:color="auto"/>
            <w:bottom w:val="none" w:sz="0" w:space="0" w:color="auto"/>
            <w:right w:val="none" w:sz="0" w:space="0" w:color="auto"/>
          </w:divBdr>
        </w:div>
        <w:div w:id="172184981">
          <w:marLeft w:val="640"/>
          <w:marRight w:val="0"/>
          <w:marTop w:val="0"/>
          <w:marBottom w:val="0"/>
          <w:divBdr>
            <w:top w:val="none" w:sz="0" w:space="0" w:color="auto"/>
            <w:left w:val="none" w:sz="0" w:space="0" w:color="auto"/>
            <w:bottom w:val="none" w:sz="0" w:space="0" w:color="auto"/>
            <w:right w:val="none" w:sz="0" w:space="0" w:color="auto"/>
          </w:divBdr>
        </w:div>
        <w:div w:id="1936742097">
          <w:marLeft w:val="640"/>
          <w:marRight w:val="0"/>
          <w:marTop w:val="0"/>
          <w:marBottom w:val="0"/>
          <w:divBdr>
            <w:top w:val="none" w:sz="0" w:space="0" w:color="auto"/>
            <w:left w:val="none" w:sz="0" w:space="0" w:color="auto"/>
            <w:bottom w:val="none" w:sz="0" w:space="0" w:color="auto"/>
            <w:right w:val="none" w:sz="0" w:space="0" w:color="auto"/>
          </w:divBdr>
        </w:div>
        <w:div w:id="774250804">
          <w:marLeft w:val="640"/>
          <w:marRight w:val="0"/>
          <w:marTop w:val="0"/>
          <w:marBottom w:val="0"/>
          <w:divBdr>
            <w:top w:val="none" w:sz="0" w:space="0" w:color="auto"/>
            <w:left w:val="none" w:sz="0" w:space="0" w:color="auto"/>
            <w:bottom w:val="none" w:sz="0" w:space="0" w:color="auto"/>
            <w:right w:val="none" w:sz="0" w:space="0" w:color="auto"/>
          </w:divBdr>
        </w:div>
        <w:div w:id="749933604">
          <w:marLeft w:val="640"/>
          <w:marRight w:val="0"/>
          <w:marTop w:val="0"/>
          <w:marBottom w:val="0"/>
          <w:divBdr>
            <w:top w:val="none" w:sz="0" w:space="0" w:color="auto"/>
            <w:left w:val="none" w:sz="0" w:space="0" w:color="auto"/>
            <w:bottom w:val="none" w:sz="0" w:space="0" w:color="auto"/>
            <w:right w:val="none" w:sz="0" w:space="0" w:color="auto"/>
          </w:divBdr>
        </w:div>
        <w:div w:id="1447189640">
          <w:marLeft w:val="640"/>
          <w:marRight w:val="0"/>
          <w:marTop w:val="0"/>
          <w:marBottom w:val="0"/>
          <w:divBdr>
            <w:top w:val="none" w:sz="0" w:space="0" w:color="auto"/>
            <w:left w:val="none" w:sz="0" w:space="0" w:color="auto"/>
            <w:bottom w:val="none" w:sz="0" w:space="0" w:color="auto"/>
            <w:right w:val="none" w:sz="0" w:space="0" w:color="auto"/>
          </w:divBdr>
        </w:div>
        <w:div w:id="964696780">
          <w:marLeft w:val="640"/>
          <w:marRight w:val="0"/>
          <w:marTop w:val="0"/>
          <w:marBottom w:val="0"/>
          <w:divBdr>
            <w:top w:val="none" w:sz="0" w:space="0" w:color="auto"/>
            <w:left w:val="none" w:sz="0" w:space="0" w:color="auto"/>
            <w:bottom w:val="none" w:sz="0" w:space="0" w:color="auto"/>
            <w:right w:val="none" w:sz="0" w:space="0" w:color="auto"/>
          </w:divBdr>
        </w:div>
        <w:div w:id="1458178914">
          <w:marLeft w:val="640"/>
          <w:marRight w:val="0"/>
          <w:marTop w:val="0"/>
          <w:marBottom w:val="0"/>
          <w:divBdr>
            <w:top w:val="none" w:sz="0" w:space="0" w:color="auto"/>
            <w:left w:val="none" w:sz="0" w:space="0" w:color="auto"/>
            <w:bottom w:val="none" w:sz="0" w:space="0" w:color="auto"/>
            <w:right w:val="none" w:sz="0" w:space="0" w:color="auto"/>
          </w:divBdr>
        </w:div>
        <w:div w:id="1421564735">
          <w:marLeft w:val="640"/>
          <w:marRight w:val="0"/>
          <w:marTop w:val="0"/>
          <w:marBottom w:val="0"/>
          <w:divBdr>
            <w:top w:val="none" w:sz="0" w:space="0" w:color="auto"/>
            <w:left w:val="none" w:sz="0" w:space="0" w:color="auto"/>
            <w:bottom w:val="none" w:sz="0" w:space="0" w:color="auto"/>
            <w:right w:val="none" w:sz="0" w:space="0" w:color="auto"/>
          </w:divBdr>
        </w:div>
        <w:div w:id="1464931008">
          <w:marLeft w:val="640"/>
          <w:marRight w:val="0"/>
          <w:marTop w:val="0"/>
          <w:marBottom w:val="0"/>
          <w:divBdr>
            <w:top w:val="none" w:sz="0" w:space="0" w:color="auto"/>
            <w:left w:val="none" w:sz="0" w:space="0" w:color="auto"/>
            <w:bottom w:val="none" w:sz="0" w:space="0" w:color="auto"/>
            <w:right w:val="none" w:sz="0" w:space="0" w:color="auto"/>
          </w:divBdr>
        </w:div>
        <w:div w:id="1572930091">
          <w:marLeft w:val="640"/>
          <w:marRight w:val="0"/>
          <w:marTop w:val="0"/>
          <w:marBottom w:val="0"/>
          <w:divBdr>
            <w:top w:val="none" w:sz="0" w:space="0" w:color="auto"/>
            <w:left w:val="none" w:sz="0" w:space="0" w:color="auto"/>
            <w:bottom w:val="none" w:sz="0" w:space="0" w:color="auto"/>
            <w:right w:val="none" w:sz="0" w:space="0" w:color="auto"/>
          </w:divBdr>
        </w:div>
        <w:div w:id="1326399767">
          <w:marLeft w:val="640"/>
          <w:marRight w:val="0"/>
          <w:marTop w:val="0"/>
          <w:marBottom w:val="0"/>
          <w:divBdr>
            <w:top w:val="none" w:sz="0" w:space="0" w:color="auto"/>
            <w:left w:val="none" w:sz="0" w:space="0" w:color="auto"/>
            <w:bottom w:val="none" w:sz="0" w:space="0" w:color="auto"/>
            <w:right w:val="none" w:sz="0" w:space="0" w:color="auto"/>
          </w:divBdr>
        </w:div>
        <w:div w:id="2141804532">
          <w:marLeft w:val="640"/>
          <w:marRight w:val="0"/>
          <w:marTop w:val="0"/>
          <w:marBottom w:val="0"/>
          <w:divBdr>
            <w:top w:val="none" w:sz="0" w:space="0" w:color="auto"/>
            <w:left w:val="none" w:sz="0" w:space="0" w:color="auto"/>
            <w:bottom w:val="none" w:sz="0" w:space="0" w:color="auto"/>
            <w:right w:val="none" w:sz="0" w:space="0" w:color="auto"/>
          </w:divBdr>
        </w:div>
        <w:div w:id="1491291760">
          <w:marLeft w:val="640"/>
          <w:marRight w:val="0"/>
          <w:marTop w:val="0"/>
          <w:marBottom w:val="0"/>
          <w:divBdr>
            <w:top w:val="none" w:sz="0" w:space="0" w:color="auto"/>
            <w:left w:val="none" w:sz="0" w:space="0" w:color="auto"/>
            <w:bottom w:val="none" w:sz="0" w:space="0" w:color="auto"/>
            <w:right w:val="none" w:sz="0" w:space="0" w:color="auto"/>
          </w:divBdr>
        </w:div>
        <w:div w:id="1560480260">
          <w:marLeft w:val="640"/>
          <w:marRight w:val="0"/>
          <w:marTop w:val="0"/>
          <w:marBottom w:val="0"/>
          <w:divBdr>
            <w:top w:val="none" w:sz="0" w:space="0" w:color="auto"/>
            <w:left w:val="none" w:sz="0" w:space="0" w:color="auto"/>
            <w:bottom w:val="none" w:sz="0" w:space="0" w:color="auto"/>
            <w:right w:val="none" w:sz="0" w:space="0" w:color="auto"/>
          </w:divBdr>
        </w:div>
        <w:div w:id="808977429">
          <w:marLeft w:val="640"/>
          <w:marRight w:val="0"/>
          <w:marTop w:val="0"/>
          <w:marBottom w:val="0"/>
          <w:divBdr>
            <w:top w:val="none" w:sz="0" w:space="0" w:color="auto"/>
            <w:left w:val="none" w:sz="0" w:space="0" w:color="auto"/>
            <w:bottom w:val="none" w:sz="0" w:space="0" w:color="auto"/>
            <w:right w:val="none" w:sz="0" w:space="0" w:color="auto"/>
          </w:divBdr>
        </w:div>
        <w:div w:id="1321810217">
          <w:marLeft w:val="640"/>
          <w:marRight w:val="0"/>
          <w:marTop w:val="0"/>
          <w:marBottom w:val="0"/>
          <w:divBdr>
            <w:top w:val="none" w:sz="0" w:space="0" w:color="auto"/>
            <w:left w:val="none" w:sz="0" w:space="0" w:color="auto"/>
            <w:bottom w:val="none" w:sz="0" w:space="0" w:color="auto"/>
            <w:right w:val="none" w:sz="0" w:space="0" w:color="auto"/>
          </w:divBdr>
        </w:div>
        <w:div w:id="709837557">
          <w:marLeft w:val="640"/>
          <w:marRight w:val="0"/>
          <w:marTop w:val="0"/>
          <w:marBottom w:val="0"/>
          <w:divBdr>
            <w:top w:val="none" w:sz="0" w:space="0" w:color="auto"/>
            <w:left w:val="none" w:sz="0" w:space="0" w:color="auto"/>
            <w:bottom w:val="none" w:sz="0" w:space="0" w:color="auto"/>
            <w:right w:val="none" w:sz="0" w:space="0" w:color="auto"/>
          </w:divBdr>
        </w:div>
        <w:div w:id="341779373">
          <w:marLeft w:val="640"/>
          <w:marRight w:val="0"/>
          <w:marTop w:val="0"/>
          <w:marBottom w:val="0"/>
          <w:divBdr>
            <w:top w:val="none" w:sz="0" w:space="0" w:color="auto"/>
            <w:left w:val="none" w:sz="0" w:space="0" w:color="auto"/>
            <w:bottom w:val="none" w:sz="0" w:space="0" w:color="auto"/>
            <w:right w:val="none" w:sz="0" w:space="0" w:color="auto"/>
          </w:divBdr>
        </w:div>
        <w:div w:id="2025548789">
          <w:marLeft w:val="640"/>
          <w:marRight w:val="0"/>
          <w:marTop w:val="0"/>
          <w:marBottom w:val="0"/>
          <w:divBdr>
            <w:top w:val="none" w:sz="0" w:space="0" w:color="auto"/>
            <w:left w:val="none" w:sz="0" w:space="0" w:color="auto"/>
            <w:bottom w:val="none" w:sz="0" w:space="0" w:color="auto"/>
            <w:right w:val="none" w:sz="0" w:space="0" w:color="auto"/>
          </w:divBdr>
        </w:div>
        <w:div w:id="28186524">
          <w:marLeft w:val="640"/>
          <w:marRight w:val="0"/>
          <w:marTop w:val="0"/>
          <w:marBottom w:val="0"/>
          <w:divBdr>
            <w:top w:val="none" w:sz="0" w:space="0" w:color="auto"/>
            <w:left w:val="none" w:sz="0" w:space="0" w:color="auto"/>
            <w:bottom w:val="none" w:sz="0" w:space="0" w:color="auto"/>
            <w:right w:val="none" w:sz="0" w:space="0" w:color="auto"/>
          </w:divBdr>
        </w:div>
        <w:div w:id="595938893">
          <w:marLeft w:val="640"/>
          <w:marRight w:val="0"/>
          <w:marTop w:val="0"/>
          <w:marBottom w:val="0"/>
          <w:divBdr>
            <w:top w:val="none" w:sz="0" w:space="0" w:color="auto"/>
            <w:left w:val="none" w:sz="0" w:space="0" w:color="auto"/>
            <w:bottom w:val="none" w:sz="0" w:space="0" w:color="auto"/>
            <w:right w:val="none" w:sz="0" w:space="0" w:color="auto"/>
          </w:divBdr>
        </w:div>
        <w:div w:id="617951368">
          <w:marLeft w:val="640"/>
          <w:marRight w:val="0"/>
          <w:marTop w:val="0"/>
          <w:marBottom w:val="0"/>
          <w:divBdr>
            <w:top w:val="none" w:sz="0" w:space="0" w:color="auto"/>
            <w:left w:val="none" w:sz="0" w:space="0" w:color="auto"/>
            <w:bottom w:val="none" w:sz="0" w:space="0" w:color="auto"/>
            <w:right w:val="none" w:sz="0" w:space="0" w:color="auto"/>
          </w:divBdr>
        </w:div>
        <w:div w:id="438454132">
          <w:marLeft w:val="640"/>
          <w:marRight w:val="0"/>
          <w:marTop w:val="0"/>
          <w:marBottom w:val="0"/>
          <w:divBdr>
            <w:top w:val="none" w:sz="0" w:space="0" w:color="auto"/>
            <w:left w:val="none" w:sz="0" w:space="0" w:color="auto"/>
            <w:bottom w:val="none" w:sz="0" w:space="0" w:color="auto"/>
            <w:right w:val="none" w:sz="0" w:space="0" w:color="auto"/>
          </w:divBdr>
        </w:div>
        <w:div w:id="940529198">
          <w:marLeft w:val="640"/>
          <w:marRight w:val="0"/>
          <w:marTop w:val="0"/>
          <w:marBottom w:val="0"/>
          <w:divBdr>
            <w:top w:val="none" w:sz="0" w:space="0" w:color="auto"/>
            <w:left w:val="none" w:sz="0" w:space="0" w:color="auto"/>
            <w:bottom w:val="none" w:sz="0" w:space="0" w:color="auto"/>
            <w:right w:val="none" w:sz="0" w:space="0" w:color="auto"/>
          </w:divBdr>
        </w:div>
        <w:div w:id="1711494356">
          <w:marLeft w:val="640"/>
          <w:marRight w:val="0"/>
          <w:marTop w:val="0"/>
          <w:marBottom w:val="0"/>
          <w:divBdr>
            <w:top w:val="none" w:sz="0" w:space="0" w:color="auto"/>
            <w:left w:val="none" w:sz="0" w:space="0" w:color="auto"/>
            <w:bottom w:val="none" w:sz="0" w:space="0" w:color="auto"/>
            <w:right w:val="none" w:sz="0" w:space="0" w:color="auto"/>
          </w:divBdr>
        </w:div>
        <w:div w:id="957373071">
          <w:marLeft w:val="640"/>
          <w:marRight w:val="0"/>
          <w:marTop w:val="0"/>
          <w:marBottom w:val="0"/>
          <w:divBdr>
            <w:top w:val="none" w:sz="0" w:space="0" w:color="auto"/>
            <w:left w:val="none" w:sz="0" w:space="0" w:color="auto"/>
            <w:bottom w:val="none" w:sz="0" w:space="0" w:color="auto"/>
            <w:right w:val="none" w:sz="0" w:space="0" w:color="auto"/>
          </w:divBdr>
        </w:div>
        <w:div w:id="1302030660">
          <w:marLeft w:val="640"/>
          <w:marRight w:val="0"/>
          <w:marTop w:val="0"/>
          <w:marBottom w:val="0"/>
          <w:divBdr>
            <w:top w:val="none" w:sz="0" w:space="0" w:color="auto"/>
            <w:left w:val="none" w:sz="0" w:space="0" w:color="auto"/>
            <w:bottom w:val="none" w:sz="0" w:space="0" w:color="auto"/>
            <w:right w:val="none" w:sz="0" w:space="0" w:color="auto"/>
          </w:divBdr>
        </w:div>
        <w:div w:id="270630488">
          <w:marLeft w:val="640"/>
          <w:marRight w:val="0"/>
          <w:marTop w:val="0"/>
          <w:marBottom w:val="0"/>
          <w:divBdr>
            <w:top w:val="none" w:sz="0" w:space="0" w:color="auto"/>
            <w:left w:val="none" w:sz="0" w:space="0" w:color="auto"/>
            <w:bottom w:val="none" w:sz="0" w:space="0" w:color="auto"/>
            <w:right w:val="none" w:sz="0" w:space="0" w:color="auto"/>
          </w:divBdr>
        </w:div>
        <w:div w:id="495389375">
          <w:marLeft w:val="640"/>
          <w:marRight w:val="0"/>
          <w:marTop w:val="0"/>
          <w:marBottom w:val="0"/>
          <w:divBdr>
            <w:top w:val="none" w:sz="0" w:space="0" w:color="auto"/>
            <w:left w:val="none" w:sz="0" w:space="0" w:color="auto"/>
            <w:bottom w:val="none" w:sz="0" w:space="0" w:color="auto"/>
            <w:right w:val="none" w:sz="0" w:space="0" w:color="auto"/>
          </w:divBdr>
        </w:div>
        <w:div w:id="765616375">
          <w:marLeft w:val="640"/>
          <w:marRight w:val="0"/>
          <w:marTop w:val="0"/>
          <w:marBottom w:val="0"/>
          <w:divBdr>
            <w:top w:val="none" w:sz="0" w:space="0" w:color="auto"/>
            <w:left w:val="none" w:sz="0" w:space="0" w:color="auto"/>
            <w:bottom w:val="none" w:sz="0" w:space="0" w:color="auto"/>
            <w:right w:val="none" w:sz="0" w:space="0" w:color="auto"/>
          </w:divBdr>
        </w:div>
      </w:divsChild>
    </w:div>
    <w:div w:id="213394364">
      <w:bodyDiv w:val="1"/>
      <w:marLeft w:val="0"/>
      <w:marRight w:val="0"/>
      <w:marTop w:val="0"/>
      <w:marBottom w:val="0"/>
      <w:divBdr>
        <w:top w:val="none" w:sz="0" w:space="0" w:color="auto"/>
        <w:left w:val="none" w:sz="0" w:space="0" w:color="auto"/>
        <w:bottom w:val="none" w:sz="0" w:space="0" w:color="auto"/>
        <w:right w:val="none" w:sz="0" w:space="0" w:color="auto"/>
      </w:divBdr>
      <w:divsChild>
        <w:div w:id="226689458">
          <w:marLeft w:val="0"/>
          <w:marRight w:val="0"/>
          <w:marTop w:val="0"/>
          <w:marBottom w:val="0"/>
          <w:divBdr>
            <w:top w:val="none" w:sz="0" w:space="0" w:color="auto"/>
            <w:left w:val="none" w:sz="0" w:space="0" w:color="auto"/>
            <w:bottom w:val="none" w:sz="0" w:space="0" w:color="auto"/>
            <w:right w:val="none" w:sz="0" w:space="0" w:color="auto"/>
          </w:divBdr>
        </w:div>
        <w:div w:id="1989243150">
          <w:marLeft w:val="0"/>
          <w:marRight w:val="0"/>
          <w:marTop w:val="0"/>
          <w:marBottom w:val="0"/>
          <w:divBdr>
            <w:top w:val="none" w:sz="0" w:space="0" w:color="auto"/>
            <w:left w:val="none" w:sz="0" w:space="0" w:color="auto"/>
            <w:bottom w:val="none" w:sz="0" w:space="0" w:color="auto"/>
            <w:right w:val="none" w:sz="0" w:space="0" w:color="auto"/>
          </w:divBdr>
        </w:div>
        <w:div w:id="1563633027">
          <w:marLeft w:val="0"/>
          <w:marRight w:val="0"/>
          <w:marTop w:val="0"/>
          <w:marBottom w:val="0"/>
          <w:divBdr>
            <w:top w:val="none" w:sz="0" w:space="0" w:color="auto"/>
            <w:left w:val="none" w:sz="0" w:space="0" w:color="auto"/>
            <w:bottom w:val="none" w:sz="0" w:space="0" w:color="auto"/>
            <w:right w:val="none" w:sz="0" w:space="0" w:color="auto"/>
          </w:divBdr>
        </w:div>
        <w:div w:id="294257555">
          <w:marLeft w:val="0"/>
          <w:marRight w:val="0"/>
          <w:marTop w:val="0"/>
          <w:marBottom w:val="0"/>
          <w:divBdr>
            <w:top w:val="none" w:sz="0" w:space="0" w:color="auto"/>
            <w:left w:val="none" w:sz="0" w:space="0" w:color="auto"/>
            <w:bottom w:val="none" w:sz="0" w:space="0" w:color="auto"/>
            <w:right w:val="none" w:sz="0" w:space="0" w:color="auto"/>
          </w:divBdr>
        </w:div>
        <w:div w:id="539053777">
          <w:marLeft w:val="0"/>
          <w:marRight w:val="0"/>
          <w:marTop w:val="0"/>
          <w:marBottom w:val="0"/>
          <w:divBdr>
            <w:top w:val="none" w:sz="0" w:space="0" w:color="auto"/>
            <w:left w:val="none" w:sz="0" w:space="0" w:color="auto"/>
            <w:bottom w:val="none" w:sz="0" w:space="0" w:color="auto"/>
            <w:right w:val="none" w:sz="0" w:space="0" w:color="auto"/>
          </w:divBdr>
        </w:div>
        <w:div w:id="570040723">
          <w:marLeft w:val="0"/>
          <w:marRight w:val="0"/>
          <w:marTop w:val="0"/>
          <w:marBottom w:val="0"/>
          <w:divBdr>
            <w:top w:val="none" w:sz="0" w:space="0" w:color="auto"/>
            <w:left w:val="none" w:sz="0" w:space="0" w:color="auto"/>
            <w:bottom w:val="none" w:sz="0" w:space="0" w:color="auto"/>
            <w:right w:val="none" w:sz="0" w:space="0" w:color="auto"/>
          </w:divBdr>
        </w:div>
        <w:div w:id="2042657364">
          <w:marLeft w:val="0"/>
          <w:marRight w:val="0"/>
          <w:marTop w:val="0"/>
          <w:marBottom w:val="0"/>
          <w:divBdr>
            <w:top w:val="none" w:sz="0" w:space="0" w:color="auto"/>
            <w:left w:val="none" w:sz="0" w:space="0" w:color="auto"/>
            <w:bottom w:val="none" w:sz="0" w:space="0" w:color="auto"/>
            <w:right w:val="none" w:sz="0" w:space="0" w:color="auto"/>
          </w:divBdr>
        </w:div>
        <w:div w:id="2023312285">
          <w:marLeft w:val="0"/>
          <w:marRight w:val="0"/>
          <w:marTop w:val="0"/>
          <w:marBottom w:val="0"/>
          <w:divBdr>
            <w:top w:val="none" w:sz="0" w:space="0" w:color="auto"/>
            <w:left w:val="none" w:sz="0" w:space="0" w:color="auto"/>
            <w:bottom w:val="none" w:sz="0" w:space="0" w:color="auto"/>
            <w:right w:val="none" w:sz="0" w:space="0" w:color="auto"/>
          </w:divBdr>
        </w:div>
        <w:div w:id="73478409">
          <w:marLeft w:val="0"/>
          <w:marRight w:val="0"/>
          <w:marTop w:val="0"/>
          <w:marBottom w:val="0"/>
          <w:divBdr>
            <w:top w:val="none" w:sz="0" w:space="0" w:color="auto"/>
            <w:left w:val="none" w:sz="0" w:space="0" w:color="auto"/>
            <w:bottom w:val="none" w:sz="0" w:space="0" w:color="auto"/>
            <w:right w:val="none" w:sz="0" w:space="0" w:color="auto"/>
          </w:divBdr>
        </w:div>
        <w:div w:id="443160229">
          <w:marLeft w:val="0"/>
          <w:marRight w:val="0"/>
          <w:marTop w:val="0"/>
          <w:marBottom w:val="0"/>
          <w:divBdr>
            <w:top w:val="none" w:sz="0" w:space="0" w:color="auto"/>
            <w:left w:val="none" w:sz="0" w:space="0" w:color="auto"/>
            <w:bottom w:val="none" w:sz="0" w:space="0" w:color="auto"/>
            <w:right w:val="none" w:sz="0" w:space="0" w:color="auto"/>
          </w:divBdr>
        </w:div>
        <w:div w:id="1402630438">
          <w:marLeft w:val="0"/>
          <w:marRight w:val="0"/>
          <w:marTop w:val="0"/>
          <w:marBottom w:val="0"/>
          <w:divBdr>
            <w:top w:val="none" w:sz="0" w:space="0" w:color="auto"/>
            <w:left w:val="none" w:sz="0" w:space="0" w:color="auto"/>
            <w:bottom w:val="none" w:sz="0" w:space="0" w:color="auto"/>
            <w:right w:val="none" w:sz="0" w:space="0" w:color="auto"/>
          </w:divBdr>
        </w:div>
        <w:div w:id="2133162990">
          <w:marLeft w:val="0"/>
          <w:marRight w:val="0"/>
          <w:marTop w:val="0"/>
          <w:marBottom w:val="0"/>
          <w:divBdr>
            <w:top w:val="none" w:sz="0" w:space="0" w:color="auto"/>
            <w:left w:val="none" w:sz="0" w:space="0" w:color="auto"/>
            <w:bottom w:val="none" w:sz="0" w:space="0" w:color="auto"/>
            <w:right w:val="none" w:sz="0" w:space="0" w:color="auto"/>
          </w:divBdr>
        </w:div>
        <w:div w:id="131800699">
          <w:marLeft w:val="0"/>
          <w:marRight w:val="0"/>
          <w:marTop w:val="0"/>
          <w:marBottom w:val="0"/>
          <w:divBdr>
            <w:top w:val="none" w:sz="0" w:space="0" w:color="auto"/>
            <w:left w:val="none" w:sz="0" w:space="0" w:color="auto"/>
            <w:bottom w:val="none" w:sz="0" w:space="0" w:color="auto"/>
            <w:right w:val="none" w:sz="0" w:space="0" w:color="auto"/>
          </w:divBdr>
        </w:div>
        <w:div w:id="1110004591">
          <w:marLeft w:val="0"/>
          <w:marRight w:val="0"/>
          <w:marTop w:val="0"/>
          <w:marBottom w:val="0"/>
          <w:divBdr>
            <w:top w:val="none" w:sz="0" w:space="0" w:color="auto"/>
            <w:left w:val="none" w:sz="0" w:space="0" w:color="auto"/>
            <w:bottom w:val="none" w:sz="0" w:space="0" w:color="auto"/>
            <w:right w:val="none" w:sz="0" w:space="0" w:color="auto"/>
          </w:divBdr>
        </w:div>
        <w:div w:id="1977026">
          <w:marLeft w:val="0"/>
          <w:marRight w:val="0"/>
          <w:marTop w:val="0"/>
          <w:marBottom w:val="0"/>
          <w:divBdr>
            <w:top w:val="none" w:sz="0" w:space="0" w:color="auto"/>
            <w:left w:val="none" w:sz="0" w:space="0" w:color="auto"/>
            <w:bottom w:val="none" w:sz="0" w:space="0" w:color="auto"/>
            <w:right w:val="none" w:sz="0" w:space="0" w:color="auto"/>
          </w:divBdr>
        </w:div>
        <w:div w:id="1006396244">
          <w:marLeft w:val="0"/>
          <w:marRight w:val="0"/>
          <w:marTop w:val="0"/>
          <w:marBottom w:val="0"/>
          <w:divBdr>
            <w:top w:val="none" w:sz="0" w:space="0" w:color="auto"/>
            <w:left w:val="none" w:sz="0" w:space="0" w:color="auto"/>
            <w:bottom w:val="none" w:sz="0" w:space="0" w:color="auto"/>
            <w:right w:val="none" w:sz="0" w:space="0" w:color="auto"/>
          </w:divBdr>
        </w:div>
        <w:div w:id="2141604060">
          <w:marLeft w:val="0"/>
          <w:marRight w:val="0"/>
          <w:marTop w:val="0"/>
          <w:marBottom w:val="0"/>
          <w:divBdr>
            <w:top w:val="none" w:sz="0" w:space="0" w:color="auto"/>
            <w:left w:val="none" w:sz="0" w:space="0" w:color="auto"/>
            <w:bottom w:val="none" w:sz="0" w:space="0" w:color="auto"/>
            <w:right w:val="none" w:sz="0" w:space="0" w:color="auto"/>
          </w:divBdr>
        </w:div>
        <w:div w:id="810291144">
          <w:marLeft w:val="0"/>
          <w:marRight w:val="0"/>
          <w:marTop w:val="0"/>
          <w:marBottom w:val="0"/>
          <w:divBdr>
            <w:top w:val="none" w:sz="0" w:space="0" w:color="auto"/>
            <w:left w:val="none" w:sz="0" w:space="0" w:color="auto"/>
            <w:bottom w:val="none" w:sz="0" w:space="0" w:color="auto"/>
            <w:right w:val="none" w:sz="0" w:space="0" w:color="auto"/>
          </w:divBdr>
        </w:div>
        <w:div w:id="1197885853">
          <w:marLeft w:val="0"/>
          <w:marRight w:val="0"/>
          <w:marTop w:val="0"/>
          <w:marBottom w:val="0"/>
          <w:divBdr>
            <w:top w:val="none" w:sz="0" w:space="0" w:color="auto"/>
            <w:left w:val="none" w:sz="0" w:space="0" w:color="auto"/>
            <w:bottom w:val="none" w:sz="0" w:space="0" w:color="auto"/>
            <w:right w:val="none" w:sz="0" w:space="0" w:color="auto"/>
          </w:divBdr>
        </w:div>
        <w:div w:id="941181193">
          <w:marLeft w:val="0"/>
          <w:marRight w:val="0"/>
          <w:marTop w:val="0"/>
          <w:marBottom w:val="0"/>
          <w:divBdr>
            <w:top w:val="none" w:sz="0" w:space="0" w:color="auto"/>
            <w:left w:val="none" w:sz="0" w:space="0" w:color="auto"/>
            <w:bottom w:val="none" w:sz="0" w:space="0" w:color="auto"/>
            <w:right w:val="none" w:sz="0" w:space="0" w:color="auto"/>
          </w:divBdr>
        </w:div>
        <w:div w:id="1313871779">
          <w:marLeft w:val="0"/>
          <w:marRight w:val="0"/>
          <w:marTop w:val="0"/>
          <w:marBottom w:val="0"/>
          <w:divBdr>
            <w:top w:val="none" w:sz="0" w:space="0" w:color="auto"/>
            <w:left w:val="none" w:sz="0" w:space="0" w:color="auto"/>
            <w:bottom w:val="none" w:sz="0" w:space="0" w:color="auto"/>
            <w:right w:val="none" w:sz="0" w:space="0" w:color="auto"/>
          </w:divBdr>
        </w:div>
        <w:div w:id="250089794">
          <w:marLeft w:val="0"/>
          <w:marRight w:val="0"/>
          <w:marTop w:val="0"/>
          <w:marBottom w:val="0"/>
          <w:divBdr>
            <w:top w:val="none" w:sz="0" w:space="0" w:color="auto"/>
            <w:left w:val="none" w:sz="0" w:space="0" w:color="auto"/>
            <w:bottom w:val="none" w:sz="0" w:space="0" w:color="auto"/>
            <w:right w:val="none" w:sz="0" w:space="0" w:color="auto"/>
          </w:divBdr>
        </w:div>
        <w:div w:id="607464424">
          <w:marLeft w:val="0"/>
          <w:marRight w:val="0"/>
          <w:marTop w:val="0"/>
          <w:marBottom w:val="0"/>
          <w:divBdr>
            <w:top w:val="none" w:sz="0" w:space="0" w:color="auto"/>
            <w:left w:val="none" w:sz="0" w:space="0" w:color="auto"/>
            <w:bottom w:val="none" w:sz="0" w:space="0" w:color="auto"/>
            <w:right w:val="none" w:sz="0" w:space="0" w:color="auto"/>
          </w:divBdr>
        </w:div>
        <w:div w:id="651715550">
          <w:marLeft w:val="0"/>
          <w:marRight w:val="0"/>
          <w:marTop w:val="0"/>
          <w:marBottom w:val="0"/>
          <w:divBdr>
            <w:top w:val="none" w:sz="0" w:space="0" w:color="auto"/>
            <w:left w:val="none" w:sz="0" w:space="0" w:color="auto"/>
            <w:bottom w:val="none" w:sz="0" w:space="0" w:color="auto"/>
            <w:right w:val="none" w:sz="0" w:space="0" w:color="auto"/>
          </w:divBdr>
        </w:div>
        <w:div w:id="476528528">
          <w:marLeft w:val="0"/>
          <w:marRight w:val="0"/>
          <w:marTop w:val="0"/>
          <w:marBottom w:val="0"/>
          <w:divBdr>
            <w:top w:val="none" w:sz="0" w:space="0" w:color="auto"/>
            <w:left w:val="none" w:sz="0" w:space="0" w:color="auto"/>
            <w:bottom w:val="none" w:sz="0" w:space="0" w:color="auto"/>
            <w:right w:val="none" w:sz="0" w:space="0" w:color="auto"/>
          </w:divBdr>
        </w:div>
        <w:div w:id="161970551">
          <w:marLeft w:val="0"/>
          <w:marRight w:val="0"/>
          <w:marTop w:val="0"/>
          <w:marBottom w:val="0"/>
          <w:divBdr>
            <w:top w:val="none" w:sz="0" w:space="0" w:color="auto"/>
            <w:left w:val="none" w:sz="0" w:space="0" w:color="auto"/>
            <w:bottom w:val="none" w:sz="0" w:space="0" w:color="auto"/>
            <w:right w:val="none" w:sz="0" w:space="0" w:color="auto"/>
          </w:divBdr>
        </w:div>
        <w:div w:id="1884973687">
          <w:marLeft w:val="0"/>
          <w:marRight w:val="0"/>
          <w:marTop w:val="0"/>
          <w:marBottom w:val="0"/>
          <w:divBdr>
            <w:top w:val="none" w:sz="0" w:space="0" w:color="auto"/>
            <w:left w:val="none" w:sz="0" w:space="0" w:color="auto"/>
            <w:bottom w:val="none" w:sz="0" w:space="0" w:color="auto"/>
            <w:right w:val="none" w:sz="0" w:space="0" w:color="auto"/>
          </w:divBdr>
        </w:div>
        <w:div w:id="1938370487">
          <w:marLeft w:val="0"/>
          <w:marRight w:val="0"/>
          <w:marTop w:val="0"/>
          <w:marBottom w:val="0"/>
          <w:divBdr>
            <w:top w:val="none" w:sz="0" w:space="0" w:color="auto"/>
            <w:left w:val="none" w:sz="0" w:space="0" w:color="auto"/>
            <w:bottom w:val="none" w:sz="0" w:space="0" w:color="auto"/>
            <w:right w:val="none" w:sz="0" w:space="0" w:color="auto"/>
          </w:divBdr>
        </w:div>
        <w:div w:id="1502969663">
          <w:marLeft w:val="0"/>
          <w:marRight w:val="0"/>
          <w:marTop w:val="0"/>
          <w:marBottom w:val="0"/>
          <w:divBdr>
            <w:top w:val="none" w:sz="0" w:space="0" w:color="auto"/>
            <w:left w:val="none" w:sz="0" w:space="0" w:color="auto"/>
            <w:bottom w:val="none" w:sz="0" w:space="0" w:color="auto"/>
            <w:right w:val="none" w:sz="0" w:space="0" w:color="auto"/>
          </w:divBdr>
        </w:div>
        <w:div w:id="104011091">
          <w:marLeft w:val="0"/>
          <w:marRight w:val="0"/>
          <w:marTop w:val="0"/>
          <w:marBottom w:val="0"/>
          <w:divBdr>
            <w:top w:val="none" w:sz="0" w:space="0" w:color="auto"/>
            <w:left w:val="none" w:sz="0" w:space="0" w:color="auto"/>
            <w:bottom w:val="none" w:sz="0" w:space="0" w:color="auto"/>
            <w:right w:val="none" w:sz="0" w:space="0" w:color="auto"/>
          </w:divBdr>
        </w:div>
        <w:div w:id="858393842">
          <w:marLeft w:val="0"/>
          <w:marRight w:val="0"/>
          <w:marTop w:val="0"/>
          <w:marBottom w:val="0"/>
          <w:divBdr>
            <w:top w:val="none" w:sz="0" w:space="0" w:color="auto"/>
            <w:left w:val="none" w:sz="0" w:space="0" w:color="auto"/>
            <w:bottom w:val="none" w:sz="0" w:space="0" w:color="auto"/>
            <w:right w:val="none" w:sz="0" w:space="0" w:color="auto"/>
          </w:divBdr>
        </w:div>
        <w:div w:id="431434807">
          <w:marLeft w:val="0"/>
          <w:marRight w:val="0"/>
          <w:marTop w:val="0"/>
          <w:marBottom w:val="0"/>
          <w:divBdr>
            <w:top w:val="none" w:sz="0" w:space="0" w:color="auto"/>
            <w:left w:val="none" w:sz="0" w:space="0" w:color="auto"/>
            <w:bottom w:val="none" w:sz="0" w:space="0" w:color="auto"/>
            <w:right w:val="none" w:sz="0" w:space="0" w:color="auto"/>
          </w:divBdr>
        </w:div>
        <w:div w:id="572816724">
          <w:marLeft w:val="0"/>
          <w:marRight w:val="0"/>
          <w:marTop w:val="0"/>
          <w:marBottom w:val="0"/>
          <w:divBdr>
            <w:top w:val="none" w:sz="0" w:space="0" w:color="auto"/>
            <w:left w:val="none" w:sz="0" w:space="0" w:color="auto"/>
            <w:bottom w:val="none" w:sz="0" w:space="0" w:color="auto"/>
            <w:right w:val="none" w:sz="0" w:space="0" w:color="auto"/>
          </w:divBdr>
        </w:div>
        <w:div w:id="2102406000">
          <w:marLeft w:val="0"/>
          <w:marRight w:val="0"/>
          <w:marTop w:val="0"/>
          <w:marBottom w:val="0"/>
          <w:divBdr>
            <w:top w:val="none" w:sz="0" w:space="0" w:color="auto"/>
            <w:left w:val="none" w:sz="0" w:space="0" w:color="auto"/>
            <w:bottom w:val="none" w:sz="0" w:space="0" w:color="auto"/>
            <w:right w:val="none" w:sz="0" w:space="0" w:color="auto"/>
          </w:divBdr>
        </w:div>
        <w:div w:id="1280139445">
          <w:marLeft w:val="0"/>
          <w:marRight w:val="0"/>
          <w:marTop w:val="0"/>
          <w:marBottom w:val="0"/>
          <w:divBdr>
            <w:top w:val="none" w:sz="0" w:space="0" w:color="auto"/>
            <w:left w:val="none" w:sz="0" w:space="0" w:color="auto"/>
            <w:bottom w:val="none" w:sz="0" w:space="0" w:color="auto"/>
            <w:right w:val="none" w:sz="0" w:space="0" w:color="auto"/>
          </w:divBdr>
        </w:div>
        <w:div w:id="785084214">
          <w:marLeft w:val="0"/>
          <w:marRight w:val="0"/>
          <w:marTop w:val="0"/>
          <w:marBottom w:val="0"/>
          <w:divBdr>
            <w:top w:val="none" w:sz="0" w:space="0" w:color="auto"/>
            <w:left w:val="none" w:sz="0" w:space="0" w:color="auto"/>
            <w:bottom w:val="none" w:sz="0" w:space="0" w:color="auto"/>
            <w:right w:val="none" w:sz="0" w:space="0" w:color="auto"/>
          </w:divBdr>
        </w:div>
        <w:div w:id="1910460630">
          <w:marLeft w:val="0"/>
          <w:marRight w:val="0"/>
          <w:marTop w:val="0"/>
          <w:marBottom w:val="0"/>
          <w:divBdr>
            <w:top w:val="none" w:sz="0" w:space="0" w:color="auto"/>
            <w:left w:val="none" w:sz="0" w:space="0" w:color="auto"/>
            <w:bottom w:val="none" w:sz="0" w:space="0" w:color="auto"/>
            <w:right w:val="none" w:sz="0" w:space="0" w:color="auto"/>
          </w:divBdr>
        </w:div>
        <w:div w:id="508183665">
          <w:marLeft w:val="0"/>
          <w:marRight w:val="0"/>
          <w:marTop w:val="0"/>
          <w:marBottom w:val="0"/>
          <w:divBdr>
            <w:top w:val="none" w:sz="0" w:space="0" w:color="auto"/>
            <w:left w:val="none" w:sz="0" w:space="0" w:color="auto"/>
            <w:bottom w:val="none" w:sz="0" w:space="0" w:color="auto"/>
            <w:right w:val="none" w:sz="0" w:space="0" w:color="auto"/>
          </w:divBdr>
        </w:div>
        <w:div w:id="253435776">
          <w:marLeft w:val="0"/>
          <w:marRight w:val="0"/>
          <w:marTop w:val="0"/>
          <w:marBottom w:val="0"/>
          <w:divBdr>
            <w:top w:val="none" w:sz="0" w:space="0" w:color="auto"/>
            <w:left w:val="none" w:sz="0" w:space="0" w:color="auto"/>
            <w:bottom w:val="none" w:sz="0" w:space="0" w:color="auto"/>
            <w:right w:val="none" w:sz="0" w:space="0" w:color="auto"/>
          </w:divBdr>
        </w:div>
        <w:div w:id="1688018739">
          <w:marLeft w:val="0"/>
          <w:marRight w:val="0"/>
          <w:marTop w:val="0"/>
          <w:marBottom w:val="0"/>
          <w:divBdr>
            <w:top w:val="none" w:sz="0" w:space="0" w:color="auto"/>
            <w:left w:val="none" w:sz="0" w:space="0" w:color="auto"/>
            <w:bottom w:val="none" w:sz="0" w:space="0" w:color="auto"/>
            <w:right w:val="none" w:sz="0" w:space="0" w:color="auto"/>
          </w:divBdr>
        </w:div>
        <w:div w:id="365062395">
          <w:marLeft w:val="0"/>
          <w:marRight w:val="0"/>
          <w:marTop w:val="0"/>
          <w:marBottom w:val="0"/>
          <w:divBdr>
            <w:top w:val="none" w:sz="0" w:space="0" w:color="auto"/>
            <w:left w:val="none" w:sz="0" w:space="0" w:color="auto"/>
            <w:bottom w:val="none" w:sz="0" w:space="0" w:color="auto"/>
            <w:right w:val="none" w:sz="0" w:space="0" w:color="auto"/>
          </w:divBdr>
        </w:div>
        <w:div w:id="495341049">
          <w:marLeft w:val="0"/>
          <w:marRight w:val="0"/>
          <w:marTop w:val="0"/>
          <w:marBottom w:val="0"/>
          <w:divBdr>
            <w:top w:val="none" w:sz="0" w:space="0" w:color="auto"/>
            <w:left w:val="none" w:sz="0" w:space="0" w:color="auto"/>
            <w:bottom w:val="none" w:sz="0" w:space="0" w:color="auto"/>
            <w:right w:val="none" w:sz="0" w:space="0" w:color="auto"/>
          </w:divBdr>
        </w:div>
        <w:div w:id="480584025">
          <w:marLeft w:val="0"/>
          <w:marRight w:val="0"/>
          <w:marTop w:val="0"/>
          <w:marBottom w:val="0"/>
          <w:divBdr>
            <w:top w:val="none" w:sz="0" w:space="0" w:color="auto"/>
            <w:left w:val="none" w:sz="0" w:space="0" w:color="auto"/>
            <w:bottom w:val="none" w:sz="0" w:space="0" w:color="auto"/>
            <w:right w:val="none" w:sz="0" w:space="0" w:color="auto"/>
          </w:divBdr>
        </w:div>
        <w:div w:id="1699044818">
          <w:marLeft w:val="0"/>
          <w:marRight w:val="0"/>
          <w:marTop w:val="0"/>
          <w:marBottom w:val="0"/>
          <w:divBdr>
            <w:top w:val="none" w:sz="0" w:space="0" w:color="auto"/>
            <w:left w:val="none" w:sz="0" w:space="0" w:color="auto"/>
            <w:bottom w:val="none" w:sz="0" w:space="0" w:color="auto"/>
            <w:right w:val="none" w:sz="0" w:space="0" w:color="auto"/>
          </w:divBdr>
        </w:div>
        <w:div w:id="333923705">
          <w:marLeft w:val="0"/>
          <w:marRight w:val="0"/>
          <w:marTop w:val="0"/>
          <w:marBottom w:val="0"/>
          <w:divBdr>
            <w:top w:val="none" w:sz="0" w:space="0" w:color="auto"/>
            <w:left w:val="none" w:sz="0" w:space="0" w:color="auto"/>
            <w:bottom w:val="none" w:sz="0" w:space="0" w:color="auto"/>
            <w:right w:val="none" w:sz="0" w:space="0" w:color="auto"/>
          </w:divBdr>
        </w:div>
        <w:div w:id="798380099">
          <w:marLeft w:val="0"/>
          <w:marRight w:val="0"/>
          <w:marTop w:val="0"/>
          <w:marBottom w:val="0"/>
          <w:divBdr>
            <w:top w:val="none" w:sz="0" w:space="0" w:color="auto"/>
            <w:left w:val="none" w:sz="0" w:space="0" w:color="auto"/>
            <w:bottom w:val="none" w:sz="0" w:space="0" w:color="auto"/>
            <w:right w:val="none" w:sz="0" w:space="0" w:color="auto"/>
          </w:divBdr>
        </w:div>
        <w:div w:id="1626614986">
          <w:marLeft w:val="0"/>
          <w:marRight w:val="0"/>
          <w:marTop w:val="0"/>
          <w:marBottom w:val="0"/>
          <w:divBdr>
            <w:top w:val="none" w:sz="0" w:space="0" w:color="auto"/>
            <w:left w:val="none" w:sz="0" w:space="0" w:color="auto"/>
            <w:bottom w:val="none" w:sz="0" w:space="0" w:color="auto"/>
            <w:right w:val="none" w:sz="0" w:space="0" w:color="auto"/>
          </w:divBdr>
        </w:div>
        <w:div w:id="1470974470">
          <w:marLeft w:val="0"/>
          <w:marRight w:val="0"/>
          <w:marTop w:val="0"/>
          <w:marBottom w:val="0"/>
          <w:divBdr>
            <w:top w:val="none" w:sz="0" w:space="0" w:color="auto"/>
            <w:left w:val="none" w:sz="0" w:space="0" w:color="auto"/>
            <w:bottom w:val="none" w:sz="0" w:space="0" w:color="auto"/>
            <w:right w:val="none" w:sz="0" w:space="0" w:color="auto"/>
          </w:divBdr>
        </w:div>
        <w:div w:id="508569421">
          <w:marLeft w:val="0"/>
          <w:marRight w:val="0"/>
          <w:marTop w:val="0"/>
          <w:marBottom w:val="0"/>
          <w:divBdr>
            <w:top w:val="none" w:sz="0" w:space="0" w:color="auto"/>
            <w:left w:val="none" w:sz="0" w:space="0" w:color="auto"/>
            <w:bottom w:val="none" w:sz="0" w:space="0" w:color="auto"/>
            <w:right w:val="none" w:sz="0" w:space="0" w:color="auto"/>
          </w:divBdr>
        </w:div>
        <w:div w:id="149174108">
          <w:marLeft w:val="0"/>
          <w:marRight w:val="0"/>
          <w:marTop w:val="0"/>
          <w:marBottom w:val="0"/>
          <w:divBdr>
            <w:top w:val="none" w:sz="0" w:space="0" w:color="auto"/>
            <w:left w:val="none" w:sz="0" w:space="0" w:color="auto"/>
            <w:bottom w:val="none" w:sz="0" w:space="0" w:color="auto"/>
            <w:right w:val="none" w:sz="0" w:space="0" w:color="auto"/>
          </w:divBdr>
        </w:div>
      </w:divsChild>
    </w:div>
    <w:div w:id="240531119">
      <w:bodyDiv w:val="1"/>
      <w:marLeft w:val="0"/>
      <w:marRight w:val="0"/>
      <w:marTop w:val="0"/>
      <w:marBottom w:val="0"/>
      <w:divBdr>
        <w:top w:val="none" w:sz="0" w:space="0" w:color="auto"/>
        <w:left w:val="none" w:sz="0" w:space="0" w:color="auto"/>
        <w:bottom w:val="none" w:sz="0" w:space="0" w:color="auto"/>
        <w:right w:val="none" w:sz="0" w:space="0" w:color="auto"/>
      </w:divBdr>
      <w:divsChild>
        <w:div w:id="1206868343">
          <w:marLeft w:val="640"/>
          <w:marRight w:val="0"/>
          <w:marTop w:val="0"/>
          <w:marBottom w:val="0"/>
          <w:divBdr>
            <w:top w:val="none" w:sz="0" w:space="0" w:color="auto"/>
            <w:left w:val="none" w:sz="0" w:space="0" w:color="auto"/>
            <w:bottom w:val="none" w:sz="0" w:space="0" w:color="auto"/>
            <w:right w:val="none" w:sz="0" w:space="0" w:color="auto"/>
          </w:divBdr>
        </w:div>
        <w:div w:id="378089107">
          <w:marLeft w:val="640"/>
          <w:marRight w:val="0"/>
          <w:marTop w:val="0"/>
          <w:marBottom w:val="0"/>
          <w:divBdr>
            <w:top w:val="none" w:sz="0" w:space="0" w:color="auto"/>
            <w:left w:val="none" w:sz="0" w:space="0" w:color="auto"/>
            <w:bottom w:val="none" w:sz="0" w:space="0" w:color="auto"/>
            <w:right w:val="none" w:sz="0" w:space="0" w:color="auto"/>
          </w:divBdr>
        </w:div>
        <w:div w:id="363217129">
          <w:marLeft w:val="640"/>
          <w:marRight w:val="0"/>
          <w:marTop w:val="0"/>
          <w:marBottom w:val="0"/>
          <w:divBdr>
            <w:top w:val="none" w:sz="0" w:space="0" w:color="auto"/>
            <w:left w:val="none" w:sz="0" w:space="0" w:color="auto"/>
            <w:bottom w:val="none" w:sz="0" w:space="0" w:color="auto"/>
            <w:right w:val="none" w:sz="0" w:space="0" w:color="auto"/>
          </w:divBdr>
        </w:div>
        <w:div w:id="1561281191">
          <w:marLeft w:val="640"/>
          <w:marRight w:val="0"/>
          <w:marTop w:val="0"/>
          <w:marBottom w:val="0"/>
          <w:divBdr>
            <w:top w:val="none" w:sz="0" w:space="0" w:color="auto"/>
            <w:left w:val="none" w:sz="0" w:space="0" w:color="auto"/>
            <w:bottom w:val="none" w:sz="0" w:space="0" w:color="auto"/>
            <w:right w:val="none" w:sz="0" w:space="0" w:color="auto"/>
          </w:divBdr>
        </w:div>
        <w:div w:id="2071995374">
          <w:marLeft w:val="640"/>
          <w:marRight w:val="0"/>
          <w:marTop w:val="0"/>
          <w:marBottom w:val="0"/>
          <w:divBdr>
            <w:top w:val="none" w:sz="0" w:space="0" w:color="auto"/>
            <w:left w:val="none" w:sz="0" w:space="0" w:color="auto"/>
            <w:bottom w:val="none" w:sz="0" w:space="0" w:color="auto"/>
            <w:right w:val="none" w:sz="0" w:space="0" w:color="auto"/>
          </w:divBdr>
        </w:div>
        <w:div w:id="18091883">
          <w:marLeft w:val="640"/>
          <w:marRight w:val="0"/>
          <w:marTop w:val="0"/>
          <w:marBottom w:val="0"/>
          <w:divBdr>
            <w:top w:val="none" w:sz="0" w:space="0" w:color="auto"/>
            <w:left w:val="none" w:sz="0" w:space="0" w:color="auto"/>
            <w:bottom w:val="none" w:sz="0" w:space="0" w:color="auto"/>
            <w:right w:val="none" w:sz="0" w:space="0" w:color="auto"/>
          </w:divBdr>
        </w:div>
        <w:div w:id="1084961090">
          <w:marLeft w:val="640"/>
          <w:marRight w:val="0"/>
          <w:marTop w:val="0"/>
          <w:marBottom w:val="0"/>
          <w:divBdr>
            <w:top w:val="none" w:sz="0" w:space="0" w:color="auto"/>
            <w:left w:val="none" w:sz="0" w:space="0" w:color="auto"/>
            <w:bottom w:val="none" w:sz="0" w:space="0" w:color="auto"/>
            <w:right w:val="none" w:sz="0" w:space="0" w:color="auto"/>
          </w:divBdr>
        </w:div>
        <w:div w:id="1399551530">
          <w:marLeft w:val="640"/>
          <w:marRight w:val="0"/>
          <w:marTop w:val="0"/>
          <w:marBottom w:val="0"/>
          <w:divBdr>
            <w:top w:val="none" w:sz="0" w:space="0" w:color="auto"/>
            <w:left w:val="none" w:sz="0" w:space="0" w:color="auto"/>
            <w:bottom w:val="none" w:sz="0" w:space="0" w:color="auto"/>
            <w:right w:val="none" w:sz="0" w:space="0" w:color="auto"/>
          </w:divBdr>
        </w:div>
        <w:div w:id="2074892967">
          <w:marLeft w:val="640"/>
          <w:marRight w:val="0"/>
          <w:marTop w:val="0"/>
          <w:marBottom w:val="0"/>
          <w:divBdr>
            <w:top w:val="none" w:sz="0" w:space="0" w:color="auto"/>
            <w:left w:val="none" w:sz="0" w:space="0" w:color="auto"/>
            <w:bottom w:val="none" w:sz="0" w:space="0" w:color="auto"/>
            <w:right w:val="none" w:sz="0" w:space="0" w:color="auto"/>
          </w:divBdr>
        </w:div>
        <w:div w:id="1948124832">
          <w:marLeft w:val="640"/>
          <w:marRight w:val="0"/>
          <w:marTop w:val="0"/>
          <w:marBottom w:val="0"/>
          <w:divBdr>
            <w:top w:val="none" w:sz="0" w:space="0" w:color="auto"/>
            <w:left w:val="none" w:sz="0" w:space="0" w:color="auto"/>
            <w:bottom w:val="none" w:sz="0" w:space="0" w:color="auto"/>
            <w:right w:val="none" w:sz="0" w:space="0" w:color="auto"/>
          </w:divBdr>
        </w:div>
        <w:div w:id="1850413170">
          <w:marLeft w:val="640"/>
          <w:marRight w:val="0"/>
          <w:marTop w:val="0"/>
          <w:marBottom w:val="0"/>
          <w:divBdr>
            <w:top w:val="none" w:sz="0" w:space="0" w:color="auto"/>
            <w:left w:val="none" w:sz="0" w:space="0" w:color="auto"/>
            <w:bottom w:val="none" w:sz="0" w:space="0" w:color="auto"/>
            <w:right w:val="none" w:sz="0" w:space="0" w:color="auto"/>
          </w:divBdr>
        </w:div>
        <w:div w:id="1064178244">
          <w:marLeft w:val="640"/>
          <w:marRight w:val="0"/>
          <w:marTop w:val="0"/>
          <w:marBottom w:val="0"/>
          <w:divBdr>
            <w:top w:val="none" w:sz="0" w:space="0" w:color="auto"/>
            <w:left w:val="none" w:sz="0" w:space="0" w:color="auto"/>
            <w:bottom w:val="none" w:sz="0" w:space="0" w:color="auto"/>
            <w:right w:val="none" w:sz="0" w:space="0" w:color="auto"/>
          </w:divBdr>
        </w:div>
        <w:div w:id="848065790">
          <w:marLeft w:val="640"/>
          <w:marRight w:val="0"/>
          <w:marTop w:val="0"/>
          <w:marBottom w:val="0"/>
          <w:divBdr>
            <w:top w:val="none" w:sz="0" w:space="0" w:color="auto"/>
            <w:left w:val="none" w:sz="0" w:space="0" w:color="auto"/>
            <w:bottom w:val="none" w:sz="0" w:space="0" w:color="auto"/>
            <w:right w:val="none" w:sz="0" w:space="0" w:color="auto"/>
          </w:divBdr>
        </w:div>
        <w:div w:id="2031563542">
          <w:marLeft w:val="640"/>
          <w:marRight w:val="0"/>
          <w:marTop w:val="0"/>
          <w:marBottom w:val="0"/>
          <w:divBdr>
            <w:top w:val="none" w:sz="0" w:space="0" w:color="auto"/>
            <w:left w:val="none" w:sz="0" w:space="0" w:color="auto"/>
            <w:bottom w:val="none" w:sz="0" w:space="0" w:color="auto"/>
            <w:right w:val="none" w:sz="0" w:space="0" w:color="auto"/>
          </w:divBdr>
        </w:div>
        <w:div w:id="1518499269">
          <w:marLeft w:val="640"/>
          <w:marRight w:val="0"/>
          <w:marTop w:val="0"/>
          <w:marBottom w:val="0"/>
          <w:divBdr>
            <w:top w:val="none" w:sz="0" w:space="0" w:color="auto"/>
            <w:left w:val="none" w:sz="0" w:space="0" w:color="auto"/>
            <w:bottom w:val="none" w:sz="0" w:space="0" w:color="auto"/>
            <w:right w:val="none" w:sz="0" w:space="0" w:color="auto"/>
          </w:divBdr>
        </w:div>
        <w:div w:id="873663068">
          <w:marLeft w:val="640"/>
          <w:marRight w:val="0"/>
          <w:marTop w:val="0"/>
          <w:marBottom w:val="0"/>
          <w:divBdr>
            <w:top w:val="none" w:sz="0" w:space="0" w:color="auto"/>
            <w:left w:val="none" w:sz="0" w:space="0" w:color="auto"/>
            <w:bottom w:val="none" w:sz="0" w:space="0" w:color="auto"/>
            <w:right w:val="none" w:sz="0" w:space="0" w:color="auto"/>
          </w:divBdr>
        </w:div>
        <w:div w:id="1662466202">
          <w:marLeft w:val="640"/>
          <w:marRight w:val="0"/>
          <w:marTop w:val="0"/>
          <w:marBottom w:val="0"/>
          <w:divBdr>
            <w:top w:val="none" w:sz="0" w:space="0" w:color="auto"/>
            <w:left w:val="none" w:sz="0" w:space="0" w:color="auto"/>
            <w:bottom w:val="none" w:sz="0" w:space="0" w:color="auto"/>
            <w:right w:val="none" w:sz="0" w:space="0" w:color="auto"/>
          </w:divBdr>
        </w:div>
        <w:div w:id="1589079495">
          <w:marLeft w:val="640"/>
          <w:marRight w:val="0"/>
          <w:marTop w:val="0"/>
          <w:marBottom w:val="0"/>
          <w:divBdr>
            <w:top w:val="none" w:sz="0" w:space="0" w:color="auto"/>
            <w:left w:val="none" w:sz="0" w:space="0" w:color="auto"/>
            <w:bottom w:val="none" w:sz="0" w:space="0" w:color="auto"/>
            <w:right w:val="none" w:sz="0" w:space="0" w:color="auto"/>
          </w:divBdr>
        </w:div>
        <w:div w:id="44641904">
          <w:marLeft w:val="640"/>
          <w:marRight w:val="0"/>
          <w:marTop w:val="0"/>
          <w:marBottom w:val="0"/>
          <w:divBdr>
            <w:top w:val="none" w:sz="0" w:space="0" w:color="auto"/>
            <w:left w:val="none" w:sz="0" w:space="0" w:color="auto"/>
            <w:bottom w:val="none" w:sz="0" w:space="0" w:color="auto"/>
            <w:right w:val="none" w:sz="0" w:space="0" w:color="auto"/>
          </w:divBdr>
        </w:div>
        <w:div w:id="2004552927">
          <w:marLeft w:val="640"/>
          <w:marRight w:val="0"/>
          <w:marTop w:val="0"/>
          <w:marBottom w:val="0"/>
          <w:divBdr>
            <w:top w:val="none" w:sz="0" w:space="0" w:color="auto"/>
            <w:left w:val="none" w:sz="0" w:space="0" w:color="auto"/>
            <w:bottom w:val="none" w:sz="0" w:space="0" w:color="auto"/>
            <w:right w:val="none" w:sz="0" w:space="0" w:color="auto"/>
          </w:divBdr>
        </w:div>
        <w:div w:id="1730153772">
          <w:marLeft w:val="640"/>
          <w:marRight w:val="0"/>
          <w:marTop w:val="0"/>
          <w:marBottom w:val="0"/>
          <w:divBdr>
            <w:top w:val="none" w:sz="0" w:space="0" w:color="auto"/>
            <w:left w:val="none" w:sz="0" w:space="0" w:color="auto"/>
            <w:bottom w:val="none" w:sz="0" w:space="0" w:color="auto"/>
            <w:right w:val="none" w:sz="0" w:space="0" w:color="auto"/>
          </w:divBdr>
        </w:div>
        <w:div w:id="662205187">
          <w:marLeft w:val="640"/>
          <w:marRight w:val="0"/>
          <w:marTop w:val="0"/>
          <w:marBottom w:val="0"/>
          <w:divBdr>
            <w:top w:val="none" w:sz="0" w:space="0" w:color="auto"/>
            <w:left w:val="none" w:sz="0" w:space="0" w:color="auto"/>
            <w:bottom w:val="none" w:sz="0" w:space="0" w:color="auto"/>
            <w:right w:val="none" w:sz="0" w:space="0" w:color="auto"/>
          </w:divBdr>
        </w:div>
        <w:div w:id="669912329">
          <w:marLeft w:val="640"/>
          <w:marRight w:val="0"/>
          <w:marTop w:val="0"/>
          <w:marBottom w:val="0"/>
          <w:divBdr>
            <w:top w:val="none" w:sz="0" w:space="0" w:color="auto"/>
            <w:left w:val="none" w:sz="0" w:space="0" w:color="auto"/>
            <w:bottom w:val="none" w:sz="0" w:space="0" w:color="auto"/>
            <w:right w:val="none" w:sz="0" w:space="0" w:color="auto"/>
          </w:divBdr>
        </w:div>
        <w:div w:id="1860699861">
          <w:marLeft w:val="640"/>
          <w:marRight w:val="0"/>
          <w:marTop w:val="0"/>
          <w:marBottom w:val="0"/>
          <w:divBdr>
            <w:top w:val="none" w:sz="0" w:space="0" w:color="auto"/>
            <w:left w:val="none" w:sz="0" w:space="0" w:color="auto"/>
            <w:bottom w:val="none" w:sz="0" w:space="0" w:color="auto"/>
            <w:right w:val="none" w:sz="0" w:space="0" w:color="auto"/>
          </w:divBdr>
        </w:div>
        <w:div w:id="250088216">
          <w:marLeft w:val="640"/>
          <w:marRight w:val="0"/>
          <w:marTop w:val="0"/>
          <w:marBottom w:val="0"/>
          <w:divBdr>
            <w:top w:val="none" w:sz="0" w:space="0" w:color="auto"/>
            <w:left w:val="none" w:sz="0" w:space="0" w:color="auto"/>
            <w:bottom w:val="none" w:sz="0" w:space="0" w:color="auto"/>
            <w:right w:val="none" w:sz="0" w:space="0" w:color="auto"/>
          </w:divBdr>
        </w:div>
        <w:div w:id="1695418116">
          <w:marLeft w:val="640"/>
          <w:marRight w:val="0"/>
          <w:marTop w:val="0"/>
          <w:marBottom w:val="0"/>
          <w:divBdr>
            <w:top w:val="none" w:sz="0" w:space="0" w:color="auto"/>
            <w:left w:val="none" w:sz="0" w:space="0" w:color="auto"/>
            <w:bottom w:val="none" w:sz="0" w:space="0" w:color="auto"/>
            <w:right w:val="none" w:sz="0" w:space="0" w:color="auto"/>
          </w:divBdr>
        </w:div>
        <w:div w:id="2097749582">
          <w:marLeft w:val="640"/>
          <w:marRight w:val="0"/>
          <w:marTop w:val="0"/>
          <w:marBottom w:val="0"/>
          <w:divBdr>
            <w:top w:val="none" w:sz="0" w:space="0" w:color="auto"/>
            <w:left w:val="none" w:sz="0" w:space="0" w:color="auto"/>
            <w:bottom w:val="none" w:sz="0" w:space="0" w:color="auto"/>
            <w:right w:val="none" w:sz="0" w:space="0" w:color="auto"/>
          </w:divBdr>
        </w:div>
        <w:div w:id="1889415173">
          <w:marLeft w:val="640"/>
          <w:marRight w:val="0"/>
          <w:marTop w:val="0"/>
          <w:marBottom w:val="0"/>
          <w:divBdr>
            <w:top w:val="none" w:sz="0" w:space="0" w:color="auto"/>
            <w:left w:val="none" w:sz="0" w:space="0" w:color="auto"/>
            <w:bottom w:val="none" w:sz="0" w:space="0" w:color="auto"/>
            <w:right w:val="none" w:sz="0" w:space="0" w:color="auto"/>
          </w:divBdr>
        </w:div>
        <w:div w:id="805705265">
          <w:marLeft w:val="640"/>
          <w:marRight w:val="0"/>
          <w:marTop w:val="0"/>
          <w:marBottom w:val="0"/>
          <w:divBdr>
            <w:top w:val="none" w:sz="0" w:space="0" w:color="auto"/>
            <w:left w:val="none" w:sz="0" w:space="0" w:color="auto"/>
            <w:bottom w:val="none" w:sz="0" w:space="0" w:color="auto"/>
            <w:right w:val="none" w:sz="0" w:space="0" w:color="auto"/>
          </w:divBdr>
        </w:div>
        <w:div w:id="1522205084">
          <w:marLeft w:val="640"/>
          <w:marRight w:val="0"/>
          <w:marTop w:val="0"/>
          <w:marBottom w:val="0"/>
          <w:divBdr>
            <w:top w:val="none" w:sz="0" w:space="0" w:color="auto"/>
            <w:left w:val="none" w:sz="0" w:space="0" w:color="auto"/>
            <w:bottom w:val="none" w:sz="0" w:space="0" w:color="auto"/>
            <w:right w:val="none" w:sz="0" w:space="0" w:color="auto"/>
          </w:divBdr>
        </w:div>
        <w:div w:id="529221614">
          <w:marLeft w:val="640"/>
          <w:marRight w:val="0"/>
          <w:marTop w:val="0"/>
          <w:marBottom w:val="0"/>
          <w:divBdr>
            <w:top w:val="none" w:sz="0" w:space="0" w:color="auto"/>
            <w:left w:val="none" w:sz="0" w:space="0" w:color="auto"/>
            <w:bottom w:val="none" w:sz="0" w:space="0" w:color="auto"/>
            <w:right w:val="none" w:sz="0" w:space="0" w:color="auto"/>
          </w:divBdr>
        </w:div>
        <w:div w:id="1773931742">
          <w:marLeft w:val="640"/>
          <w:marRight w:val="0"/>
          <w:marTop w:val="0"/>
          <w:marBottom w:val="0"/>
          <w:divBdr>
            <w:top w:val="none" w:sz="0" w:space="0" w:color="auto"/>
            <w:left w:val="none" w:sz="0" w:space="0" w:color="auto"/>
            <w:bottom w:val="none" w:sz="0" w:space="0" w:color="auto"/>
            <w:right w:val="none" w:sz="0" w:space="0" w:color="auto"/>
          </w:divBdr>
        </w:div>
        <w:div w:id="1714042863">
          <w:marLeft w:val="640"/>
          <w:marRight w:val="0"/>
          <w:marTop w:val="0"/>
          <w:marBottom w:val="0"/>
          <w:divBdr>
            <w:top w:val="none" w:sz="0" w:space="0" w:color="auto"/>
            <w:left w:val="none" w:sz="0" w:space="0" w:color="auto"/>
            <w:bottom w:val="none" w:sz="0" w:space="0" w:color="auto"/>
            <w:right w:val="none" w:sz="0" w:space="0" w:color="auto"/>
          </w:divBdr>
        </w:div>
        <w:div w:id="1992635756">
          <w:marLeft w:val="640"/>
          <w:marRight w:val="0"/>
          <w:marTop w:val="0"/>
          <w:marBottom w:val="0"/>
          <w:divBdr>
            <w:top w:val="none" w:sz="0" w:space="0" w:color="auto"/>
            <w:left w:val="none" w:sz="0" w:space="0" w:color="auto"/>
            <w:bottom w:val="none" w:sz="0" w:space="0" w:color="auto"/>
            <w:right w:val="none" w:sz="0" w:space="0" w:color="auto"/>
          </w:divBdr>
        </w:div>
        <w:div w:id="745305530">
          <w:marLeft w:val="640"/>
          <w:marRight w:val="0"/>
          <w:marTop w:val="0"/>
          <w:marBottom w:val="0"/>
          <w:divBdr>
            <w:top w:val="none" w:sz="0" w:space="0" w:color="auto"/>
            <w:left w:val="none" w:sz="0" w:space="0" w:color="auto"/>
            <w:bottom w:val="none" w:sz="0" w:space="0" w:color="auto"/>
            <w:right w:val="none" w:sz="0" w:space="0" w:color="auto"/>
          </w:divBdr>
        </w:div>
        <w:div w:id="863901669">
          <w:marLeft w:val="640"/>
          <w:marRight w:val="0"/>
          <w:marTop w:val="0"/>
          <w:marBottom w:val="0"/>
          <w:divBdr>
            <w:top w:val="none" w:sz="0" w:space="0" w:color="auto"/>
            <w:left w:val="none" w:sz="0" w:space="0" w:color="auto"/>
            <w:bottom w:val="none" w:sz="0" w:space="0" w:color="auto"/>
            <w:right w:val="none" w:sz="0" w:space="0" w:color="auto"/>
          </w:divBdr>
        </w:div>
        <w:div w:id="1738283017">
          <w:marLeft w:val="640"/>
          <w:marRight w:val="0"/>
          <w:marTop w:val="0"/>
          <w:marBottom w:val="0"/>
          <w:divBdr>
            <w:top w:val="none" w:sz="0" w:space="0" w:color="auto"/>
            <w:left w:val="none" w:sz="0" w:space="0" w:color="auto"/>
            <w:bottom w:val="none" w:sz="0" w:space="0" w:color="auto"/>
            <w:right w:val="none" w:sz="0" w:space="0" w:color="auto"/>
          </w:divBdr>
        </w:div>
        <w:div w:id="2110157866">
          <w:marLeft w:val="640"/>
          <w:marRight w:val="0"/>
          <w:marTop w:val="0"/>
          <w:marBottom w:val="0"/>
          <w:divBdr>
            <w:top w:val="none" w:sz="0" w:space="0" w:color="auto"/>
            <w:left w:val="none" w:sz="0" w:space="0" w:color="auto"/>
            <w:bottom w:val="none" w:sz="0" w:space="0" w:color="auto"/>
            <w:right w:val="none" w:sz="0" w:space="0" w:color="auto"/>
          </w:divBdr>
        </w:div>
        <w:div w:id="21518024">
          <w:marLeft w:val="640"/>
          <w:marRight w:val="0"/>
          <w:marTop w:val="0"/>
          <w:marBottom w:val="0"/>
          <w:divBdr>
            <w:top w:val="none" w:sz="0" w:space="0" w:color="auto"/>
            <w:left w:val="none" w:sz="0" w:space="0" w:color="auto"/>
            <w:bottom w:val="none" w:sz="0" w:space="0" w:color="auto"/>
            <w:right w:val="none" w:sz="0" w:space="0" w:color="auto"/>
          </w:divBdr>
        </w:div>
        <w:div w:id="121852804">
          <w:marLeft w:val="640"/>
          <w:marRight w:val="0"/>
          <w:marTop w:val="0"/>
          <w:marBottom w:val="0"/>
          <w:divBdr>
            <w:top w:val="none" w:sz="0" w:space="0" w:color="auto"/>
            <w:left w:val="none" w:sz="0" w:space="0" w:color="auto"/>
            <w:bottom w:val="none" w:sz="0" w:space="0" w:color="auto"/>
            <w:right w:val="none" w:sz="0" w:space="0" w:color="auto"/>
          </w:divBdr>
        </w:div>
        <w:div w:id="878861450">
          <w:marLeft w:val="640"/>
          <w:marRight w:val="0"/>
          <w:marTop w:val="0"/>
          <w:marBottom w:val="0"/>
          <w:divBdr>
            <w:top w:val="none" w:sz="0" w:space="0" w:color="auto"/>
            <w:left w:val="none" w:sz="0" w:space="0" w:color="auto"/>
            <w:bottom w:val="none" w:sz="0" w:space="0" w:color="auto"/>
            <w:right w:val="none" w:sz="0" w:space="0" w:color="auto"/>
          </w:divBdr>
        </w:div>
        <w:div w:id="373971891">
          <w:marLeft w:val="640"/>
          <w:marRight w:val="0"/>
          <w:marTop w:val="0"/>
          <w:marBottom w:val="0"/>
          <w:divBdr>
            <w:top w:val="none" w:sz="0" w:space="0" w:color="auto"/>
            <w:left w:val="none" w:sz="0" w:space="0" w:color="auto"/>
            <w:bottom w:val="none" w:sz="0" w:space="0" w:color="auto"/>
            <w:right w:val="none" w:sz="0" w:space="0" w:color="auto"/>
          </w:divBdr>
        </w:div>
        <w:div w:id="249242951">
          <w:marLeft w:val="640"/>
          <w:marRight w:val="0"/>
          <w:marTop w:val="0"/>
          <w:marBottom w:val="0"/>
          <w:divBdr>
            <w:top w:val="none" w:sz="0" w:space="0" w:color="auto"/>
            <w:left w:val="none" w:sz="0" w:space="0" w:color="auto"/>
            <w:bottom w:val="none" w:sz="0" w:space="0" w:color="auto"/>
            <w:right w:val="none" w:sz="0" w:space="0" w:color="auto"/>
          </w:divBdr>
        </w:div>
        <w:div w:id="1948200009">
          <w:marLeft w:val="640"/>
          <w:marRight w:val="0"/>
          <w:marTop w:val="0"/>
          <w:marBottom w:val="0"/>
          <w:divBdr>
            <w:top w:val="none" w:sz="0" w:space="0" w:color="auto"/>
            <w:left w:val="none" w:sz="0" w:space="0" w:color="auto"/>
            <w:bottom w:val="none" w:sz="0" w:space="0" w:color="auto"/>
            <w:right w:val="none" w:sz="0" w:space="0" w:color="auto"/>
          </w:divBdr>
        </w:div>
        <w:div w:id="1160149380">
          <w:marLeft w:val="640"/>
          <w:marRight w:val="0"/>
          <w:marTop w:val="0"/>
          <w:marBottom w:val="0"/>
          <w:divBdr>
            <w:top w:val="none" w:sz="0" w:space="0" w:color="auto"/>
            <w:left w:val="none" w:sz="0" w:space="0" w:color="auto"/>
            <w:bottom w:val="none" w:sz="0" w:space="0" w:color="auto"/>
            <w:right w:val="none" w:sz="0" w:space="0" w:color="auto"/>
          </w:divBdr>
        </w:div>
        <w:div w:id="2064719045">
          <w:marLeft w:val="640"/>
          <w:marRight w:val="0"/>
          <w:marTop w:val="0"/>
          <w:marBottom w:val="0"/>
          <w:divBdr>
            <w:top w:val="none" w:sz="0" w:space="0" w:color="auto"/>
            <w:left w:val="none" w:sz="0" w:space="0" w:color="auto"/>
            <w:bottom w:val="none" w:sz="0" w:space="0" w:color="auto"/>
            <w:right w:val="none" w:sz="0" w:space="0" w:color="auto"/>
          </w:divBdr>
        </w:div>
        <w:div w:id="431054947">
          <w:marLeft w:val="640"/>
          <w:marRight w:val="0"/>
          <w:marTop w:val="0"/>
          <w:marBottom w:val="0"/>
          <w:divBdr>
            <w:top w:val="none" w:sz="0" w:space="0" w:color="auto"/>
            <w:left w:val="none" w:sz="0" w:space="0" w:color="auto"/>
            <w:bottom w:val="none" w:sz="0" w:space="0" w:color="auto"/>
            <w:right w:val="none" w:sz="0" w:space="0" w:color="auto"/>
          </w:divBdr>
        </w:div>
        <w:div w:id="1157503238">
          <w:marLeft w:val="640"/>
          <w:marRight w:val="0"/>
          <w:marTop w:val="0"/>
          <w:marBottom w:val="0"/>
          <w:divBdr>
            <w:top w:val="none" w:sz="0" w:space="0" w:color="auto"/>
            <w:left w:val="none" w:sz="0" w:space="0" w:color="auto"/>
            <w:bottom w:val="none" w:sz="0" w:space="0" w:color="auto"/>
            <w:right w:val="none" w:sz="0" w:space="0" w:color="auto"/>
          </w:divBdr>
        </w:div>
        <w:div w:id="619267232">
          <w:marLeft w:val="640"/>
          <w:marRight w:val="0"/>
          <w:marTop w:val="0"/>
          <w:marBottom w:val="0"/>
          <w:divBdr>
            <w:top w:val="none" w:sz="0" w:space="0" w:color="auto"/>
            <w:left w:val="none" w:sz="0" w:space="0" w:color="auto"/>
            <w:bottom w:val="none" w:sz="0" w:space="0" w:color="auto"/>
            <w:right w:val="none" w:sz="0" w:space="0" w:color="auto"/>
          </w:divBdr>
        </w:div>
        <w:div w:id="1129251309">
          <w:marLeft w:val="640"/>
          <w:marRight w:val="0"/>
          <w:marTop w:val="0"/>
          <w:marBottom w:val="0"/>
          <w:divBdr>
            <w:top w:val="none" w:sz="0" w:space="0" w:color="auto"/>
            <w:left w:val="none" w:sz="0" w:space="0" w:color="auto"/>
            <w:bottom w:val="none" w:sz="0" w:space="0" w:color="auto"/>
            <w:right w:val="none" w:sz="0" w:space="0" w:color="auto"/>
          </w:divBdr>
        </w:div>
      </w:divsChild>
    </w:div>
    <w:div w:id="350759366">
      <w:bodyDiv w:val="1"/>
      <w:marLeft w:val="0"/>
      <w:marRight w:val="0"/>
      <w:marTop w:val="0"/>
      <w:marBottom w:val="0"/>
      <w:divBdr>
        <w:top w:val="none" w:sz="0" w:space="0" w:color="auto"/>
        <w:left w:val="none" w:sz="0" w:space="0" w:color="auto"/>
        <w:bottom w:val="none" w:sz="0" w:space="0" w:color="auto"/>
        <w:right w:val="none" w:sz="0" w:space="0" w:color="auto"/>
      </w:divBdr>
      <w:divsChild>
        <w:div w:id="1276520522">
          <w:marLeft w:val="640"/>
          <w:marRight w:val="0"/>
          <w:marTop w:val="0"/>
          <w:marBottom w:val="0"/>
          <w:divBdr>
            <w:top w:val="none" w:sz="0" w:space="0" w:color="auto"/>
            <w:left w:val="none" w:sz="0" w:space="0" w:color="auto"/>
            <w:bottom w:val="none" w:sz="0" w:space="0" w:color="auto"/>
            <w:right w:val="none" w:sz="0" w:space="0" w:color="auto"/>
          </w:divBdr>
        </w:div>
        <w:div w:id="954361186">
          <w:marLeft w:val="640"/>
          <w:marRight w:val="0"/>
          <w:marTop w:val="0"/>
          <w:marBottom w:val="0"/>
          <w:divBdr>
            <w:top w:val="none" w:sz="0" w:space="0" w:color="auto"/>
            <w:left w:val="none" w:sz="0" w:space="0" w:color="auto"/>
            <w:bottom w:val="none" w:sz="0" w:space="0" w:color="auto"/>
            <w:right w:val="none" w:sz="0" w:space="0" w:color="auto"/>
          </w:divBdr>
        </w:div>
        <w:div w:id="1299989402">
          <w:marLeft w:val="640"/>
          <w:marRight w:val="0"/>
          <w:marTop w:val="0"/>
          <w:marBottom w:val="0"/>
          <w:divBdr>
            <w:top w:val="none" w:sz="0" w:space="0" w:color="auto"/>
            <w:left w:val="none" w:sz="0" w:space="0" w:color="auto"/>
            <w:bottom w:val="none" w:sz="0" w:space="0" w:color="auto"/>
            <w:right w:val="none" w:sz="0" w:space="0" w:color="auto"/>
          </w:divBdr>
        </w:div>
        <w:div w:id="1649285812">
          <w:marLeft w:val="640"/>
          <w:marRight w:val="0"/>
          <w:marTop w:val="0"/>
          <w:marBottom w:val="0"/>
          <w:divBdr>
            <w:top w:val="none" w:sz="0" w:space="0" w:color="auto"/>
            <w:left w:val="none" w:sz="0" w:space="0" w:color="auto"/>
            <w:bottom w:val="none" w:sz="0" w:space="0" w:color="auto"/>
            <w:right w:val="none" w:sz="0" w:space="0" w:color="auto"/>
          </w:divBdr>
        </w:div>
        <w:div w:id="1000931454">
          <w:marLeft w:val="640"/>
          <w:marRight w:val="0"/>
          <w:marTop w:val="0"/>
          <w:marBottom w:val="0"/>
          <w:divBdr>
            <w:top w:val="none" w:sz="0" w:space="0" w:color="auto"/>
            <w:left w:val="none" w:sz="0" w:space="0" w:color="auto"/>
            <w:bottom w:val="none" w:sz="0" w:space="0" w:color="auto"/>
            <w:right w:val="none" w:sz="0" w:space="0" w:color="auto"/>
          </w:divBdr>
        </w:div>
        <w:div w:id="1785734462">
          <w:marLeft w:val="640"/>
          <w:marRight w:val="0"/>
          <w:marTop w:val="0"/>
          <w:marBottom w:val="0"/>
          <w:divBdr>
            <w:top w:val="none" w:sz="0" w:space="0" w:color="auto"/>
            <w:left w:val="none" w:sz="0" w:space="0" w:color="auto"/>
            <w:bottom w:val="none" w:sz="0" w:space="0" w:color="auto"/>
            <w:right w:val="none" w:sz="0" w:space="0" w:color="auto"/>
          </w:divBdr>
        </w:div>
        <w:div w:id="704184832">
          <w:marLeft w:val="640"/>
          <w:marRight w:val="0"/>
          <w:marTop w:val="0"/>
          <w:marBottom w:val="0"/>
          <w:divBdr>
            <w:top w:val="none" w:sz="0" w:space="0" w:color="auto"/>
            <w:left w:val="none" w:sz="0" w:space="0" w:color="auto"/>
            <w:bottom w:val="none" w:sz="0" w:space="0" w:color="auto"/>
            <w:right w:val="none" w:sz="0" w:space="0" w:color="auto"/>
          </w:divBdr>
        </w:div>
        <w:div w:id="1282608264">
          <w:marLeft w:val="640"/>
          <w:marRight w:val="0"/>
          <w:marTop w:val="0"/>
          <w:marBottom w:val="0"/>
          <w:divBdr>
            <w:top w:val="none" w:sz="0" w:space="0" w:color="auto"/>
            <w:left w:val="none" w:sz="0" w:space="0" w:color="auto"/>
            <w:bottom w:val="none" w:sz="0" w:space="0" w:color="auto"/>
            <w:right w:val="none" w:sz="0" w:space="0" w:color="auto"/>
          </w:divBdr>
        </w:div>
        <w:div w:id="1877770167">
          <w:marLeft w:val="640"/>
          <w:marRight w:val="0"/>
          <w:marTop w:val="0"/>
          <w:marBottom w:val="0"/>
          <w:divBdr>
            <w:top w:val="none" w:sz="0" w:space="0" w:color="auto"/>
            <w:left w:val="none" w:sz="0" w:space="0" w:color="auto"/>
            <w:bottom w:val="none" w:sz="0" w:space="0" w:color="auto"/>
            <w:right w:val="none" w:sz="0" w:space="0" w:color="auto"/>
          </w:divBdr>
        </w:div>
        <w:div w:id="1091319032">
          <w:marLeft w:val="640"/>
          <w:marRight w:val="0"/>
          <w:marTop w:val="0"/>
          <w:marBottom w:val="0"/>
          <w:divBdr>
            <w:top w:val="none" w:sz="0" w:space="0" w:color="auto"/>
            <w:left w:val="none" w:sz="0" w:space="0" w:color="auto"/>
            <w:bottom w:val="none" w:sz="0" w:space="0" w:color="auto"/>
            <w:right w:val="none" w:sz="0" w:space="0" w:color="auto"/>
          </w:divBdr>
        </w:div>
        <w:div w:id="662009387">
          <w:marLeft w:val="640"/>
          <w:marRight w:val="0"/>
          <w:marTop w:val="0"/>
          <w:marBottom w:val="0"/>
          <w:divBdr>
            <w:top w:val="none" w:sz="0" w:space="0" w:color="auto"/>
            <w:left w:val="none" w:sz="0" w:space="0" w:color="auto"/>
            <w:bottom w:val="none" w:sz="0" w:space="0" w:color="auto"/>
            <w:right w:val="none" w:sz="0" w:space="0" w:color="auto"/>
          </w:divBdr>
        </w:div>
        <w:div w:id="859392271">
          <w:marLeft w:val="640"/>
          <w:marRight w:val="0"/>
          <w:marTop w:val="0"/>
          <w:marBottom w:val="0"/>
          <w:divBdr>
            <w:top w:val="none" w:sz="0" w:space="0" w:color="auto"/>
            <w:left w:val="none" w:sz="0" w:space="0" w:color="auto"/>
            <w:bottom w:val="none" w:sz="0" w:space="0" w:color="auto"/>
            <w:right w:val="none" w:sz="0" w:space="0" w:color="auto"/>
          </w:divBdr>
        </w:div>
        <w:div w:id="856429496">
          <w:marLeft w:val="640"/>
          <w:marRight w:val="0"/>
          <w:marTop w:val="0"/>
          <w:marBottom w:val="0"/>
          <w:divBdr>
            <w:top w:val="none" w:sz="0" w:space="0" w:color="auto"/>
            <w:left w:val="none" w:sz="0" w:space="0" w:color="auto"/>
            <w:bottom w:val="none" w:sz="0" w:space="0" w:color="auto"/>
            <w:right w:val="none" w:sz="0" w:space="0" w:color="auto"/>
          </w:divBdr>
        </w:div>
        <w:div w:id="873539413">
          <w:marLeft w:val="640"/>
          <w:marRight w:val="0"/>
          <w:marTop w:val="0"/>
          <w:marBottom w:val="0"/>
          <w:divBdr>
            <w:top w:val="none" w:sz="0" w:space="0" w:color="auto"/>
            <w:left w:val="none" w:sz="0" w:space="0" w:color="auto"/>
            <w:bottom w:val="none" w:sz="0" w:space="0" w:color="auto"/>
            <w:right w:val="none" w:sz="0" w:space="0" w:color="auto"/>
          </w:divBdr>
        </w:div>
        <w:div w:id="741606125">
          <w:marLeft w:val="640"/>
          <w:marRight w:val="0"/>
          <w:marTop w:val="0"/>
          <w:marBottom w:val="0"/>
          <w:divBdr>
            <w:top w:val="none" w:sz="0" w:space="0" w:color="auto"/>
            <w:left w:val="none" w:sz="0" w:space="0" w:color="auto"/>
            <w:bottom w:val="none" w:sz="0" w:space="0" w:color="auto"/>
            <w:right w:val="none" w:sz="0" w:space="0" w:color="auto"/>
          </w:divBdr>
        </w:div>
        <w:div w:id="1139762007">
          <w:marLeft w:val="640"/>
          <w:marRight w:val="0"/>
          <w:marTop w:val="0"/>
          <w:marBottom w:val="0"/>
          <w:divBdr>
            <w:top w:val="none" w:sz="0" w:space="0" w:color="auto"/>
            <w:left w:val="none" w:sz="0" w:space="0" w:color="auto"/>
            <w:bottom w:val="none" w:sz="0" w:space="0" w:color="auto"/>
            <w:right w:val="none" w:sz="0" w:space="0" w:color="auto"/>
          </w:divBdr>
        </w:div>
        <w:div w:id="1113862310">
          <w:marLeft w:val="640"/>
          <w:marRight w:val="0"/>
          <w:marTop w:val="0"/>
          <w:marBottom w:val="0"/>
          <w:divBdr>
            <w:top w:val="none" w:sz="0" w:space="0" w:color="auto"/>
            <w:left w:val="none" w:sz="0" w:space="0" w:color="auto"/>
            <w:bottom w:val="none" w:sz="0" w:space="0" w:color="auto"/>
            <w:right w:val="none" w:sz="0" w:space="0" w:color="auto"/>
          </w:divBdr>
        </w:div>
        <w:div w:id="381253662">
          <w:marLeft w:val="640"/>
          <w:marRight w:val="0"/>
          <w:marTop w:val="0"/>
          <w:marBottom w:val="0"/>
          <w:divBdr>
            <w:top w:val="none" w:sz="0" w:space="0" w:color="auto"/>
            <w:left w:val="none" w:sz="0" w:space="0" w:color="auto"/>
            <w:bottom w:val="none" w:sz="0" w:space="0" w:color="auto"/>
            <w:right w:val="none" w:sz="0" w:space="0" w:color="auto"/>
          </w:divBdr>
        </w:div>
        <w:div w:id="1494951291">
          <w:marLeft w:val="640"/>
          <w:marRight w:val="0"/>
          <w:marTop w:val="0"/>
          <w:marBottom w:val="0"/>
          <w:divBdr>
            <w:top w:val="none" w:sz="0" w:space="0" w:color="auto"/>
            <w:left w:val="none" w:sz="0" w:space="0" w:color="auto"/>
            <w:bottom w:val="none" w:sz="0" w:space="0" w:color="auto"/>
            <w:right w:val="none" w:sz="0" w:space="0" w:color="auto"/>
          </w:divBdr>
        </w:div>
        <w:div w:id="352728784">
          <w:marLeft w:val="640"/>
          <w:marRight w:val="0"/>
          <w:marTop w:val="0"/>
          <w:marBottom w:val="0"/>
          <w:divBdr>
            <w:top w:val="none" w:sz="0" w:space="0" w:color="auto"/>
            <w:left w:val="none" w:sz="0" w:space="0" w:color="auto"/>
            <w:bottom w:val="none" w:sz="0" w:space="0" w:color="auto"/>
            <w:right w:val="none" w:sz="0" w:space="0" w:color="auto"/>
          </w:divBdr>
        </w:div>
        <w:div w:id="1158502383">
          <w:marLeft w:val="640"/>
          <w:marRight w:val="0"/>
          <w:marTop w:val="0"/>
          <w:marBottom w:val="0"/>
          <w:divBdr>
            <w:top w:val="none" w:sz="0" w:space="0" w:color="auto"/>
            <w:left w:val="none" w:sz="0" w:space="0" w:color="auto"/>
            <w:bottom w:val="none" w:sz="0" w:space="0" w:color="auto"/>
            <w:right w:val="none" w:sz="0" w:space="0" w:color="auto"/>
          </w:divBdr>
        </w:div>
        <w:div w:id="518592792">
          <w:marLeft w:val="640"/>
          <w:marRight w:val="0"/>
          <w:marTop w:val="0"/>
          <w:marBottom w:val="0"/>
          <w:divBdr>
            <w:top w:val="none" w:sz="0" w:space="0" w:color="auto"/>
            <w:left w:val="none" w:sz="0" w:space="0" w:color="auto"/>
            <w:bottom w:val="none" w:sz="0" w:space="0" w:color="auto"/>
            <w:right w:val="none" w:sz="0" w:space="0" w:color="auto"/>
          </w:divBdr>
        </w:div>
        <w:div w:id="1263798650">
          <w:marLeft w:val="640"/>
          <w:marRight w:val="0"/>
          <w:marTop w:val="0"/>
          <w:marBottom w:val="0"/>
          <w:divBdr>
            <w:top w:val="none" w:sz="0" w:space="0" w:color="auto"/>
            <w:left w:val="none" w:sz="0" w:space="0" w:color="auto"/>
            <w:bottom w:val="none" w:sz="0" w:space="0" w:color="auto"/>
            <w:right w:val="none" w:sz="0" w:space="0" w:color="auto"/>
          </w:divBdr>
        </w:div>
        <w:div w:id="1179463933">
          <w:marLeft w:val="640"/>
          <w:marRight w:val="0"/>
          <w:marTop w:val="0"/>
          <w:marBottom w:val="0"/>
          <w:divBdr>
            <w:top w:val="none" w:sz="0" w:space="0" w:color="auto"/>
            <w:left w:val="none" w:sz="0" w:space="0" w:color="auto"/>
            <w:bottom w:val="none" w:sz="0" w:space="0" w:color="auto"/>
            <w:right w:val="none" w:sz="0" w:space="0" w:color="auto"/>
          </w:divBdr>
        </w:div>
        <w:div w:id="1989746763">
          <w:marLeft w:val="640"/>
          <w:marRight w:val="0"/>
          <w:marTop w:val="0"/>
          <w:marBottom w:val="0"/>
          <w:divBdr>
            <w:top w:val="none" w:sz="0" w:space="0" w:color="auto"/>
            <w:left w:val="none" w:sz="0" w:space="0" w:color="auto"/>
            <w:bottom w:val="none" w:sz="0" w:space="0" w:color="auto"/>
            <w:right w:val="none" w:sz="0" w:space="0" w:color="auto"/>
          </w:divBdr>
        </w:div>
        <w:div w:id="1444417635">
          <w:marLeft w:val="640"/>
          <w:marRight w:val="0"/>
          <w:marTop w:val="0"/>
          <w:marBottom w:val="0"/>
          <w:divBdr>
            <w:top w:val="none" w:sz="0" w:space="0" w:color="auto"/>
            <w:left w:val="none" w:sz="0" w:space="0" w:color="auto"/>
            <w:bottom w:val="none" w:sz="0" w:space="0" w:color="auto"/>
            <w:right w:val="none" w:sz="0" w:space="0" w:color="auto"/>
          </w:divBdr>
        </w:div>
        <w:div w:id="2008095788">
          <w:marLeft w:val="640"/>
          <w:marRight w:val="0"/>
          <w:marTop w:val="0"/>
          <w:marBottom w:val="0"/>
          <w:divBdr>
            <w:top w:val="none" w:sz="0" w:space="0" w:color="auto"/>
            <w:left w:val="none" w:sz="0" w:space="0" w:color="auto"/>
            <w:bottom w:val="none" w:sz="0" w:space="0" w:color="auto"/>
            <w:right w:val="none" w:sz="0" w:space="0" w:color="auto"/>
          </w:divBdr>
        </w:div>
        <w:div w:id="583808431">
          <w:marLeft w:val="640"/>
          <w:marRight w:val="0"/>
          <w:marTop w:val="0"/>
          <w:marBottom w:val="0"/>
          <w:divBdr>
            <w:top w:val="none" w:sz="0" w:space="0" w:color="auto"/>
            <w:left w:val="none" w:sz="0" w:space="0" w:color="auto"/>
            <w:bottom w:val="none" w:sz="0" w:space="0" w:color="auto"/>
            <w:right w:val="none" w:sz="0" w:space="0" w:color="auto"/>
          </w:divBdr>
        </w:div>
        <w:div w:id="63845220">
          <w:marLeft w:val="640"/>
          <w:marRight w:val="0"/>
          <w:marTop w:val="0"/>
          <w:marBottom w:val="0"/>
          <w:divBdr>
            <w:top w:val="none" w:sz="0" w:space="0" w:color="auto"/>
            <w:left w:val="none" w:sz="0" w:space="0" w:color="auto"/>
            <w:bottom w:val="none" w:sz="0" w:space="0" w:color="auto"/>
            <w:right w:val="none" w:sz="0" w:space="0" w:color="auto"/>
          </w:divBdr>
        </w:div>
        <w:div w:id="1172376686">
          <w:marLeft w:val="640"/>
          <w:marRight w:val="0"/>
          <w:marTop w:val="0"/>
          <w:marBottom w:val="0"/>
          <w:divBdr>
            <w:top w:val="none" w:sz="0" w:space="0" w:color="auto"/>
            <w:left w:val="none" w:sz="0" w:space="0" w:color="auto"/>
            <w:bottom w:val="none" w:sz="0" w:space="0" w:color="auto"/>
            <w:right w:val="none" w:sz="0" w:space="0" w:color="auto"/>
          </w:divBdr>
        </w:div>
        <w:div w:id="140968428">
          <w:marLeft w:val="640"/>
          <w:marRight w:val="0"/>
          <w:marTop w:val="0"/>
          <w:marBottom w:val="0"/>
          <w:divBdr>
            <w:top w:val="none" w:sz="0" w:space="0" w:color="auto"/>
            <w:left w:val="none" w:sz="0" w:space="0" w:color="auto"/>
            <w:bottom w:val="none" w:sz="0" w:space="0" w:color="auto"/>
            <w:right w:val="none" w:sz="0" w:space="0" w:color="auto"/>
          </w:divBdr>
        </w:div>
        <w:div w:id="154876597">
          <w:marLeft w:val="640"/>
          <w:marRight w:val="0"/>
          <w:marTop w:val="0"/>
          <w:marBottom w:val="0"/>
          <w:divBdr>
            <w:top w:val="none" w:sz="0" w:space="0" w:color="auto"/>
            <w:left w:val="none" w:sz="0" w:space="0" w:color="auto"/>
            <w:bottom w:val="none" w:sz="0" w:space="0" w:color="auto"/>
            <w:right w:val="none" w:sz="0" w:space="0" w:color="auto"/>
          </w:divBdr>
        </w:div>
        <w:div w:id="1621381508">
          <w:marLeft w:val="640"/>
          <w:marRight w:val="0"/>
          <w:marTop w:val="0"/>
          <w:marBottom w:val="0"/>
          <w:divBdr>
            <w:top w:val="none" w:sz="0" w:space="0" w:color="auto"/>
            <w:left w:val="none" w:sz="0" w:space="0" w:color="auto"/>
            <w:bottom w:val="none" w:sz="0" w:space="0" w:color="auto"/>
            <w:right w:val="none" w:sz="0" w:space="0" w:color="auto"/>
          </w:divBdr>
        </w:div>
        <w:div w:id="627711642">
          <w:marLeft w:val="640"/>
          <w:marRight w:val="0"/>
          <w:marTop w:val="0"/>
          <w:marBottom w:val="0"/>
          <w:divBdr>
            <w:top w:val="none" w:sz="0" w:space="0" w:color="auto"/>
            <w:left w:val="none" w:sz="0" w:space="0" w:color="auto"/>
            <w:bottom w:val="none" w:sz="0" w:space="0" w:color="auto"/>
            <w:right w:val="none" w:sz="0" w:space="0" w:color="auto"/>
          </w:divBdr>
        </w:div>
        <w:div w:id="1302036114">
          <w:marLeft w:val="640"/>
          <w:marRight w:val="0"/>
          <w:marTop w:val="0"/>
          <w:marBottom w:val="0"/>
          <w:divBdr>
            <w:top w:val="none" w:sz="0" w:space="0" w:color="auto"/>
            <w:left w:val="none" w:sz="0" w:space="0" w:color="auto"/>
            <w:bottom w:val="none" w:sz="0" w:space="0" w:color="auto"/>
            <w:right w:val="none" w:sz="0" w:space="0" w:color="auto"/>
          </w:divBdr>
        </w:div>
        <w:div w:id="1453750449">
          <w:marLeft w:val="640"/>
          <w:marRight w:val="0"/>
          <w:marTop w:val="0"/>
          <w:marBottom w:val="0"/>
          <w:divBdr>
            <w:top w:val="none" w:sz="0" w:space="0" w:color="auto"/>
            <w:left w:val="none" w:sz="0" w:space="0" w:color="auto"/>
            <w:bottom w:val="none" w:sz="0" w:space="0" w:color="auto"/>
            <w:right w:val="none" w:sz="0" w:space="0" w:color="auto"/>
          </w:divBdr>
        </w:div>
        <w:div w:id="2129541617">
          <w:marLeft w:val="640"/>
          <w:marRight w:val="0"/>
          <w:marTop w:val="0"/>
          <w:marBottom w:val="0"/>
          <w:divBdr>
            <w:top w:val="none" w:sz="0" w:space="0" w:color="auto"/>
            <w:left w:val="none" w:sz="0" w:space="0" w:color="auto"/>
            <w:bottom w:val="none" w:sz="0" w:space="0" w:color="auto"/>
            <w:right w:val="none" w:sz="0" w:space="0" w:color="auto"/>
          </w:divBdr>
        </w:div>
        <w:div w:id="255948150">
          <w:marLeft w:val="640"/>
          <w:marRight w:val="0"/>
          <w:marTop w:val="0"/>
          <w:marBottom w:val="0"/>
          <w:divBdr>
            <w:top w:val="none" w:sz="0" w:space="0" w:color="auto"/>
            <w:left w:val="none" w:sz="0" w:space="0" w:color="auto"/>
            <w:bottom w:val="none" w:sz="0" w:space="0" w:color="auto"/>
            <w:right w:val="none" w:sz="0" w:space="0" w:color="auto"/>
          </w:divBdr>
        </w:div>
        <w:div w:id="1536308059">
          <w:marLeft w:val="640"/>
          <w:marRight w:val="0"/>
          <w:marTop w:val="0"/>
          <w:marBottom w:val="0"/>
          <w:divBdr>
            <w:top w:val="none" w:sz="0" w:space="0" w:color="auto"/>
            <w:left w:val="none" w:sz="0" w:space="0" w:color="auto"/>
            <w:bottom w:val="none" w:sz="0" w:space="0" w:color="auto"/>
            <w:right w:val="none" w:sz="0" w:space="0" w:color="auto"/>
          </w:divBdr>
        </w:div>
        <w:div w:id="365643266">
          <w:marLeft w:val="640"/>
          <w:marRight w:val="0"/>
          <w:marTop w:val="0"/>
          <w:marBottom w:val="0"/>
          <w:divBdr>
            <w:top w:val="none" w:sz="0" w:space="0" w:color="auto"/>
            <w:left w:val="none" w:sz="0" w:space="0" w:color="auto"/>
            <w:bottom w:val="none" w:sz="0" w:space="0" w:color="auto"/>
            <w:right w:val="none" w:sz="0" w:space="0" w:color="auto"/>
          </w:divBdr>
        </w:div>
        <w:div w:id="10039057">
          <w:marLeft w:val="640"/>
          <w:marRight w:val="0"/>
          <w:marTop w:val="0"/>
          <w:marBottom w:val="0"/>
          <w:divBdr>
            <w:top w:val="none" w:sz="0" w:space="0" w:color="auto"/>
            <w:left w:val="none" w:sz="0" w:space="0" w:color="auto"/>
            <w:bottom w:val="none" w:sz="0" w:space="0" w:color="auto"/>
            <w:right w:val="none" w:sz="0" w:space="0" w:color="auto"/>
          </w:divBdr>
        </w:div>
        <w:div w:id="136268083">
          <w:marLeft w:val="640"/>
          <w:marRight w:val="0"/>
          <w:marTop w:val="0"/>
          <w:marBottom w:val="0"/>
          <w:divBdr>
            <w:top w:val="none" w:sz="0" w:space="0" w:color="auto"/>
            <w:left w:val="none" w:sz="0" w:space="0" w:color="auto"/>
            <w:bottom w:val="none" w:sz="0" w:space="0" w:color="auto"/>
            <w:right w:val="none" w:sz="0" w:space="0" w:color="auto"/>
          </w:divBdr>
        </w:div>
        <w:div w:id="247811053">
          <w:marLeft w:val="640"/>
          <w:marRight w:val="0"/>
          <w:marTop w:val="0"/>
          <w:marBottom w:val="0"/>
          <w:divBdr>
            <w:top w:val="none" w:sz="0" w:space="0" w:color="auto"/>
            <w:left w:val="none" w:sz="0" w:space="0" w:color="auto"/>
            <w:bottom w:val="none" w:sz="0" w:space="0" w:color="auto"/>
            <w:right w:val="none" w:sz="0" w:space="0" w:color="auto"/>
          </w:divBdr>
        </w:div>
        <w:div w:id="1406033717">
          <w:marLeft w:val="640"/>
          <w:marRight w:val="0"/>
          <w:marTop w:val="0"/>
          <w:marBottom w:val="0"/>
          <w:divBdr>
            <w:top w:val="none" w:sz="0" w:space="0" w:color="auto"/>
            <w:left w:val="none" w:sz="0" w:space="0" w:color="auto"/>
            <w:bottom w:val="none" w:sz="0" w:space="0" w:color="auto"/>
            <w:right w:val="none" w:sz="0" w:space="0" w:color="auto"/>
          </w:divBdr>
        </w:div>
        <w:div w:id="2026518773">
          <w:marLeft w:val="640"/>
          <w:marRight w:val="0"/>
          <w:marTop w:val="0"/>
          <w:marBottom w:val="0"/>
          <w:divBdr>
            <w:top w:val="none" w:sz="0" w:space="0" w:color="auto"/>
            <w:left w:val="none" w:sz="0" w:space="0" w:color="auto"/>
            <w:bottom w:val="none" w:sz="0" w:space="0" w:color="auto"/>
            <w:right w:val="none" w:sz="0" w:space="0" w:color="auto"/>
          </w:divBdr>
        </w:div>
        <w:div w:id="1958292039">
          <w:marLeft w:val="640"/>
          <w:marRight w:val="0"/>
          <w:marTop w:val="0"/>
          <w:marBottom w:val="0"/>
          <w:divBdr>
            <w:top w:val="none" w:sz="0" w:space="0" w:color="auto"/>
            <w:left w:val="none" w:sz="0" w:space="0" w:color="auto"/>
            <w:bottom w:val="none" w:sz="0" w:space="0" w:color="auto"/>
            <w:right w:val="none" w:sz="0" w:space="0" w:color="auto"/>
          </w:divBdr>
        </w:div>
        <w:div w:id="728040981">
          <w:marLeft w:val="640"/>
          <w:marRight w:val="0"/>
          <w:marTop w:val="0"/>
          <w:marBottom w:val="0"/>
          <w:divBdr>
            <w:top w:val="none" w:sz="0" w:space="0" w:color="auto"/>
            <w:left w:val="none" w:sz="0" w:space="0" w:color="auto"/>
            <w:bottom w:val="none" w:sz="0" w:space="0" w:color="auto"/>
            <w:right w:val="none" w:sz="0" w:space="0" w:color="auto"/>
          </w:divBdr>
        </w:div>
        <w:div w:id="1314873779">
          <w:marLeft w:val="640"/>
          <w:marRight w:val="0"/>
          <w:marTop w:val="0"/>
          <w:marBottom w:val="0"/>
          <w:divBdr>
            <w:top w:val="none" w:sz="0" w:space="0" w:color="auto"/>
            <w:left w:val="none" w:sz="0" w:space="0" w:color="auto"/>
            <w:bottom w:val="none" w:sz="0" w:space="0" w:color="auto"/>
            <w:right w:val="none" w:sz="0" w:space="0" w:color="auto"/>
          </w:divBdr>
        </w:div>
        <w:div w:id="967278173">
          <w:marLeft w:val="640"/>
          <w:marRight w:val="0"/>
          <w:marTop w:val="0"/>
          <w:marBottom w:val="0"/>
          <w:divBdr>
            <w:top w:val="none" w:sz="0" w:space="0" w:color="auto"/>
            <w:left w:val="none" w:sz="0" w:space="0" w:color="auto"/>
            <w:bottom w:val="none" w:sz="0" w:space="0" w:color="auto"/>
            <w:right w:val="none" w:sz="0" w:space="0" w:color="auto"/>
          </w:divBdr>
        </w:div>
        <w:div w:id="927925313">
          <w:marLeft w:val="640"/>
          <w:marRight w:val="0"/>
          <w:marTop w:val="0"/>
          <w:marBottom w:val="0"/>
          <w:divBdr>
            <w:top w:val="none" w:sz="0" w:space="0" w:color="auto"/>
            <w:left w:val="none" w:sz="0" w:space="0" w:color="auto"/>
            <w:bottom w:val="none" w:sz="0" w:space="0" w:color="auto"/>
            <w:right w:val="none" w:sz="0" w:space="0" w:color="auto"/>
          </w:divBdr>
        </w:div>
      </w:divsChild>
    </w:div>
    <w:div w:id="419525646">
      <w:bodyDiv w:val="1"/>
      <w:marLeft w:val="0"/>
      <w:marRight w:val="0"/>
      <w:marTop w:val="0"/>
      <w:marBottom w:val="0"/>
      <w:divBdr>
        <w:top w:val="none" w:sz="0" w:space="0" w:color="auto"/>
        <w:left w:val="none" w:sz="0" w:space="0" w:color="auto"/>
        <w:bottom w:val="none" w:sz="0" w:space="0" w:color="auto"/>
        <w:right w:val="none" w:sz="0" w:space="0" w:color="auto"/>
      </w:divBdr>
      <w:divsChild>
        <w:div w:id="1090003537">
          <w:marLeft w:val="0"/>
          <w:marRight w:val="0"/>
          <w:marTop w:val="0"/>
          <w:marBottom w:val="0"/>
          <w:divBdr>
            <w:top w:val="none" w:sz="0" w:space="0" w:color="auto"/>
            <w:left w:val="none" w:sz="0" w:space="0" w:color="auto"/>
            <w:bottom w:val="none" w:sz="0" w:space="0" w:color="auto"/>
            <w:right w:val="none" w:sz="0" w:space="0" w:color="auto"/>
          </w:divBdr>
        </w:div>
        <w:div w:id="532810245">
          <w:marLeft w:val="0"/>
          <w:marRight w:val="0"/>
          <w:marTop w:val="0"/>
          <w:marBottom w:val="0"/>
          <w:divBdr>
            <w:top w:val="none" w:sz="0" w:space="0" w:color="auto"/>
            <w:left w:val="none" w:sz="0" w:space="0" w:color="auto"/>
            <w:bottom w:val="none" w:sz="0" w:space="0" w:color="auto"/>
            <w:right w:val="none" w:sz="0" w:space="0" w:color="auto"/>
          </w:divBdr>
        </w:div>
        <w:div w:id="166209719">
          <w:marLeft w:val="0"/>
          <w:marRight w:val="0"/>
          <w:marTop w:val="0"/>
          <w:marBottom w:val="0"/>
          <w:divBdr>
            <w:top w:val="none" w:sz="0" w:space="0" w:color="auto"/>
            <w:left w:val="none" w:sz="0" w:space="0" w:color="auto"/>
            <w:bottom w:val="none" w:sz="0" w:space="0" w:color="auto"/>
            <w:right w:val="none" w:sz="0" w:space="0" w:color="auto"/>
          </w:divBdr>
        </w:div>
        <w:div w:id="1806776191">
          <w:marLeft w:val="0"/>
          <w:marRight w:val="0"/>
          <w:marTop w:val="0"/>
          <w:marBottom w:val="0"/>
          <w:divBdr>
            <w:top w:val="none" w:sz="0" w:space="0" w:color="auto"/>
            <w:left w:val="none" w:sz="0" w:space="0" w:color="auto"/>
            <w:bottom w:val="none" w:sz="0" w:space="0" w:color="auto"/>
            <w:right w:val="none" w:sz="0" w:space="0" w:color="auto"/>
          </w:divBdr>
        </w:div>
        <w:div w:id="1084182760">
          <w:marLeft w:val="0"/>
          <w:marRight w:val="0"/>
          <w:marTop w:val="0"/>
          <w:marBottom w:val="0"/>
          <w:divBdr>
            <w:top w:val="none" w:sz="0" w:space="0" w:color="auto"/>
            <w:left w:val="none" w:sz="0" w:space="0" w:color="auto"/>
            <w:bottom w:val="none" w:sz="0" w:space="0" w:color="auto"/>
            <w:right w:val="none" w:sz="0" w:space="0" w:color="auto"/>
          </w:divBdr>
        </w:div>
        <w:div w:id="1530990633">
          <w:marLeft w:val="0"/>
          <w:marRight w:val="0"/>
          <w:marTop w:val="0"/>
          <w:marBottom w:val="0"/>
          <w:divBdr>
            <w:top w:val="none" w:sz="0" w:space="0" w:color="auto"/>
            <w:left w:val="none" w:sz="0" w:space="0" w:color="auto"/>
            <w:bottom w:val="none" w:sz="0" w:space="0" w:color="auto"/>
            <w:right w:val="none" w:sz="0" w:space="0" w:color="auto"/>
          </w:divBdr>
        </w:div>
        <w:div w:id="426660932">
          <w:marLeft w:val="0"/>
          <w:marRight w:val="0"/>
          <w:marTop w:val="0"/>
          <w:marBottom w:val="0"/>
          <w:divBdr>
            <w:top w:val="none" w:sz="0" w:space="0" w:color="auto"/>
            <w:left w:val="none" w:sz="0" w:space="0" w:color="auto"/>
            <w:bottom w:val="none" w:sz="0" w:space="0" w:color="auto"/>
            <w:right w:val="none" w:sz="0" w:space="0" w:color="auto"/>
          </w:divBdr>
        </w:div>
        <w:div w:id="1479151482">
          <w:marLeft w:val="0"/>
          <w:marRight w:val="0"/>
          <w:marTop w:val="0"/>
          <w:marBottom w:val="0"/>
          <w:divBdr>
            <w:top w:val="none" w:sz="0" w:space="0" w:color="auto"/>
            <w:left w:val="none" w:sz="0" w:space="0" w:color="auto"/>
            <w:bottom w:val="none" w:sz="0" w:space="0" w:color="auto"/>
            <w:right w:val="none" w:sz="0" w:space="0" w:color="auto"/>
          </w:divBdr>
        </w:div>
        <w:div w:id="409163416">
          <w:marLeft w:val="0"/>
          <w:marRight w:val="0"/>
          <w:marTop w:val="0"/>
          <w:marBottom w:val="0"/>
          <w:divBdr>
            <w:top w:val="none" w:sz="0" w:space="0" w:color="auto"/>
            <w:left w:val="none" w:sz="0" w:space="0" w:color="auto"/>
            <w:bottom w:val="none" w:sz="0" w:space="0" w:color="auto"/>
            <w:right w:val="none" w:sz="0" w:space="0" w:color="auto"/>
          </w:divBdr>
        </w:div>
        <w:div w:id="2014799893">
          <w:marLeft w:val="0"/>
          <w:marRight w:val="0"/>
          <w:marTop w:val="0"/>
          <w:marBottom w:val="0"/>
          <w:divBdr>
            <w:top w:val="none" w:sz="0" w:space="0" w:color="auto"/>
            <w:left w:val="none" w:sz="0" w:space="0" w:color="auto"/>
            <w:bottom w:val="none" w:sz="0" w:space="0" w:color="auto"/>
            <w:right w:val="none" w:sz="0" w:space="0" w:color="auto"/>
          </w:divBdr>
        </w:div>
        <w:div w:id="912474488">
          <w:marLeft w:val="0"/>
          <w:marRight w:val="0"/>
          <w:marTop w:val="0"/>
          <w:marBottom w:val="0"/>
          <w:divBdr>
            <w:top w:val="none" w:sz="0" w:space="0" w:color="auto"/>
            <w:left w:val="none" w:sz="0" w:space="0" w:color="auto"/>
            <w:bottom w:val="none" w:sz="0" w:space="0" w:color="auto"/>
            <w:right w:val="none" w:sz="0" w:space="0" w:color="auto"/>
          </w:divBdr>
        </w:div>
        <w:div w:id="1199467589">
          <w:marLeft w:val="0"/>
          <w:marRight w:val="0"/>
          <w:marTop w:val="0"/>
          <w:marBottom w:val="0"/>
          <w:divBdr>
            <w:top w:val="none" w:sz="0" w:space="0" w:color="auto"/>
            <w:left w:val="none" w:sz="0" w:space="0" w:color="auto"/>
            <w:bottom w:val="none" w:sz="0" w:space="0" w:color="auto"/>
            <w:right w:val="none" w:sz="0" w:space="0" w:color="auto"/>
          </w:divBdr>
        </w:div>
        <w:div w:id="1532576052">
          <w:marLeft w:val="0"/>
          <w:marRight w:val="0"/>
          <w:marTop w:val="0"/>
          <w:marBottom w:val="0"/>
          <w:divBdr>
            <w:top w:val="none" w:sz="0" w:space="0" w:color="auto"/>
            <w:left w:val="none" w:sz="0" w:space="0" w:color="auto"/>
            <w:bottom w:val="none" w:sz="0" w:space="0" w:color="auto"/>
            <w:right w:val="none" w:sz="0" w:space="0" w:color="auto"/>
          </w:divBdr>
        </w:div>
        <w:div w:id="1986860554">
          <w:marLeft w:val="0"/>
          <w:marRight w:val="0"/>
          <w:marTop w:val="0"/>
          <w:marBottom w:val="0"/>
          <w:divBdr>
            <w:top w:val="none" w:sz="0" w:space="0" w:color="auto"/>
            <w:left w:val="none" w:sz="0" w:space="0" w:color="auto"/>
            <w:bottom w:val="none" w:sz="0" w:space="0" w:color="auto"/>
            <w:right w:val="none" w:sz="0" w:space="0" w:color="auto"/>
          </w:divBdr>
        </w:div>
        <w:div w:id="1439134460">
          <w:marLeft w:val="0"/>
          <w:marRight w:val="0"/>
          <w:marTop w:val="0"/>
          <w:marBottom w:val="0"/>
          <w:divBdr>
            <w:top w:val="none" w:sz="0" w:space="0" w:color="auto"/>
            <w:left w:val="none" w:sz="0" w:space="0" w:color="auto"/>
            <w:bottom w:val="none" w:sz="0" w:space="0" w:color="auto"/>
            <w:right w:val="none" w:sz="0" w:space="0" w:color="auto"/>
          </w:divBdr>
        </w:div>
        <w:div w:id="950478548">
          <w:marLeft w:val="0"/>
          <w:marRight w:val="0"/>
          <w:marTop w:val="0"/>
          <w:marBottom w:val="0"/>
          <w:divBdr>
            <w:top w:val="none" w:sz="0" w:space="0" w:color="auto"/>
            <w:left w:val="none" w:sz="0" w:space="0" w:color="auto"/>
            <w:bottom w:val="none" w:sz="0" w:space="0" w:color="auto"/>
            <w:right w:val="none" w:sz="0" w:space="0" w:color="auto"/>
          </w:divBdr>
        </w:div>
        <w:div w:id="686371363">
          <w:marLeft w:val="0"/>
          <w:marRight w:val="0"/>
          <w:marTop w:val="0"/>
          <w:marBottom w:val="0"/>
          <w:divBdr>
            <w:top w:val="none" w:sz="0" w:space="0" w:color="auto"/>
            <w:left w:val="none" w:sz="0" w:space="0" w:color="auto"/>
            <w:bottom w:val="none" w:sz="0" w:space="0" w:color="auto"/>
            <w:right w:val="none" w:sz="0" w:space="0" w:color="auto"/>
          </w:divBdr>
        </w:div>
        <w:div w:id="1124690243">
          <w:marLeft w:val="0"/>
          <w:marRight w:val="0"/>
          <w:marTop w:val="0"/>
          <w:marBottom w:val="0"/>
          <w:divBdr>
            <w:top w:val="none" w:sz="0" w:space="0" w:color="auto"/>
            <w:left w:val="none" w:sz="0" w:space="0" w:color="auto"/>
            <w:bottom w:val="none" w:sz="0" w:space="0" w:color="auto"/>
            <w:right w:val="none" w:sz="0" w:space="0" w:color="auto"/>
          </w:divBdr>
        </w:div>
        <w:div w:id="514539123">
          <w:marLeft w:val="0"/>
          <w:marRight w:val="0"/>
          <w:marTop w:val="0"/>
          <w:marBottom w:val="0"/>
          <w:divBdr>
            <w:top w:val="none" w:sz="0" w:space="0" w:color="auto"/>
            <w:left w:val="none" w:sz="0" w:space="0" w:color="auto"/>
            <w:bottom w:val="none" w:sz="0" w:space="0" w:color="auto"/>
            <w:right w:val="none" w:sz="0" w:space="0" w:color="auto"/>
          </w:divBdr>
        </w:div>
        <w:div w:id="1010723081">
          <w:marLeft w:val="0"/>
          <w:marRight w:val="0"/>
          <w:marTop w:val="0"/>
          <w:marBottom w:val="0"/>
          <w:divBdr>
            <w:top w:val="none" w:sz="0" w:space="0" w:color="auto"/>
            <w:left w:val="none" w:sz="0" w:space="0" w:color="auto"/>
            <w:bottom w:val="none" w:sz="0" w:space="0" w:color="auto"/>
            <w:right w:val="none" w:sz="0" w:space="0" w:color="auto"/>
          </w:divBdr>
        </w:div>
        <w:div w:id="1623262763">
          <w:marLeft w:val="0"/>
          <w:marRight w:val="0"/>
          <w:marTop w:val="0"/>
          <w:marBottom w:val="0"/>
          <w:divBdr>
            <w:top w:val="none" w:sz="0" w:space="0" w:color="auto"/>
            <w:left w:val="none" w:sz="0" w:space="0" w:color="auto"/>
            <w:bottom w:val="none" w:sz="0" w:space="0" w:color="auto"/>
            <w:right w:val="none" w:sz="0" w:space="0" w:color="auto"/>
          </w:divBdr>
        </w:div>
        <w:div w:id="1092778636">
          <w:marLeft w:val="0"/>
          <w:marRight w:val="0"/>
          <w:marTop w:val="0"/>
          <w:marBottom w:val="0"/>
          <w:divBdr>
            <w:top w:val="none" w:sz="0" w:space="0" w:color="auto"/>
            <w:left w:val="none" w:sz="0" w:space="0" w:color="auto"/>
            <w:bottom w:val="none" w:sz="0" w:space="0" w:color="auto"/>
            <w:right w:val="none" w:sz="0" w:space="0" w:color="auto"/>
          </w:divBdr>
        </w:div>
        <w:div w:id="269747112">
          <w:marLeft w:val="0"/>
          <w:marRight w:val="0"/>
          <w:marTop w:val="0"/>
          <w:marBottom w:val="0"/>
          <w:divBdr>
            <w:top w:val="none" w:sz="0" w:space="0" w:color="auto"/>
            <w:left w:val="none" w:sz="0" w:space="0" w:color="auto"/>
            <w:bottom w:val="none" w:sz="0" w:space="0" w:color="auto"/>
            <w:right w:val="none" w:sz="0" w:space="0" w:color="auto"/>
          </w:divBdr>
        </w:div>
        <w:div w:id="293802172">
          <w:marLeft w:val="0"/>
          <w:marRight w:val="0"/>
          <w:marTop w:val="0"/>
          <w:marBottom w:val="0"/>
          <w:divBdr>
            <w:top w:val="none" w:sz="0" w:space="0" w:color="auto"/>
            <w:left w:val="none" w:sz="0" w:space="0" w:color="auto"/>
            <w:bottom w:val="none" w:sz="0" w:space="0" w:color="auto"/>
            <w:right w:val="none" w:sz="0" w:space="0" w:color="auto"/>
          </w:divBdr>
        </w:div>
        <w:div w:id="803042356">
          <w:marLeft w:val="0"/>
          <w:marRight w:val="0"/>
          <w:marTop w:val="0"/>
          <w:marBottom w:val="0"/>
          <w:divBdr>
            <w:top w:val="none" w:sz="0" w:space="0" w:color="auto"/>
            <w:left w:val="none" w:sz="0" w:space="0" w:color="auto"/>
            <w:bottom w:val="none" w:sz="0" w:space="0" w:color="auto"/>
            <w:right w:val="none" w:sz="0" w:space="0" w:color="auto"/>
          </w:divBdr>
        </w:div>
        <w:div w:id="1703480774">
          <w:marLeft w:val="0"/>
          <w:marRight w:val="0"/>
          <w:marTop w:val="0"/>
          <w:marBottom w:val="0"/>
          <w:divBdr>
            <w:top w:val="none" w:sz="0" w:space="0" w:color="auto"/>
            <w:left w:val="none" w:sz="0" w:space="0" w:color="auto"/>
            <w:bottom w:val="none" w:sz="0" w:space="0" w:color="auto"/>
            <w:right w:val="none" w:sz="0" w:space="0" w:color="auto"/>
          </w:divBdr>
        </w:div>
        <w:div w:id="1439065743">
          <w:marLeft w:val="0"/>
          <w:marRight w:val="0"/>
          <w:marTop w:val="0"/>
          <w:marBottom w:val="0"/>
          <w:divBdr>
            <w:top w:val="none" w:sz="0" w:space="0" w:color="auto"/>
            <w:left w:val="none" w:sz="0" w:space="0" w:color="auto"/>
            <w:bottom w:val="none" w:sz="0" w:space="0" w:color="auto"/>
            <w:right w:val="none" w:sz="0" w:space="0" w:color="auto"/>
          </w:divBdr>
        </w:div>
        <w:div w:id="1752507055">
          <w:marLeft w:val="0"/>
          <w:marRight w:val="0"/>
          <w:marTop w:val="0"/>
          <w:marBottom w:val="0"/>
          <w:divBdr>
            <w:top w:val="none" w:sz="0" w:space="0" w:color="auto"/>
            <w:left w:val="none" w:sz="0" w:space="0" w:color="auto"/>
            <w:bottom w:val="none" w:sz="0" w:space="0" w:color="auto"/>
            <w:right w:val="none" w:sz="0" w:space="0" w:color="auto"/>
          </w:divBdr>
        </w:div>
        <w:div w:id="759444098">
          <w:marLeft w:val="0"/>
          <w:marRight w:val="0"/>
          <w:marTop w:val="0"/>
          <w:marBottom w:val="0"/>
          <w:divBdr>
            <w:top w:val="none" w:sz="0" w:space="0" w:color="auto"/>
            <w:left w:val="none" w:sz="0" w:space="0" w:color="auto"/>
            <w:bottom w:val="none" w:sz="0" w:space="0" w:color="auto"/>
            <w:right w:val="none" w:sz="0" w:space="0" w:color="auto"/>
          </w:divBdr>
        </w:div>
        <w:div w:id="1336497086">
          <w:marLeft w:val="0"/>
          <w:marRight w:val="0"/>
          <w:marTop w:val="0"/>
          <w:marBottom w:val="0"/>
          <w:divBdr>
            <w:top w:val="none" w:sz="0" w:space="0" w:color="auto"/>
            <w:left w:val="none" w:sz="0" w:space="0" w:color="auto"/>
            <w:bottom w:val="none" w:sz="0" w:space="0" w:color="auto"/>
            <w:right w:val="none" w:sz="0" w:space="0" w:color="auto"/>
          </w:divBdr>
        </w:div>
        <w:div w:id="384182054">
          <w:marLeft w:val="0"/>
          <w:marRight w:val="0"/>
          <w:marTop w:val="0"/>
          <w:marBottom w:val="0"/>
          <w:divBdr>
            <w:top w:val="none" w:sz="0" w:space="0" w:color="auto"/>
            <w:left w:val="none" w:sz="0" w:space="0" w:color="auto"/>
            <w:bottom w:val="none" w:sz="0" w:space="0" w:color="auto"/>
            <w:right w:val="none" w:sz="0" w:space="0" w:color="auto"/>
          </w:divBdr>
        </w:div>
        <w:div w:id="1144734444">
          <w:marLeft w:val="0"/>
          <w:marRight w:val="0"/>
          <w:marTop w:val="0"/>
          <w:marBottom w:val="0"/>
          <w:divBdr>
            <w:top w:val="none" w:sz="0" w:space="0" w:color="auto"/>
            <w:left w:val="none" w:sz="0" w:space="0" w:color="auto"/>
            <w:bottom w:val="none" w:sz="0" w:space="0" w:color="auto"/>
            <w:right w:val="none" w:sz="0" w:space="0" w:color="auto"/>
          </w:divBdr>
        </w:div>
        <w:div w:id="399836478">
          <w:marLeft w:val="0"/>
          <w:marRight w:val="0"/>
          <w:marTop w:val="0"/>
          <w:marBottom w:val="0"/>
          <w:divBdr>
            <w:top w:val="none" w:sz="0" w:space="0" w:color="auto"/>
            <w:left w:val="none" w:sz="0" w:space="0" w:color="auto"/>
            <w:bottom w:val="none" w:sz="0" w:space="0" w:color="auto"/>
            <w:right w:val="none" w:sz="0" w:space="0" w:color="auto"/>
          </w:divBdr>
        </w:div>
        <w:div w:id="831219138">
          <w:marLeft w:val="0"/>
          <w:marRight w:val="0"/>
          <w:marTop w:val="0"/>
          <w:marBottom w:val="0"/>
          <w:divBdr>
            <w:top w:val="none" w:sz="0" w:space="0" w:color="auto"/>
            <w:left w:val="none" w:sz="0" w:space="0" w:color="auto"/>
            <w:bottom w:val="none" w:sz="0" w:space="0" w:color="auto"/>
            <w:right w:val="none" w:sz="0" w:space="0" w:color="auto"/>
          </w:divBdr>
        </w:div>
        <w:div w:id="482310146">
          <w:marLeft w:val="0"/>
          <w:marRight w:val="0"/>
          <w:marTop w:val="0"/>
          <w:marBottom w:val="0"/>
          <w:divBdr>
            <w:top w:val="none" w:sz="0" w:space="0" w:color="auto"/>
            <w:left w:val="none" w:sz="0" w:space="0" w:color="auto"/>
            <w:bottom w:val="none" w:sz="0" w:space="0" w:color="auto"/>
            <w:right w:val="none" w:sz="0" w:space="0" w:color="auto"/>
          </w:divBdr>
        </w:div>
        <w:div w:id="1061634002">
          <w:marLeft w:val="0"/>
          <w:marRight w:val="0"/>
          <w:marTop w:val="0"/>
          <w:marBottom w:val="0"/>
          <w:divBdr>
            <w:top w:val="none" w:sz="0" w:space="0" w:color="auto"/>
            <w:left w:val="none" w:sz="0" w:space="0" w:color="auto"/>
            <w:bottom w:val="none" w:sz="0" w:space="0" w:color="auto"/>
            <w:right w:val="none" w:sz="0" w:space="0" w:color="auto"/>
          </w:divBdr>
        </w:div>
        <w:div w:id="1012297172">
          <w:marLeft w:val="0"/>
          <w:marRight w:val="0"/>
          <w:marTop w:val="0"/>
          <w:marBottom w:val="0"/>
          <w:divBdr>
            <w:top w:val="none" w:sz="0" w:space="0" w:color="auto"/>
            <w:left w:val="none" w:sz="0" w:space="0" w:color="auto"/>
            <w:bottom w:val="none" w:sz="0" w:space="0" w:color="auto"/>
            <w:right w:val="none" w:sz="0" w:space="0" w:color="auto"/>
          </w:divBdr>
        </w:div>
        <w:div w:id="515385702">
          <w:marLeft w:val="0"/>
          <w:marRight w:val="0"/>
          <w:marTop w:val="0"/>
          <w:marBottom w:val="0"/>
          <w:divBdr>
            <w:top w:val="none" w:sz="0" w:space="0" w:color="auto"/>
            <w:left w:val="none" w:sz="0" w:space="0" w:color="auto"/>
            <w:bottom w:val="none" w:sz="0" w:space="0" w:color="auto"/>
            <w:right w:val="none" w:sz="0" w:space="0" w:color="auto"/>
          </w:divBdr>
        </w:div>
        <w:div w:id="233127645">
          <w:marLeft w:val="0"/>
          <w:marRight w:val="0"/>
          <w:marTop w:val="0"/>
          <w:marBottom w:val="0"/>
          <w:divBdr>
            <w:top w:val="none" w:sz="0" w:space="0" w:color="auto"/>
            <w:left w:val="none" w:sz="0" w:space="0" w:color="auto"/>
            <w:bottom w:val="none" w:sz="0" w:space="0" w:color="auto"/>
            <w:right w:val="none" w:sz="0" w:space="0" w:color="auto"/>
          </w:divBdr>
        </w:div>
        <w:div w:id="371153482">
          <w:marLeft w:val="0"/>
          <w:marRight w:val="0"/>
          <w:marTop w:val="0"/>
          <w:marBottom w:val="0"/>
          <w:divBdr>
            <w:top w:val="none" w:sz="0" w:space="0" w:color="auto"/>
            <w:left w:val="none" w:sz="0" w:space="0" w:color="auto"/>
            <w:bottom w:val="none" w:sz="0" w:space="0" w:color="auto"/>
            <w:right w:val="none" w:sz="0" w:space="0" w:color="auto"/>
          </w:divBdr>
        </w:div>
        <w:div w:id="1501002673">
          <w:marLeft w:val="0"/>
          <w:marRight w:val="0"/>
          <w:marTop w:val="0"/>
          <w:marBottom w:val="0"/>
          <w:divBdr>
            <w:top w:val="none" w:sz="0" w:space="0" w:color="auto"/>
            <w:left w:val="none" w:sz="0" w:space="0" w:color="auto"/>
            <w:bottom w:val="none" w:sz="0" w:space="0" w:color="auto"/>
            <w:right w:val="none" w:sz="0" w:space="0" w:color="auto"/>
          </w:divBdr>
        </w:div>
        <w:div w:id="836724917">
          <w:marLeft w:val="0"/>
          <w:marRight w:val="0"/>
          <w:marTop w:val="0"/>
          <w:marBottom w:val="0"/>
          <w:divBdr>
            <w:top w:val="none" w:sz="0" w:space="0" w:color="auto"/>
            <w:left w:val="none" w:sz="0" w:space="0" w:color="auto"/>
            <w:bottom w:val="none" w:sz="0" w:space="0" w:color="auto"/>
            <w:right w:val="none" w:sz="0" w:space="0" w:color="auto"/>
          </w:divBdr>
        </w:div>
        <w:div w:id="2021155945">
          <w:marLeft w:val="0"/>
          <w:marRight w:val="0"/>
          <w:marTop w:val="0"/>
          <w:marBottom w:val="0"/>
          <w:divBdr>
            <w:top w:val="none" w:sz="0" w:space="0" w:color="auto"/>
            <w:left w:val="none" w:sz="0" w:space="0" w:color="auto"/>
            <w:bottom w:val="none" w:sz="0" w:space="0" w:color="auto"/>
            <w:right w:val="none" w:sz="0" w:space="0" w:color="auto"/>
          </w:divBdr>
        </w:div>
        <w:div w:id="337121896">
          <w:marLeft w:val="0"/>
          <w:marRight w:val="0"/>
          <w:marTop w:val="0"/>
          <w:marBottom w:val="0"/>
          <w:divBdr>
            <w:top w:val="none" w:sz="0" w:space="0" w:color="auto"/>
            <w:left w:val="none" w:sz="0" w:space="0" w:color="auto"/>
            <w:bottom w:val="none" w:sz="0" w:space="0" w:color="auto"/>
            <w:right w:val="none" w:sz="0" w:space="0" w:color="auto"/>
          </w:divBdr>
        </w:div>
        <w:div w:id="767315163">
          <w:marLeft w:val="0"/>
          <w:marRight w:val="0"/>
          <w:marTop w:val="0"/>
          <w:marBottom w:val="0"/>
          <w:divBdr>
            <w:top w:val="none" w:sz="0" w:space="0" w:color="auto"/>
            <w:left w:val="none" w:sz="0" w:space="0" w:color="auto"/>
            <w:bottom w:val="none" w:sz="0" w:space="0" w:color="auto"/>
            <w:right w:val="none" w:sz="0" w:space="0" w:color="auto"/>
          </w:divBdr>
        </w:div>
        <w:div w:id="535897724">
          <w:marLeft w:val="0"/>
          <w:marRight w:val="0"/>
          <w:marTop w:val="0"/>
          <w:marBottom w:val="0"/>
          <w:divBdr>
            <w:top w:val="none" w:sz="0" w:space="0" w:color="auto"/>
            <w:left w:val="none" w:sz="0" w:space="0" w:color="auto"/>
            <w:bottom w:val="none" w:sz="0" w:space="0" w:color="auto"/>
            <w:right w:val="none" w:sz="0" w:space="0" w:color="auto"/>
          </w:divBdr>
        </w:div>
        <w:div w:id="525675026">
          <w:marLeft w:val="0"/>
          <w:marRight w:val="0"/>
          <w:marTop w:val="0"/>
          <w:marBottom w:val="0"/>
          <w:divBdr>
            <w:top w:val="none" w:sz="0" w:space="0" w:color="auto"/>
            <w:left w:val="none" w:sz="0" w:space="0" w:color="auto"/>
            <w:bottom w:val="none" w:sz="0" w:space="0" w:color="auto"/>
            <w:right w:val="none" w:sz="0" w:space="0" w:color="auto"/>
          </w:divBdr>
        </w:div>
        <w:div w:id="1920018526">
          <w:marLeft w:val="0"/>
          <w:marRight w:val="0"/>
          <w:marTop w:val="0"/>
          <w:marBottom w:val="0"/>
          <w:divBdr>
            <w:top w:val="none" w:sz="0" w:space="0" w:color="auto"/>
            <w:left w:val="none" w:sz="0" w:space="0" w:color="auto"/>
            <w:bottom w:val="none" w:sz="0" w:space="0" w:color="auto"/>
            <w:right w:val="none" w:sz="0" w:space="0" w:color="auto"/>
          </w:divBdr>
        </w:div>
        <w:div w:id="1650094753">
          <w:marLeft w:val="0"/>
          <w:marRight w:val="0"/>
          <w:marTop w:val="0"/>
          <w:marBottom w:val="0"/>
          <w:divBdr>
            <w:top w:val="none" w:sz="0" w:space="0" w:color="auto"/>
            <w:left w:val="none" w:sz="0" w:space="0" w:color="auto"/>
            <w:bottom w:val="none" w:sz="0" w:space="0" w:color="auto"/>
            <w:right w:val="none" w:sz="0" w:space="0" w:color="auto"/>
          </w:divBdr>
        </w:div>
        <w:div w:id="1000887667">
          <w:marLeft w:val="0"/>
          <w:marRight w:val="0"/>
          <w:marTop w:val="0"/>
          <w:marBottom w:val="0"/>
          <w:divBdr>
            <w:top w:val="none" w:sz="0" w:space="0" w:color="auto"/>
            <w:left w:val="none" w:sz="0" w:space="0" w:color="auto"/>
            <w:bottom w:val="none" w:sz="0" w:space="0" w:color="auto"/>
            <w:right w:val="none" w:sz="0" w:space="0" w:color="auto"/>
          </w:divBdr>
        </w:div>
      </w:divsChild>
    </w:div>
    <w:div w:id="608510050">
      <w:bodyDiv w:val="1"/>
      <w:marLeft w:val="0"/>
      <w:marRight w:val="0"/>
      <w:marTop w:val="0"/>
      <w:marBottom w:val="0"/>
      <w:divBdr>
        <w:top w:val="none" w:sz="0" w:space="0" w:color="auto"/>
        <w:left w:val="none" w:sz="0" w:space="0" w:color="auto"/>
        <w:bottom w:val="none" w:sz="0" w:space="0" w:color="auto"/>
        <w:right w:val="none" w:sz="0" w:space="0" w:color="auto"/>
      </w:divBdr>
      <w:divsChild>
        <w:div w:id="1055422954">
          <w:marLeft w:val="640"/>
          <w:marRight w:val="0"/>
          <w:marTop w:val="0"/>
          <w:marBottom w:val="0"/>
          <w:divBdr>
            <w:top w:val="none" w:sz="0" w:space="0" w:color="auto"/>
            <w:left w:val="none" w:sz="0" w:space="0" w:color="auto"/>
            <w:bottom w:val="none" w:sz="0" w:space="0" w:color="auto"/>
            <w:right w:val="none" w:sz="0" w:space="0" w:color="auto"/>
          </w:divBdr>
        </w:div>
        <w:div w:id="707291516">
          <w:marLeft w:val="640"/>
          <w:marRight w:val="0"/>
          <w:marTop w:val="0"/>
          <w:marBottom w:val="0"/>
          <w:divBdr>
            <w:top w:val="none" w:sz="0" w:space="0" w:color="auto"/>
            <w:left w:val="none" w:sz="0" w:space="0" w:color="auto"/>
            <w:bottom w:val="none" w:sz="0" w:space="0" w:color="auto"/>
            <w:right w:val="none" w:sz="0" w:space="0" w:color="auto"/>
          </w:divBdr>
        </w:div>
        <w:div w:id="1364478690">
          <w:marLeft w:val="640"/>
          <w:marRight w:val="0"/>
          <w:marTop w:val="0"/>
          <w:marBottom w:val="0"/>
          <w:divBdr>
            <w:top w:val="none" w:sz="0" w:space="0" w:color="auto"/>
            <w:left w:val="none" w:sz="0" w:space="0" w:color="auto"/>
            <w:bottom w:val="none" w:sz="0" w:space="0" w:color="auto"/>
            <w:right w:val="none" w:sz="0" w:space="0" w:color="auto"/>
          </w:divBdr>
        </w:div>
        <w:div w:id="1213734919">
          <w:marLeft w:val="640"/>
          <w:marRight w:val="0"/>
          <w:marTop w:val="0"/>
          <w:marBottom w:val="0"/>
          <w:divBdr>
            <w:top w:val="none" w:sz="0" w:space="0" w:color="auto"/>
            <w:left w:val="none" w:sz="0" w:space="0" w:color="auto"/>
            <w:bottom w:val="none" w:sz="0" w:space="0" w:color="auto"/>
            <w:right w:val="none" w:sz="0" w:space="0" w:color="auto"/>
          </w:divBdr>
        </w:div>
        <w:div w:id="640309216">
          <w:marLeft w:val="640"/>
          <w:marRight w:val="0"/>
          <w:marTop w:val="0"/>
          <w:marBottom w:val="0"/>
          <w:divBdr>
            <w:top w:val="none" w:sz="0" w:space="0" w:color="auto"/>
            <w:left w:val="none" w:sz="0" w:space="0" w:color="auto"/>
            <w:bottom w:val="none" w:sz="0" w:space="0" w:color="auto"/>
            <w:right w:val="none" w:sz="0" w:space="0" w:color="auto"/>
          </w:divBdr>
        </w:div>
        <w:div w:id="194274487">
          <w:marLeft w:val="640"/>
          <w:marRight w:val="0"/>
          <w:marTop w:val="0"/>
          <w:marBottom w:val="0"/>
          <w:divBdr>
            <w:top w:val="none" w:sz="0" w:space="0" w:color="auto"/>
            <w:left w:val="none" w:sz="0" w:space="0" w:color="auto"/>
            <w:bottom w:val="none" w:sz="0" w:space="0" w:color="auto"/>
            <w:right w:val="none" w:sz="0" w:space="0" w:color="auto"/>
          </w:divBdr>
        </w:div>
        <w:div w:id="1593662334">
          <w:marLeft w:val="640"/>
          <w:marRight w:val="0"/>
          <w:marTop w:val="0"/>
          <w:marBottom w:val="0"/>
          <w:divBdr>
            <w:top w:val="none" w:sz="0" w:space="0" w:color="auto"/>
            <w:left w:val="none" w:sz="0" w:space="0" w:color="auto"/>
            <w:bottom w:val="none" w:sz="0" w:space="0" w:color="auto"/>
            <w:right w:val="none" w:sz="0" w:space="0" w:color="auto"/>
          </w:divBdr>
        </w:div>
        <w:div w:id="966162828">
          <w:marLeft w:val="640"/>
          <w:marRight w:val="0"/>
          <w:marTop w:val="0"/>
          <w:marBottom w:val="0"/>
          <w:divBdr>
            <w:top w:val="none" w:sz="0" w:space="0" w:color="auto"/>
            <w:left w:val="none" w:sz="0" w:space="0" w:color="auto"/>
            <w:bottom w:val="none" w:sz="0" w:space="0" w:color="auto"/>
            <w:right w:val="none" w:sz="0" w:space="0" w:color="auto"/>
          </w:divBdr>
        </w:div>
        <w:div w:id="271130129">
          <w:marLeft w:val="640"/>
          <w:marRight w:val="0"/>
          <w:marTop w:val="0"/>
          <w:marBottom w:val="0"/>
          <w:divBdr>
            <w:top w:val="none" w:sz="0" w:space="0" w:color="auto"/>
            <w:left w:val="none" w:sz="0" w:space="0" w:color="auto"/>
            <w:bottom w:val="none" w:sz="0" w:space="0" w:color="auto"/>
            <w:right w:val="none" w:sz="0" w:space="0" w:color="auto"/>
          </w:divBdr>
        </w:div>
        <w:div w:id="257639898">
          <w:marLeft w:val="640"/>
          <w:marRight w:val="0"/>
          <w:marTop w:val="0"/>
          <w:marBottom w:val="0"/>
          <w:divBdr>
            <w:top w:val="none" w:sz="0" w:space="0" w:color="auto"/>
            <w:left w:val="none" w:sz="0" w:space="0" w:color="auto"/>
            <w:bottom w:val="none" w:sz="0" w:space="0" w:color="auto"/>
            <w:right w:val="none" w:sz="0" w:space="0" w:color="auto"/>
          </w:divBdr>
        </w:div>
        <w:div w:id="753281895">
          <w:marLeft w:val="640"/>
          <w:marRight w:val="0"/>
          <w:marTop w:val="0"/>
          <w:marBottom w:val="0"/>
          <w:divBdr>
            <w:top w:val="none" w:sz="0" w:space="0" w:color="auto"/>
            <w:left w:val="none" w:sz="0" w:space="0" w:color="auto"/>
            <w:bottom w:val="none" w:sz="0" w:space="0" w:color="auto"/>
            <w:right w:val="none" w:sz="0" w:space="0" w:color="auto"/>
          </w:divBdr>
        </w:div>
        <w:div w:id="1695573996">
          <w:marLeft w:val="640"/>
          <w:marRight w:val="0"/>
          <w:marTop w:val="0"/>
          <w:marBottom w:val="0"/>
          <w:divBdr>
            <w:top w:val="none" w:sz="0" w:space="0" w:color="auto"/>
            <w:left w:val="none" w:sz="0" w:space="0" w:color="auto"/>
            <w:bottom w:val="none" w:sz="0" w:space="0" w:color="auto"/>
            <w:right w:val="none" w:sz="0" w:space="0" w:color="auto"/>
          </w:divBdr>
        </w:div>
        <w:div w:id="1956256616">
          <w:marLeft w:val="640"/>
          <w:marRight w:val="0"/>
          <w:marTop w:val="0"/>
          <w:marBottom w:val="0"/>
          <w:divBdr>
            <w:top w:val="none" w:sz="0" w:space="0" w:color="auto"/>
            <w:left w:val="none" w:sz="0" w:space="0" w:color="auto"/>
            <w:bottom w:val="none" w:sz="0" w:space="0" w:color="auto"/>
            <w:right w:val="none" w:sz="0" w:space="0" w:color="auto"/>
          </w:divBdr>
        </w:div>
        <w:div w:id="1475176842">
          <w:marLeft w:val="640"/>
          <w:marRight w:val="0"/>
          <w:marTop w:val="0"/>
          <w:marBottom w:val="0"/>
          <w:divBdr>
            <w:top w:val="none" w:sz="0" w:space="0" w:color="auto"/>
            <w:left w:val="none" w:sz="0" w:space="0" w:color="auto"/>
            <w:bottom w:val="none" w:sz="0" w:space="0" w:color="auto"/>
            <w:right w:val="none" w:sz="0" w:space="0" w:color="auto"/>
          </w:divBdr>
        </w:div>
        <w:div w:id="769004903">
          <w:marLeft w:val="640"/>
          <w:marRight w:val="0"/>
          <w:marTop w:val="0"/>
          <w:marBottom w:val="0"/>
          <w:divBdr>
            <w:top w:val="none" w:sz="0" w:space="0" w:color="auto"/>
            <w:left w:val="none" w:sz="0" w:space="0" w:color="auto"/>
            <w:bottom w:val="none" w:sz="0" w:space="0" w:color="auto"/>
            <w:right w:val="none" w:sz="0" w:space="0" w:color="auto"/>
          </w:divBdr>
        </w:div>
        <w:div w:id="2029522392">
          <w:marLeft w:val="640"/>
          <w:marRight w:val="0"/>
          <w:marTop w:val="0"/>
          <w:marBottom w:val="0"/>
          <w:divBdr>
            <w:top w:val="none" w:sz="0" w:space="0" w:color="auto"/>
            <w:left w:val="none" w:sz="0" w:space="0" w:color="auto"/>
            <w:bottom w:val="none" w:sz="0" w:space="0" w:color="auto"/>
            <w:right w:val="none" w:sz="0" w:space="0" w:color="auto"/>
          </w:divBdr>
        </w:div>
        <w:div w:id="375011530">
          <w:marLeft w:val="640"/>
          <w:marRight w:val="0"/>
          <w:marTop w:val="0"/>
          <w:marBottom w:val="0"/>
          <w:divBdr>
            <w:top w:val="none" w:sz="0" w:space="0" w:color="auto"/>
            <w:left w:val="none" w:sz="0" w:space="0" w:color="auto"/>
            <w:bottom w:val="none" w:sz="0" w:space="0" w:color="auto"/>
            <w:right w:val="none" w:sz="0" w:space="0" w:color="auto"/>
          </w:divBdr>
        </w:div>
        <w:div w:id="1686974322">
          <w:marLeft w:val="640"/>
          <w:marRight w:val="0"/>
          <w:marTop w:val="0"/>
          <w:marBottom w:val="0"/>
          <w:divBdr>
            <w:top w:val="none" w:sz="0" w:space="0" w:color="auto"/>
            <w:left w:val="none" w:sz="0" w:space="0" w:color="auto"/>
            <w:bottom w:val="none" w:sz="0" w:space="0" w:color="auto"/>
            <w:right w:val="none" w:sz="0" w:space="0" w:color="auto"/>
          </w:divBdr>
        </w:div>
        <w:div w:id="1311715573">
          <w:marLeft w:val="640"/>
          <w:marRight w:val="0"/>
          <w:marTop w:val="0"/>
          <w:marBottom w:val="0"/>
          <w:divBdr>
            <w:top w:val="none" w:sz="0" w:space="0" w:color="auto"/>
            <w:left w:val="none" w:sz="0" w:space="0" w:color="auto"/>
            <w:bottom w:val="none" w:sz="0" w:space="0" w:color="auto"/>
            <w:right w:val="none" w:sz="0" w:space="0" w:color="auto"/>
          </w:divBdr>
        </w:div>
        <w:div w:id="789280530">
          <w:marLeft w:val="640"/>
          <w:marRight w:val="0"/>
          <w:marTop w:val="0"/>
          <w:marBottom w:val="0"/>
          <w:divBdr>
            <w:top w:val="none" w:sz="0" w:space="0" w:color="auto"/>
            <w:left w:val="none" w:sz="0" w:space="0" w:color="auto"/>
            <w:bottom w:val="none" w:sz="0" w:space="0" w:color="auto"/>
            <w:right w:val="none" w:sz="0" w:space="0" w:color="auto"/>
          </w:divBdr>
        </w:div>
        <w:div w:id="800344397">
          <w:marLeft w:val="640"/>
          <w:marRight w:val="0"/>
          <w:marTop w:val="0"/>
          <w:marBottom w:val="0"/>
          <w:divBdr>
            <w:top w:val="none" w:sz="0" w:space="0" w:color="auto"/>
            <w:left w:val="none" w:sz="0" w:space="0" w:color="auto"/>
            <w:bottom w:val="none" w:sz="0" w:space="0" w:color="auto"/>
            <w:right w:val="none" w:sz="0" w:space="0" w:color="auto"/>
          </w:divBdr>
        </w:div>
        <w:div w:id="1490318635">
          <w:marLeft w:val="640"/>
          <w:marRight w:val="0"/>
          <w:marTop w:val="0"/>
          <w:marBottom w:val="0"/>
          <w:divBdr>
            <w:top w:val="none" w:sz="0" w:space="0" w:color="auto"/>
            <w:left w:val="none" w:sz="0" w:space="0" w:color="auto"/>
            <w:bottom w:val="none" w:sz="0" w:space="0" w:color="auto"/>
            <w:right w:val="none" w:sz="0" w:space="0" w:color="auto"/>
          </w:divBdr>
        </w:div>
        <w:div w:id="9524863">
          <w:marLeft w:val="640"/>
          <w:marRight w:val="0"/>
          <w:marTop w:val="0"/>
          <w:marBottom w:val="0"/>
          <w:divBdr>
            <w:top w:val="none" w:sz="0" w:space="0" w:color="auto"/>
            <w:left w:val="none" w:sz="0" w:space="0" w:color="auto"/>
            <w:bottom w:val="none" w:sz="0" w:space="0" w:color="auto"/>
            <w:right w:val="none" w:sz="0" w:space="0" w:color="auto"/>
          </w:divBdr>
        </w:div>
        <w:div w:id="1738815965">
          <w:marLeft w:val="640"/>
          <w:marRight w:val="0"/>
          <w:marTop w:val="0"/>
          <w:marBottom w:val="0"/>
          <w:divBdr>
            <w:top w:val="none" w:sz="0" w:space="0" w:color="auto"/>
            <w:left w:val="none" w:sz="0" w:space="0" w:color="auto"/>
            <w:bottom w:val="none" w:sz="0" w:space="0" w:color="auto"/>
            <w:right w:val="none" w:sz="0" w:space="0" w:color="auto"/>
          </w:divBdr>
        </w:div>
        <w:div w:id="1968583444">
          <w:marLeft w:val="640"/>
          <w:marRight w:val="0"/>
          <w:marTop w:val="0"/>
          <w:marBottom w:val="0"/>
          <w:divBdr>
            <w:top w:val="none" w:sz="0" w:space="0" w:color="auto"/>
            <w:left w:val="none" w:sz="0" w:space="0" w:color="auto"/>
            <w:bottom w:val="none" w:sz="0" w:space="0" w:color="auto"/>
            <w:right w:val="none" w:sz="0" w:space="0" w:color="auto"/>
          </w:divBdr>
        </w:div>
        <w:div w:id="243611247">
          <w:marLeft w:val="640"/>
          <w:marRight w:val="0"/>
          <w:marTop w:val="0"/>
          <w:marBottom w:val="0"/>
          <w:divBdr>
            <w:top w:val="none" w:sz="0" w:space="0" w:color="auto"/>
            <w:left w:val="none" w:sz="0" w:space="0" w:color="auto"/>
            <w:bottom w:val="none" w:sz="0" w:space="0" w:color="auto"/>
            <w:right w:val="none" w:sz="0" w:space="0" w:color="auto"/>
          </w:divBdr>
        </w:div>
        <w:div w:id="1411847321">
          <w:marLeft w:val="640"/>
          <w:marRight w:val="0"/>
          <w:marTop w:val="0"/>
          <w:marBottom w:val="0"/>
          <w:divBdr>
            <w:top w:val="none" w:sz="0" w:space="0" w:color="auto"/>
            <w:left w:val="none" w:sz="0" w:space="0" w:color="auto"/>
            <w:bottom w:val="none" w:sz="0" w:space="0" w:color="auto"/>
            <w:right w:val="none" w:sz="0" w:space="0" w:color="auto"/>
          </w:divBdr>
        </w:div>
        <w:div w:id="1749424793">
          <w:marLeft w:val="640"/>
          <w:marRight w:val="0"/>
          <w:marTop w:val="0"/>
          <w:marBottom w:val="0"/>
          <w:divBdr>
            <w:top w:val="none" w:sz="0" w:space="0" w:color="auto"/>
            <w:left w:val="none" w:sz="0" w:space="0" w:color="auto"/>
            <w:bottom w:val="none" w:sz="0" w:space="0" w:color="auto"/>
            <w:right w:val="none" w:sz="0" w:space="0" w:color="auto"/>
          </w:divBdr>
        </w:div>
        <w:div w:id="116946859">
          <w:marLeft w:val="640"/>
          <w:marRight w:val="0"/>
          <w:marTop w:val="0"/>
          <w:marBottom w:val="0"/>
          <w:divBdr>
            <w:top w:val="none" w:sz="0" w:space="0" w:color="auto"/>
            <w:left w:val="none" w:sz="0" w:space="0" w:color="auto"/>
            <w:bottom w:val="none" w:sz="0" w:space="0" w:color="auto"/>
            <w:right w:val="none" w:sz="0" w:space="0" w:color="auto"/>
          </w:divBdr>
        </w:div>
        <w:div w:id="359624056">
          <w:marLeft w:val="640"/>
          <w:marRight w:val="0"/>
          <w:marTop w:val="0"/>
          <w:marBottom w:val="0"/>
          <w:divBdr>
            <w:top w:val="none" w:sz="0" w:space="0" w:color="auto"/>
            <w:left w:val="none" w:sz="0" w:space="0" w:color="auto"/>
            <w:bottom w:val="none" w:sz="0" w:space="0" w:color="auto"/>
            <w:right w:val="none" w:sz="0" w:space="0" w:color="auto"/>
          </w:divBdr>
        </w:div>
        <w:div w:id="2077706801">
          <w:marLeft w:val="640"/>
          <w:marRight w:val="0"/>
          <w:marTop w:val="0"/>
          <w:marBottom w:val="0"/>
          <w:divBdr>
            <w:top w:val="none" w:sz="0" w:space="0" w:color="auto"/>
            <w:left w:val="none" w:sz="0" w:space="0" w:color="auto"/>
            <w:bottom w:val="none" w:sz="0" w:space="0" w:color="auto"/>
            <w:right w:val="none" w:sz="0" w:space="0" w:color="auto"/>
          </w:divBdr>
        </w:div>
        <w:div w:id="1035080258">
          <w:marLeft w:val="640"/>
          <w:marRight w:val="0"/>
          <w:marTop w:val="0"/>
          <w:marBottom w:val="0"/>
          <w:divBdr>
            <w:top w:val="none" w:sz="0" w:space="0" w:color="auto"/>
            <w:left w:val="none" w:sz="0" w:space="0" w:color="auto"/>
            <w:bottom w:val="none" w:sz="0" w:space="0" w:color="auto"/>
            <w:right w:val="none" w:sz="0" w:space="0" w:color="auto"/>
          </w:divBdr>
        </w:div>
        <w:div w:id="1939870885">
          <w:marLeft w:val="640"/>
          <w:marRight w:val="0"/>
          <w:marTop w:val="0"/>
          <w:marBottom w:val="0"/>
          <w:divBdr>
            <w:top w:val="none" w:sz="0" w:space="0" w:color="auto"/>
            <w:left w:val="none" w:sz="0" w:space="0" w:color="auto"/>
            <w:bottom w:val="none" w:sz="0" w:space="0" w:color="auto"/>
            <w:right w:val="none" w:sz="0" w:space="0" w:color="auto"/>
          </w:divBdr>
        </w:div>
        <w:div w:id="399790527">
          <w:marLeft w:val="640"/>
          <w:marRight w:val="0"/>
          <w:marTop w:val="0"/>
          <w:marBottom w:val="0"/>
          <w:divBdr>
            <w:top w:val="none" w:sz="0" w:space="0" w:color="auto"/>
            <w:left w:val="none" w:sz="0" w:space="0" w:color="auto"/>
            <w:bottom w:val="none" w:sz="0" w:space="0" w:color="auto"/>
            <w:right w:val="none" w:sz="0" w:space="0" w:color="auto"/>
          </w:divBdr>
        </w:div>
        <w:div w:id="1389647768">
          <w:marLeft w:val="640"/>
          <w:marRight w:val="0"/>
          <w:marTop w:val="0"/>
          <w:marBottom w:val="0"/>
          <w:divBdr>
            <w:top w:val="none" w:sz="0" w:space="0" w:color="auto"/>
            <w:left w:val="none" w:sz="0" w:space="0" w:color="auto"/>
            <w:bottom w:val="none" w:sz="0" w:space="0" w:color="auto"/>
            <w:right w:val="none" w:sz="0" w:space="0" w:color="auto"/>
          </w:divBdr>
        </w:div>
        <w:div w:id="1383362764">
          <w:marLeft w:val="640"/>
          <w:marRight w:val="0"/>
          <w:marTop w:val="0"/>
          <w:marBottom w:val="0"/>
          <w:divBdr>
            <w:top w:val="none" w:sz="0" w:space="0" w:color="auto"/>
            <w:left w:val="none" w:sz="0" w:space="0" w:color="auto"/>
            <w:bottom w:val="none" w:sz="0" w:space="0" w:color="auto"/>
            <w:right w:val="none" w:sz="0" w:space="0" w:color="auto"/>
          </w:divBdr>
        </w:div>
        <w:div w:id="1456674899">
          <w:marLeft w:val="640"/>
          <w:marRight w:val="0"/>
          <w:marTop w:val="0"/>
          <w:marBottom w:val="0"/>
          <w:divBdr>
            <w:top w:val="none" w:sz="0" w:space="0" w:color="auto"/>
            <w:left w:val="none" w:sz="0" w:space="0" w:color="auto"/>
            <w:bottom w:val="none" w:sz="0" w:space="0" w:color="auto"/>
            <w:right w:val="none" w:sz="0" w:space="0" w:color="auto"/>
          </w:divBdr>
        </w:div>
        <w:div w:id="2116358864">
          <w:marLeft w:val="640"/>
          <w:marRight w:val="0"/>
          <w:marTop w:val="0"/>
          <w:marBottom w:val="0"/>
          <w:divBdr>
            <w:top w:val="none" w:sz="0" w:space="0" w:color="auto"/>
            <w:left w:val="none" w:sz="0" w:space="0" w:color="auto"/>
            <w:bottom w:val="none" w:sz="0" w:space="0" w:color="auto"/>
            <w:right w:val="none" w:sz="0" w:space="0" w:color="auto"/>
          </w:divBdr>
        </w:div>
        <w:div w:id="699015431">
          <w:marLeft w:val="640"/>
          <w:marRight w:val="0"/>
          <w:marTop w:val="0"/>
          <w:marBottom w:val="0"/>
          <w:divBdr>
            <w:top w:val="none" w:sz="0" w:space="0" w:color="auto"/>
            <w:left w:val="none" w:sz="0" w:space="0" w:color="auto"/>
            <w:bottom w:val="none" w:sz="0" w:space="0" w:color="auto"/>
            <w:right w:val="none" w:sz="0" w:space="0" w:color="auto"/>
          </w:divBdr>
        </w:div>
        <w:div w:id="3944407">
          <w:marLeft w:val="640"/>
          <w:marRight w:val="0"/>
          <w:marTop w:val="0"/>
          <w:marBottom w:val="0"/>
          <w:divBdr>
            <w:top w:val="none" w:sz="0" w:space="0" w:color="auto"/>
            <w:left w:val="none" w:sz="0" w:space="0" w:color="auto"/>
            <w:bottom w:val="none" w:sz="0" w:space="0" w:color="auto"/>
            <w:right w:val="none" w:sz="0" w:space="0" w:color="auto"/>
          </w:divBdr>
        </w:div>
        <w:div w:id="1718120039">
          <w:marLeft w:val="640"/>
          <w:marRight w:val="0"/>
          <w:marTop w:val="0"/>
          <w:marBottom w:val="0"/>
          <w:divBdr>
            <w:top w:val="none" w:sz="0" w:space="0" w:color="auto"/>
            <w:left w:val="none" w:sz="0" w:space="0" w:color="auto"/>
            <w:bottom w:val="none" w:sz="0" w:space="0" w:color="auto"/>
            <w:right w:val="none" w:sz="0" w:space="0" w:color="auto"/>
          </w:divBdr>
        </w:div>
        <w:div w:id="1188762979">
          <w:marLeft w:val="640"/>
          <w:marRight w:val="0"/>
          <w:marTop w:val="0"/>
          <w:marBottom w:val="0"/>
          <w:divBdr>
            <w:top w:val="none" w:sz="0" w:space="0" w:color="auto"/>
            <w:left w:val="none" w:sz="0" w:space="0" w:color="auto"/>
            <w:bottom w:val="none" w:sz="0" w:space="0" w:color="auto"/>
            <w:right w:val="none" w:sz="0" w:space="0" w:color="auto"/>
          </w:divBdr>
        </w:div>
        <w:div w:id="54084750">
          <w:marLeft w:val="640"/>
          <w:marRight w:val="0"/>
          <w:marTop w:val="0"/>
          <w:marBottom w:val="0"/>
          <w:divBdr>
            <w:top w:val="none" w:sz="0" w:space="0" w:color="auto"/>
            <w:left w:val="none" w:sz="0" w:space="0" w:color="auto"/>
            <w:bottom w:val="none" w:sz="0" w:space="0" w:color="auto"/>
            <w:right w:val="none" w:sz="0" w:space="0" w:color="auto"/>
          </w:divBdr>
        </w:div>
        <w:div w:id="158859273">
          <w:marLeft w:val="640"/>
          <w:marRight w:val="0"/>
          <w:marTop w:val="0"/>
          <w:marBottom w:val="0"/>
          <w:divBdr>
            <w:top w:val="none" w:sz="0" w:space="0" w:color="auto"/>
            <w:left w:val="none" w:sz="0" w:space="0" w:color="auto"/>
            <w:bottom w:val="none" w:sz="0" w:space="0" w:color="auto"/>
            <w:right w:val="none" w:sz="0" w:space="0" w:color="auto"/>
          </w:divBdr>
        </w:div>
        <w:div w:id="1162114248">
          <w:marLeft w:val="640"/>
          <w:marRight w:val="0"/>
          <w:marTop w:val="0"/>
          <w:marBottom w:val="0"/>
          <w:divBdr>
            <w:top w:val="none" w:sz="0" w:space="0" w:color="auto"/>
            <w:left w:val="none" w:sz="0" w:space="0" w:color="auto"/>
            <w:bottom w:val="none" w:sz="0" w:space="0" w:color="auto"/>
            <w:right w:val="none" w:sz="0" w:space="0" w:color="auto"/>
          </w:divBdr>
        </w:div>
        <w:div w:id="2113042335">
          <w:marLeft w:val="640"/>
          <w:marRight w:val="0"/>
          <w:marTop w:val="0"/>
          <w:marBottom w:val="0"/>
          <w:divBdr>
            <w:top w:val="none" w:sz="0" w:space="0" w:color="auto"/>
            <w:left w:val="none" w:sz="0" w:space="0" w:color="auto"/>
            <w:bottom w:val="none" w:sz="0" w:space="0" w:color="auto"/>
            <w:right w:val="none" w:sz="0" w:space="0" w:color="auto"/>
          </w:divBdr>
        </w:div>
        <w:div w:id="414516479">
          <w:marLeft w:val="640"/>
          <w:marRight w:val="0"/>
          <w:marTop w:val="0"/>
          <w:marBottom w:val="0"/>
          <w:divBdr>
            <w:top w:val="none" w:sz="0" w:space="0" w:color="auto"/>
            <w:left w:val="none" w:sz="0" w:space="0" w:color="auto"/>
            <w:bottom w:val="none" w:sz="0" w:space="0" w:color="auto"/>
            <w:right w:val="none" w:sz="0" w:space="0" w:color="auto"/>
          </w:divBdr>
        </w:div>
        <w:div w:id="483739413">
          <w:marLeft w:val="640"/>
          <w:marRight w:val="0"/>
          <w:marTop w:val="0"/>
          <w:marBottom w:val="0"/>
          <w:divBdr>
            <w:top w:val="none" w:sz="0" w:space="0" w:color="auto"/>
            <w:left w:val="none" w:sz="0" w:space="0" w:color="auto"/>
            <w:bottom w:val="none" w:sz="0" w:space="0" w:color="auto"/>
            <w:right w:val="none" w:sz="0" w:space="0" w:color="auto"/>
          </w:divBdr>
        </w:div>
        <w:div w:id="307827445">
          <w:marLeft w:val="640"/>
          <w:marRight w:val="0"/>
          <w:marTop w:val="0"/>
          <w:marBottom w:val="0"/>
          <w:divBdr>
            <w:top w:val="none" w:sz="0" w:space="0" w:color="auto"/>
            <w:left w:val="none" w:sz="0" w:space="0" w:color="auto"/>
            <w:bottom w:val="none" w:sz="0" w:space="0" w:color="auto"/>
            <w:right w:val="none" w:sz="0" w:space="0" w:color="auto"/>
          </w:divBdr>
        </w:div>
        <w:div w:id="1322343446">
          <w:marLeft w:val="640"/>
          <w:marRight w:val="0"/>
          <w:marTop w:val="0"/>
          <w:marBottom w:val="0"/>
          <w:divBdr>
            <w:top w:val="none" w:sz="0" w:space="0" w:color="auto"/>
            <w:left w:val="none" w:sz="0" w:space="0" w:color="auto"/>
            <w:bottom w:val="none" w:sz="0" w:space="0" w:color="auto"/>
            <w:right w:val="none" w:sz="0" w:space="0" w:color="auto"/>
          </w:divBdr>
        </w:div>
      </w:divsChild>
    </w:div>
    <w:div w:id="773792489">
      <w:bodyDiv w:val="1"/>
      <w:marLeft w:val="0"/>
      <w:marRight w:val="0"/>
      <w:marTop w:val="0"/>
      <w:marBottom w:val="0"/>
      <w:divBdr>
        <w:top w:val="none" w:sz="0" w:space="0" w:color="auto"/>
        <w:left w:val="none" w:sz="0" w:space="0" w:color="auto"/>
        <w:bottom w:val="none" w:sz="0" w:space="0" w:color="auto"/>
        <w:right w:val="none" w:sz="0" w:space="0" w:color="auto"/>
      </w:divBdr>
      <w:divsChild>
        <w:div w:id="1260486543">
          <w:marLeft w:val="0"/>
          <w:marRight w:val="0"/>
          <w:marTop w:val="0"/>
          <w:marBottom w:val="0"/>
          <w:divBdr>
            <w:top w:val="none" w:sz="0" w:space="0" w:color="auto"/>
            <w:left w:val="none" w:sz="0" w:space="0" w:color="auto"/>
            <w:bottom w:val="none" w:sz="0" w:space="0" w:color="auto"/>
            <w:right w:val="none" w:sz="0" w:space="0" w:color="auto"/>
          </w:divBdr>
        </w:div>
        <w:div w:id="1736900708">
          <w:marLeft w:val="0"/>
          <w:marRight w:val="0"/>
          <w:marTop w:val="0"/>
          <w:marBottom w:val="0"/>
          <w:divBdr>
            <w:top w:val="none" w:sz="0" w:space="0" w:color="auto"/>
            <w:left w:val="none" w:sz="0" w:space="0" w:color="auto"/>
            <w:bottom w:val="none" w:sz="0" w:space="0" w:color="auto"/>
            <w:right w:val="none" w:sz="0" w:space="0" w:color="auto"/>
          </w:divBdr>
        </w:div>
        <w:div w:id="867983376">
          <w:marLeft w:val="0"/>
          <w:marRight w:val="0"/>
          <w:marTop w:val="0"/>
          <w:marBottom w:val="0"/>
          <w:divBdr>
            <w:top w:val="none" w:sz="0" w:space="0" w:color="auto"/>
            <w:left w:val="none" w:sz="0" w:space="0" w:color="auto"/>
            <w:bottom w:val="none" w:sz="0" w:space="0" w:color="auto"/>
            <w:right w:val="none" w:sz="0" w:space="0" w:color="auto"/>
          </w:divBdr>
        </w:div>
        <w:div w:id="1629311063">
          <w:marLeft w:val="0"/>
          <w:marRight w:val="0"/>
          <w:marTop w:val="0"/>
          <w:marBottom w:val="0"/>
          <w:divBdr>
            <w:top w:val="none" w:sz="0" w:space="0" w:color="auto"/>
            <w:left w:val="none" w:sz="0" w:space="0" w:color="auto"/>
            <w:bottom w:val="none" w:sz="0" w:space="0" w:color="auto"/>
            <w:right w:val="none" w:sz="0" w:space="0" w:color="auto"/>
          </w:divBdr>
        </w:div>
        <w:div w:id="656767178">
          <w:marLeft w:val="0"/>
          <w:marRight w:val="0"/>
          <w:marTop w:val="0"/>
          <w:marBottom w:val="0"/>
          <w:divBdr>
            <w:top w:val="none" w:sz="0" w:space="0" w:color="auto"/>
            <w:left w:val="none" w:sz="0" w:space="0" w:color="auto"/>
            <w:bottom w:val="none" w:sz="0" w:space="0" w:color="auto"/>
            <w:right w:val="none" w:sz="0" w:space="0" w:color="auto"/>
          </w:divBdr>
        </w:div>
        <w:div w:id="1901356633">
          <w:marLeft w:val="0"/>
          <w:marRight w:val="0"/>
          <w:marTop w:val="0"/>
          <w:marBottom w:val="0"/>
          <w:divBdr>
            <w:top w:val="none" w:sz="0" w:space="0" w:color="auto"/>
            <w:left w:val="none" w:sz="0" w:space="0" w:color="auto"/>
            <w:bottom w:val="none" w:sz="0" w:space="0" w:color="auto"/>
            <w:right w:val="none" w:sz="0" w:space="0" w:color="auto"/>
          </w:divBdr>
        </w:div>
        <w:div w:id="935094488">
          <w:marLeft w:val="0"/>
          <w:marRight w:val="0"/>
          <w:marTop w:val="0"/>
          <w:marBottom w:val="0"/>
          <w:divBdr>
            <w:top w:val="none" w:sz="0" w:space="0" w:color="auto"/>
            <w:left w:val="none" w:sz="0" w:space="0" w:color="auto"/>
            <w:bottom w:val="none" w:sz="0" w:space="0" w:color="auto"/>
            <w:right w:val="none" w:sz="0" w:space="0" w:color="auto"/>
          </w:divBdr>
        </w:div>
        <w:div w:id="539441510">
          <w:marLeft w:val="0"/>
          <w:marRight w:val="0"/>
          <w:marTop w:val="0"/>
          <w:marBottom w:val="0"/>
          <w:divBdr>
            <w:top w:val="none" w:sz="0" w:space="0" w:color="auto"/>
            <w:left w:val="none" w:sz="0" w:space="0" w:color="auto"/>
            <w:bottom w:val="none" w:sz="0" w:space="0" w:color="auto"/>
            <w:right w:val="none" w:sz="0" w:space="0" w:color="auto"/>
          </w:divBdr>
        </w:div>
        <w:div w:id="1303929729">
          <w:marLeft w:val="0"/>
          <w:marRight w:val="0"/>
          <w:marTop w:val="0"/>
          <w:marBottom w:val="0"/>
          <w:divBdr>
            <w:top w:val="none" w:sz="0" w:space="0" w:color="auto"/>
            <w:left w:val="none" w:sz="0" w:space="0" w:color="auto"/>
            <w:bottom w:val="none" w:sz="0" w:space="0" w:color="auto"/>
            <w:right w:val="none" w:sz="0" w:space="0" w:color="auto"/>
          </w:divBdr>
        </w:div>
        <w:div w:id="201476791">
          <w:marLeft w:val="0"/>
          <w:marRight w:val="0"/>
          <w:marTop w:val="0"/>
          <w:marBottom w:val="0"/>
          <w:divBdr>
            <w:top w:val="none" w:sz="0" w:space="0" w:color="auto"/>
            <w:left w:val="none" w:sz="0" w:space="0" w:color="auto"/>
            <w:bottom w:val="none" w:sz="0" w:space="0" w:color="auto"/>
            <w:right w:val="none" w:sz="0" w:space="0" w:color="auto"/>
          </w:divBdr>
        </w:div>
        <w:div w:id="996954477">
          <w:marLeft w:val="0"/>
          <w:marRight w:val="0"/>
          <w:marTop w:val="0"/>
          <w:marBottom w:val="0"/>
          <w:divBdr>
            <w:top w:val="none" w:sz="0" w:space="0" w:color="auto"/>
            <w:left w:val="none" w:sz="0" w:space="0" w:color="auto"/>
            <w:bottom w:val="none" w:sz="0" w:space="0" w:color="auto"/>
            <w:right w:val="none" w:sz="0" w:space="0" w:color="auto"/>
          </w:divBdr>
        </w:div>
        <w:div w:id="1916668754">
          <w:marLeft w:val="0"/>
          <w:marRight w:val="0"/>
          <w:marTop w:val="0"/>
          <w:marBottom w:val="0"/>
          <w:divBdr>
            <w:top w:val="none" w:sz="0" w:space="0" w:color="auto"/>
            <w:left w:val="none" w:sz="0" w:space="0" w:color="auto"/>
            <w:bottom w:val="none" w:sz="0" w:space="0" w:color="auto"/>
            <w:right w:val="none" w:sz="0" w:space="0" w:color="auto"/>
          </w:divBdr>
        </w:div>
        <w:div w:id="1320772079">
          <w:marLeft w:val="0"/>
          <w:marRight w:val="0"/>
          <w:marTop w:val="0"/>
          <w:marBottom w:val="0"/>
          <w:divBdr>
            <w:top w:val="none" w:sz="0" w:space="0" w:color="auto"/>
            <w:left w:val="none" w:sz="0" w:space="0" w:color="auto"/>
            <w:bottom w:val="none" w:sz="0" w:space="0" w:color="auto"/>
            <w:right w:val="none" w:sz="0" w:space="0" w:color="auto"/>
          </w:divBdr>
        </w:div>
        <w:div w:id="64650182">
          <w:marLeft w:val="0"/>
          <w:marRight w:val="0"/>
          <w:marTop w:val="0"/>
          <w:marBottom w:val="0"/>
          <w:divBdr>
            <w:top w:val="none" w:sz="0" w:space="0" w:color="auto"/>
            <w:left w:val="none" w:sz="0" w:space="0" w:color="auto"/>
            <w:bottom w:val="none" w:sz="0" w:space="0" w:color="auto"/>
            <w:right w:val="none" w:sz="0" w:space="0" w:color="auto"/>
          </w:divBdr>
        </w:div>
        <w:div w:id="2116317018">
          <w:marLeft w:val="0"/>
          <w:marRight w:val="0"/>
          <w:marTop w:val="0"/>
          <w:marBottom w:val="0"/>
          <w:divBdr>
            <w:top w:val="none" w:sz="0" w:space="0" w:color="auto"/>
            <w:left w:val="none" w:sz="0" w:space="0" w:color="auto"/>
            <w:bottom w:val="none" w:sz="0" w:space="0" w:color="auto"/>
            <w:right w:val="none" w:sz="0" w:space="0" w:color="auto"/>
          </w:divBdr>
        </w:div>
        <w:div w:id="1320504460">
          <w:marLeft w:val="0"/>
          <w:marRight w:val="0"/>
          <w:marTop w:val="0"/>
          <w:marBottom w:val="0"/>
          <w:divBdr>
            <w:top w:val="none" w:sz="0" w:space="0" w:color="auto"/>
            <w:left w:val="none" w:sz="0" w:space="0" w:color="auto"/>
            <w:bottom w:val="none" w:sz="0" w:space="0" w:color="auto"/>
            <w:right w:val="none" w:sz="0" w:space="0" w:color="auto"/>
          </w:divBdr>
        </w:div>
        <w:div w:id="2104914567">
          <w:marLeft w:val="0"/>
          <w:marRight w:val="0"/>
          <w:marTop w:val="0"/>
          <w:marBottom w:val="0"/>
          <w:divBdr>
            <w:top w:val="none" w:sz="0" w:space="0" w:color="auto"/>
            <w:left w:val="none" w:sz="0" w:space="0" w:color="auto"/>
            <w:bottom w:val="none" w:sz="0" w:space="0" w:color="auto"/>
            <w:right w:val="none" w:sz="0" w:space="0" w:color="auto"/>
          </w:divBdr>
        </w:div>
        <w:div w:id="1069352684">
          <w:marLeft w:val="0"/>
          <w:marRight w:val="0"/>
          <w:marTop w:val="0"/>
          <w:marBottom w:val="0"/>
          <w:divBdr>
            <w:top w:val="none" w:sz="0" w:space="0" w:color="auto"/>
            <w:left w:val="none" w:sz="0" w:space="0" w:color="auto"/>
            <w:bottom w:val="none" w:sz="0" w:space="0" w:color="auto"/>
            <w:right w:val="none" w:sz="0" w:space="0" w:color="auto"/>
          </w:divBdr>
        </w:div>
        <w:div w:id="574706200">
          <w:marLeft w:val="0"/>
          <w:marRight w:val="0"/>
          <w:marTop w:val="0"/>
          <w:marBottom w:val="0"/>
          <w:divBdr>
            <w:top w:val="none" w:sz="0" w:space="0" w:color="auto"/>
            <w:left w:val="none" w:sz="0" w:space="0" w:color="auto"/>
            <w:bottom w:val="none" w:sz="0" w:space="0" w:color="auto"/>
            <w:right w:val="none" w:sz="0" w:space="0" w:color="auto"/>
          </w:divBdr>
        </w:div>
        <w:div w:id="983509183">
          <w:marLeft w:val="0"/>
          <w:marRight w:val="0"/>
          <w:marTop w:val="0"/>
          <w:marBottom w:val="0"/>
          <w:divBdr>
            <w:top w:val="none" w:sz="0" w:space="0" w:color="auto"/>
            <w:left w:val="none" w:sz="0" w:space="0" w:color="auto"/>
            <w:bottom w:val="none" w:sz="0" w:space="0" w:color="auto"/>
            <w:right w:val="none" w:sz="0" w:space="0" w:color="auto"/>
          </w:divBdr>
        </w:div>
        <w:div w:id="861825686">
          <w:marLeft w:val="0"/>
          <w:marRight w:val="0"/>
          <w:marTop w:val="0"/>
          <w:marBottom w:val="0"/>
          <w:divBdr>
            <w:top w:val="none" w:sz="0" w:space="0" w:color="auto"/>
            <w:left w:val="none" w:sz="0" w:space="0" w:color="auto"/>
            <w:bottom w:val="none" w:sz="0" w:space="0" w:color="auto"/>
            <w:right w:val="none" w:sz="0" w:space="0" w:color="auto"/>
          </w:divBdr>
        </w:div>
        <w:div w:id="16078564">
          <w:marLeft w:val="0"/>
          <w:marRight w:val="0"/>
          <w:marTop w:val="0"/>
          <w:marBottom w:val="0"/>
          <w:divBdr>
            <w:top w:val="none" w:sz="0" w:space="0" w:color="auto"/>
            <w:left w:val="none" w:sz="0" w:space="0" w:color="auto"/>
            <w:bottom w:val="none" w:sz="0" w:space="0" w:color="auto"/>
            <w:right w:val="none" w:sz="0" w:space="0" w:color="auto"/>
          </w:divBdr>
        </w:div>
        <w:div w:id="719596064">
          <w:marLeft w:val="0"/>
          <w:marRight w:val="0"/>
          <w:marTop w:val="0"/>
          <w:marBottom w:val="0"/>
          <w:divBdr>
            <w:top w:val="none" w:sz="0" w:space="0" w:color="auto"/>
            <w:left w:val="none" w:sz="0" w:space="0" w:color="auto"/>
            <w:bottom w:val="none" w:sz="0" w:space="0" w:color="auto"/>
            <w:right w:val="none" w:sz="0" w:space="0" w:color="auto"/>
          </w:divBdr>
        </w:div>
        <w:div w:id="171341877">
          <w:marLeft w:val="0"/>
          <w:marRight w:val="0"/>
          <w:marTop w:val="0"/>
          <w:marBottom w:val="0"/>
          <w:divBdr>
            <w:top w:val="none" w:sz="0" w:space="0" w:color="auto"/>
            <w:left w:val="none" w:sz="0" w:space="0" w:color="auto"/>
            <w:bottom w:val="none" w:sz="0" w:space="0" w:color="auto"/>
            <w:right w:val="none" w:sz="0" w:space="0" w:color="auto"/>
          </w:divBdr>
        </w:div>
        <w:div w:id="1881670179">
          <w:marLeft w:val="0"/>
          <w:marRight w:val="0"/>
          <w:marTop w:val="0"/>
          <w:marBottom w:val="0"/>
          <w:divBdr>
            <w:top w:val="none" w:sz="0" w:space="0" w:color="auto"/>
            <w:left w:val="none" w:sz="0" w:space="0" w:color="auto"/>
            <w:bottom w:val="none" w:sz="0" w:space="0" w:color="auto"/>
            <w:right w:val="none" w:sz="0" w:space="0" w:color="auto"/>
          </w:divBdr>
        </w:div>
        <w:div w:id="1233783404">
          <w:marLeft w:val="0"/>
          <w:marRight w:val="0"/>
          <w:marTop w:val="0"/>
          <w:marBottom w:val="0"/>
          <w:divBdr>
            <w:top w:val="none" w:sz="0" w:space="0" w:color="auto"/>
            <w:left w:val="none" w:sz="0" w:space="0" w:color="auto"/>
            <w:bottom w:val="none" w:sz="0" w:space="0" w:color="auto"/>
            <w:right w:val="none" w:sz="0" w:space="0" w:color="auto"/>
          </w:divBdr>
        </w:div>
        <w:div w:id="1148202226">
          <w:marLeft w:val="0"/>
          <w:marRight w:val="0"/>
          <w:marTop w:val="0"/>
          <w:marBottom w:val="0"/>
          <w:divBdr>
            <w:top w:val="none" w:sz="0" w:space="0" w:color="auto"/>
            <w:left w:val="none" w:sz="0" w:space="0" w:color="auto"/>
            <w:bottom w:val="none" w:sz="0" w:space="0" w:color="auto"/>
            <w:right w:val="none" w:sz="0" w:space="0" w:color="auto"/>
          </w:divBdr>
        </w:div>
        <w:div w:id="1806393118">
          <w:marLeft w:val="0"/>
          <w:marRight w:val="0"/>
          <w:marTop w:val="0"/>
          <w:marBottom w:val="0"/>
          <w:divBdr>
            <w:top w:val="none" w:sz="0" w:space="0" w:color="auto"/>
            <w:left w:val="none" w:sz="0" w:space="0" w:color="auto"/>
            <w:bottom w:val="none" w:sz="0" w:space="0" w:color="auto"/>
            <w:right w:val="none" w:sz="0" w:space="0" w:color="auto"/>
          </w:divBdr>
        </w:div>
        <w:div w:id="810368418">
          <w:marLeft w:val="0"/>
          <w:marRight w:val="0"/>
          <w:marTop w:val="0"/>
          <w:marBottom w:val="0"/>
          <w:divBdr>
            <w:top w:val="none" w:sz="0" w:space="0" w:color="auto"/>
            <w:left w:val="none" w:sz="0" w:space="0" w:color="auto"/>
            <w:bottom w:val="none" w:sz="0" w:space="0" w:color="auto"/>
            <w:right w:val="none" w:sz="0" w:space="0" w:color="auto"/>
          </w:divBdr>
        </w:div>
        <w:div w:id="761099861">
          <w:marLeft w:val="0"/>
          <w:marRight w:val="0"/>
          <w:marTop w:val="0"/>
          <w:marBottom w:val="0"/>
          <w:divBdr>
            <w:top w:val="none" w:sz="0" w:space="0" w:color="auto"/>
            <w:left w:val="none" w:sz="0" w:space="0" w:color="auto"/>
            <w:bottom w:val="none" w:sz="0" w:space="0" w:color="auto"/>
            <w:right w:val="none" w:sz="0" w:space="0" w:color="auto"/>
          </w:divBdr>
        </w:div>
        <w:div w:id="998970689">
          <w:marLeft w:val="0"/>
          <w:marRight w:val="0"/>
          <w:marTop w:val="0"/>
          <w:marBottom w:val="0"/>
          <w:divBdr>
            <w:top w:val="none" w:sz="0" w:space="0" w:color="auto"/>
            <w:left w:val="none" w:sz="0" w:space="0" w:color="auto"/>
            <w:bottom w:val="none" w:sz="0" w:space="0" w:color="auto"/>
            <w:right w:val="none" w:sz="0" w:space="0" w:color="auto"/>
          </w:divBdr>
        </w:div>
        <w:div w:id="767038658">
          <w:marLeft w:val="0"/>
          <w:marRight w:val="0"/>
          <w:marTop w:val="0"/>
          <w:marBottom w:val="0"/>
          <w:divBdr>
            <w:top w:val="none" w:sz="0" w:space="0" w:color="auto"/>
            <w:left w:val="none" w:sz="0" w:space="0" w:color="auto"/>
            <w:bottom w:val="none" w:sz="0" w:space="0" w:color="auto"/>
            <w:right w:val="none" w:sz="0" w:space="0" w:color="auto"/>
          </w:divBdr>
        </w:div>
        <w:div w:id="1288121103">
          <w:marLeft w:val="0"/>
          <w:marRight w:val="0"/>
          <w:marTop w:val="0"/>
          <w:marBottom w:val="0"/>
          <w:divBdr>
            <w:top w:val="none" w:sz="0" w:space="0" w:color="auto"/>
            <w:left w:val="none" w:sz="0" w:space="0" w:color="auto"/>
            <w:bottom w:val="none" w:sz="0" w:space="0" w:color="auto"/>
            <w:right w:val="none" w:sz="0" w:space="0" w:color="auto"/>
          </w:divBdr>
        </w:div>
        <w:div w:id="735856018">
          <w:marLeft w:val="0"/>
          <w:marRight w:val="0"/>
          <w:marTop w:val="0"/>
          <w:marBottom w:val="0"/>
          <w:divBdr>
            <w:top w:val="none" w:sz="0" w:space="0" w:color="auto"/>
            <w:left w:val="none" w:sz="0" w:space="0" w:color="auto"/>
            <w:bottom w:val="none" w:sz="0" w:space="0" w:color="auto"/>
            <w:right w:val="none" w:sz="0" w:space="0" w:color="auto"/>
          </w:divBdr>
        </w:div>
        <w:div w:id="1248736306">
          <w:marLeft w:val="0"/>
          <w:marRight w:val="0"/>
          <w:marTop w:val="0"/>
          <w:marBottom w:val="0"/>
          <w:divBdr>
            <w:top w:val="none" w:sz="0" w:space="0" w:color="auto"/>
            <w:left w:val="none" w:sz="0" w:space="0" w:color="auto"/>
            <w:bottom w:val="none" w:sz="0" w:space="0" w:color="auto"/>
            <w:right w:val="none" w:sz="0" w:space="0" w:color="auto"/>
          </w:divBdr>
        </w:div>
        <w:div w:id="1421826728">
          <w:marLeft w:val="0"/>
          <w:marRight w:val="0"/>
          <w:marTop w:val="0"/>
          <w:marBottom w:val="0"/>
          <w:divBdr>
            <w:top w:val="none" w:sz="0" w:space="0" w:color="auto"/>
            <w:left w:val="none" w:sz="0" w:space="0" w:color="auto"/>
            <w:bottom w:val="none" w:sz="0" w:space="0" w:color="auto"/>
            <w:right w:val="none" w:sz="0" w:space="0" w:color="auto"/>
          </w:divBdr>
        </w:div>
        <w:div w:id="125702096">
          <w:marLeft w:val="0"/>
          <w:marRight w:val="0"/>
          <w:marTop w:val="0"/>
          <w:marBottom w:val="0"/>
          <w:divBdr>
            <w:top w:val="none" w:sz="0" w:space="0" w:color="auto"/>
            <w:left w:val="none" w:sz="0" w:space="0" w:color="auto"/>
            <w:bottom w:val="none" w:sz="0" w:space="0" w:color="auto"/>
            <w:right w:val="none" w:sz="0" w:space="0" w:color="auto"/>
          </w:divBdr>
        </w:div>
        <w:div w:id="1364281181">
          <w:marLeft w:val="0"/>
          <w:marRight w:val="0"/>
          <w:marTop w:val="0"/>
          <w:marBottom w:val="0"/>
          <w:divBdr>
            <w:top w:val="none" w:sz="0" w:space="0" w:color="auto"/>
            <w:left w:val="none" w:sz="0" w:space="0" w:color="auto"/>
            <w:bottom w:val="none" w:sz="0" w:space="0" w:color="auto"/>
            <w:right w:val="none" w:sz="0" w:space="0" w:color="auto"/>
          </w:divBdr>
        </w:div>
        <w:div w:id="1447431325">
          <w:marLeft w:val="0"/>
          <w:marRight w:val="0"/>
          <w:marTop w:val="0"/>
          <w:marBottom w:val="0"/>
          <w:divBdr>
            <w:top w:val="none" w:sz="0" w:space="0" w:color="auto"/>
            <w:left w:val="none" w:sz="0" w:space="0" w:color="auto"/>
            <w:bottom w:val="none" w:sz="0" w:space="0" w:color="auto"/>
            <w:right w:val="none" w:sz="0" w:space="0" w:color="auto"/>
          </w:divBdr>
        </w:div>
        <w:div w:id="1386098158">
          <w:marLeft w:val="0"/>
          <w:marRight w:val="0"/>
          <w:marTop w:val="0"/>
          <w:marBottom w:val="0"/>
          <w:divBdr>
            <w:top w:val="none" w:sz="0" w:space="0" w:color="auto"/>
            <w:left w:val="none" w:sz="0" w:space="0" w:color="auto"/>
            <w:bottom w:val="none" w:sz="0" w:space="0" w:color="auto"/>
            <w:right w:val="none" w:sz="0" w:space="0" w:color="auto"/>
          </w:divBdr>
        </w:div>
        <w:div w:id="1481965896">
          <w:marLeft w:val="0"/>
          <w:marRight w:val="0"/>
          <w:marTop w:val="0"/>
          <w:marBottom w:val="0"/>
          <w:divBdr>
            <w:top w:val="none" w:sz="0" w:space="0" w:color="auto"/>
            <w:left w:val="none" w:sz="0" w:space="0" w:color="auto"/>
            <w:bottom w:val="none" w:sz="0" w:space="0" w:color="auto"/>
            <w:right w:val="none" w:sz="0" w:space="0" w:color="auto"/>
          </w:divBdr>
        </w:div>
        <w:div w:id="2061466993">
          <w:marLeft w:val="0"/>
          <w:marRight w:val="0"/>
          <w:marTop w:val="0"/>
          <w:marBottom w:val="0"/>
          <w:divBdr>
            <w:top w:val="none" w:sz="0" w:space="0" w:color="auto"/>
            <w:left w:val="none" w:sz="0" w:space="0" w:color="auto"/>
            <w:bottom w:val="none" w:sz="0" w:space="0" w:color="auto"/>
            <w:right w:val="none" w:sz="0" w:space="0" w:color="auto"/>
          </w:divBdr>
        </w:div>
        <w:div w:id="1473910103">
          <w:marLeft w:val="0"/>
          <w:marRight w:val="0"/>
          <w:marTop w:val="0"/>
          <w:marBottom w:val="0"/>
          <w:divBdr>
            <w:top w:val="none" w:sz="0" w:space="0" w:color="auto"/>
            <w:left w:val="none" w:sz="0" w:space="0" w:color="auto"/>
            <w:bottom w:val="none" w:sz="0" w:space="0" w:color="auto"/>
            <w:right w:val="none" w:sz="0" w:space="0" w:color="auto"/>
          </w:divBdr>
        </w:div>
        <w:div w:id="702095353">
          <w:marLeft w:val="0"/>
          <w:marRight w:val="0"/>
          <w:marTop w:val="0"/>
          <w:marBottom w:val="0"/>
          <w:divBdr>
            <w:top w:val="none" w:sz="0" w:space="0" w:color="auto"/>
            <w:left w:val="none" w:sz="0" w:space="0" w:color="auto"/>
            <w:bottom w:val="none" w:sz="0" w:space="0" w:color="auto"/>
            <w:right w:val="none" w:sz="0" w:space="0" w:color="auto"/>
          </w:divBdr>
        </w:div>
        <w:div w:id="654339096">
          <w:marLeft w:val="0"/>
          <w:marRight w:val="0"/>
          <w:marTop w:val="0"/>
          <w:marBottom w:val="0"/>
          <w:divBdr>
            <w:top w:val="none" w:sz="0" w:space="0" w:color="auto"/>
            <w:left w:val="none" w:sz="0" w:space="0" w:color="auto"/>
            <w:bottom w:val="none" w:sz="0" w:space="0" w:color="auto"/>
            <w:right w:val="none" w:sz="0" w:space="0" w:color="auto"/>
          </w:divBdr>
        </w:div>
        <w:div w:id="79060908">
          <w:marLeft w:val="0"/>
          <w:marRight w:val="0"/>
          <w:marTop w:val="0"/>
          <w:marBottom w:val="0"/>
          <w:divBdr>
            <w:top w:val="none" w:sz="0" w:space="0" w:color="auto"/>
            <w:left w:val="none" w:sz="0" w:space="0" w:color="auto"/>
            <w:bottom w:val="none" w:sz="0" w:space="0" w:color="auto"/>
            <w:right w:val="none" w:sz="0" w:space="0" w:color="auto"/>
          </w:divBdr>
        </w:div>
        <w:div w:id="476073300">
          <w:marLeft w:val="0"/>
          <w:marRight w:val="0"/>
          <w:marTop w:val="0"/>
          <w:marBottom w:val="0"/>
          <w:divBdr>
            <w:top w:val="none" w:sz="0" w:space="0" w:color="auto"/>
            <w:left w:val="none" w:sz="0" w:space="0" w:color="auto"/>
            <w:bottom w:val="none" w:sz="0" w:space="0" w:color="auto"/>
            <w:right w:val="none" w:sz="0" w:space="0" w:color="auto"/>
          </w:divBdr>
        </w:div>
        <w:div w:id="418331267">
          <w:marLeft w:val="0"/>
          <w:marRight w:val="0"/>
          <w:marTop w:val="0"/>
          <w:marBottom w:val="0"/>
          <w:divBdr>
            <w:top w:val="none" w:sz="0" w:space="0" w:color="auto"/>
            <w:left w:val="none" w:sz="0" w:space="0" w:color="auto"/>
            <w:bottom w:val="none" w:sz="0" w:space="0" w:color="auto"/>
            <w:right w:val="none" w:sz="0" w:space="0" w:color="auto"/>
          </w:divBdr>
        </w:div>
        <w:div w:id="683361541">
          <w:marLeft w:val="0"/>
          <w:marRight w:val="0"/>
          <w:marTop w:val="0"/>
          <w:marBottom w:val="0"/>
          <w:divBdr>
            <w:top w:val="none" w:sz="0" w:space="0" w:color="auto"/>
            <w:left w:val="none" w:sz="0" w:space="0" w:color="auto"/>
            <w:bottom w:val="none" w:sz="0" w:space="0" w:color="auto"/>
            <w:right w:val="none" w:sz="0" w:space="0" w:color="auto"/>
          </w:divBdr>
        </w:div>
        <w:div w:id="1727022861">
          <w:marLeft w:val="0"/>
          <w:marRight w:val="0"/>
          <w:marTop w:val="0"/>
          <w:marBottom w:val="0"/>
          <w:divBdr>
            <w:top w:val="none" w:sz="0" w:space="0" w:color="auto"/>
            <w:left w:val="none" w:sz="0" w:space="0" w:color="auto"/>
            <w:bottom w:val="none" w:sz="0" w:space="0" w:color="auto"/>
            <w:right w:val="none" w:sz="0" w:space="0" w:color="auto"/>
          </w:divBdr>
        </w:div>
      </w:divsChild>
    </w:div>
    <w:div w:id="812720958">
      <w:bodyDiv w:val="1"/>
      <w:marLeft w:val="0"/>
      <w:marRight w:val="0"/>
      <w:marTop w:val="0"/>
      <w:marBottom w:val="0"/>
      <w:divBdr>
        <w:top w:val="none" w:sz="0" w:space="0" w:color="auto"/>
        <w:left w:val="none" w:sz="0" w:space="0" w:color="auto"/>
        <w:bottom w:val="none" w:sz="0" w:space="0" w:color="auto"/>
        <w:right w:val="none" w:sz="0" w:space="0" w:color="auto"/>
      </w:divBdr>
      <w:divsChild>
        <w:div w:id="1547720781">
          <w:marLeft w:val="640"/>
          <w:marRight w:val="0"/>
          <w:marTop w:val="0"/>
          <w:marBottom w:val="0"/>
          <w:divBdr>
            <w:top w:val="none" w:sz="0" w:space="0" w:color="auto"/>
            <w:left w:val="none" w:sz="0" w:space="0" w:color="auto"/>
            <w:bottom w:val="none" w:sz="0" w:space="0" w:color="auto"/>
            <w:right w:val="none" w:sz="0" w:space="0" w:color="auto"/>
          </w:divBdr>
        </w:div>
        <w:div w:id="2119062762">
          <w:marLeft w:val="640"/>
          <w:marRight w:val="0"/>
          <w:marTop w:val="0"/>
          <w:marBottom w:val="0"/>
          <w:divBdr>
            <w:top w:val="none" w:sz="0" w:space="0" w:color="auto"/>
            <w:left w:val="none" w:sz="0" w:space="0" w:color="auto"/>
            <w:bottom w:val="none" w:sz="0" w:space="0" w:color="auto"/>
            <w:right w:val="none" w:sz="0" w:space="0" w:color="auto"/>
          </w:divBdr>
        </w:div>
        <w:div w:id="1546939926">
          <w:marLeft w:val="640"/>
          <w:marRight w:val="0"/>
          <w:marTop w:val="0"/>
          <w:marBottom w:val="0"/>
          <w:divBdr>
            <w:top w:val="none" w:sz="0" w:space="0" w:color="auto"/>
            <w:left w:val="none" w:sz="0" w:space="0" w:color="auto"/>
            <w:bottom w:val="none" w:sz="0" w:space="0" w:color="auto"/>
            <w:right w:val="none" w:sz="0" w:space="0" w:color="auto"/>
          </w:divBdr>
        </w:div>
        <w:div w:id="1440678799">
          <w:marLeft w:val="640"/>
          <w:marRight w:val="0"/>
          <w:marTop w:val="0"/>
          <w:marBottom w:val="0"/>
          <w:divBdr>
            <w:top w:val="none" w:sz="0" w:space="0" w:color="auto"/>
            <w:left w:val="none" w:sz="0" w:space="0" w:color="auto"/>
            <w:bottom w:val="none" w:sz="0" w:space="0" w:color="auto"/>
            <w:right w:val="none" w:sz="0" w:space="0" w:color="auto"/>
          </w:divBdr>
        </w:div>
        <w:div w:id="1734693483">
          <w:marLeft w:val="640"/>
          <w:marRight w:val="0"/>
          <w:marTop w:val="0"/>
          <w:marBottom w:val="0"/>
          <w:divBdr>
            <w:top w:val="none" w:sz="0" w:space="0" w:color="auto"/>
            <w:left w:val="none" w:sz="0" w:space="0" w:color="auto"/>
            <w:bottom w:val="none" w:sz="0" w:space="0" w:color="auto"/>
            <w:right w:val="none" w:sz="0" w:space="0" w:color="auto"/>
          </w:divBdr>
        </w:div>
        <w:div w:id="175000810">
          <w:marLeft w:val="640"/>
          <w:marRight w:val="0"/>
          <w:marTop w:val="0"/>
          <w:marBottom w:val="0"/>
          <w:divBdr>
            <w:top w:val="none" w:sz="0" w:space="0" w:color="auto"/>
            <w:left w:val="none" w:sz="0" w:space="0" w:color="auto"/>
            <w:bottom w:val="none" w:sz="0" w:space="0" w:color="auto"/>
            <w:right w:val="none" w:sz="0" w:space="0" w:color="auto"/>
          </w:divBdr>
        </w:div>
        <w:div w:id="1780487233">
          <w:marLeft w:val="640"/>
          <w:marRight w:val="0"/>
          <w:marTop w:val="0"/>
          <w:marBottom w:val="0"/>
          <w:divBdr>
            <w:top w:val="none" w:sz="0" w:space="0" w:color="auto"/>
            <w:left w:val="none" w:sz="0" w:space="0" w:color="auto"/>
            <w:bottom w:val="none" w:sz="0" w:space="0" w:color="auto"/>
            <w:right w:val="none" w:sz="0" w:space="0" w:color="auto"/>
          </w:divBdr>
        </w:div>
        <w:div w:id="1553732262">
          <w:marLeft w:val="640"/>
          <w:marRight w:val="0"/>
          <w:marTop w:val="0"/>
          <w:marBottom w:val="0"/>
          <w:divBdr>
            <w:top w:val="none" w:sz="0" w:space="0" w:color="auto"/>
            <w:left w:val="none" w:sz="0" w:space="0" w:color="auto"/>
            <w:bottom w:val="none" w:sz="0" w:space="0" w:color="auto"/>
            <w:right w:val="none" w:sz="0" w:space="0" w:color="auto"/>
          </w:divBdr>
        </w:div>
        <w:div w:id="258565451">
          <w:marLeft w:val="640"/>
          <w:marRight w:val="0"/>
          <w:marTop w:val="0"/>
          <w:marBottom w:val="0"/>
          <w:divBdr>
            <w:top w:val="none" w:sz="0" w:space="0" w:color="auto"/>
            <w:left w:val="none" w:sz="0" w:space="0" w:color="auto"/>
            <w:bottom w:val="none" w:sz="0" w:space="0" w:color="auto"/>
            <w:right w:val="none" w:sz="0" w:space="0" w:color="auto"/>
          </w:divBdr>
        </w:div>
        <w:div w:id="1850637876">
          <w:marLeft w:val="640"/>
          <w:marRight w:val="0"/>
          <w:marTop w:val="0"/>
          <w:marBottom w:val="0"/>
          <w:divBdr>
            <w:top w:val="none" w:sz="0" w:space="0" w:color="auto"/>
            <w:left w:val="none" w:sz="0" w:space="0" w:color="auto"/>
            <w:bottom w:val="none" w:sz="0" w:space="0" w:color="auto"/>
            <w:right w:val="none" w:sz="0" w:space="0" w:color="auto"/>
          </w:divBdr>
        </w:div>
        <w:div w:id="1730877789">
          <w:marLeft w:val="640"/>
          <w:marRight w:val="0"/>
          <w:marTop w:val="0"/>
          <w:marBottom w:val="0"/>
          <w:divBdr>
            <w:top w:val="none" w:sz="0" w:space="0" w:color="auto"/>
            <w:left w:val="none" w:sz="0" w:space="0" w:color="auto"/>
            <w:bottom w:val="none" w:sz="0" w:space="0" w:color="auto"/>
            <w:right w:val="none" w:sz="0" w:space="0" w:color="auto"/>
          </w:divBdr>
        </w:div>
        <w:div w:id="2016414823">
          <w:marLeft w:val="640"/>
          <w:marRight w:val="0"/>
          <w:marTop w:val="0"/>
          <w:marBottom w:val="0"/>
          <w:divBdr>
            <w:top w:val="none" w:sz="0" w:space="0" w:color="auto"/>
            <w:left w:val="none" w:sz="0" w:space="0" w:color="auto"/>
            <w:bottom w:val="none" w:sz="0" w:space="0" w:color="auto"/>
            <w:right w:val="none" w:sz="0" w:space="0" w:color="auto"/>
          </w:divBdr>
        </w:div>
        <w:div w:id="409738473">
          <w:marLeft w:val="640"/>
          <w:marRight w:val="0"/>
          <w:marTop w:val="0"/>
          <w:marBottom w:val="0"/>
          <w:divBdr>
            <w:top w:val="none" w:sz="0" w:space="0" w:color="auto"/>
            <w:left w:val="none" w:sz="0" w:space="0" w:color="auto"/>
            <w:bottom w:val="none" w:sz="0" w:space="0" w:color="auto"/>
            <w:right w:val="none" w:sz="0" w:space="0" w:color="auto"/>
          </w:divBdr>
        </w:div>
        <w:div w:id="699430927">
          <w:marLeft w:val="640"/>
          <w:marRight w:val="0"/>
          <w:marTop w:val="0"/>
          <w:marBottom w:val="0"/>
          <w:divBdr>
            <w:top w:val="none" w:sz="0" w:space="0" w:color="auto"/>
            <w:left w:val="none" w:sz="0" w:space="0" w:color="auto"/>
            <w:bottom w:val="none" w:sz="0" w:space="0" w:color="auto"/>
            <w:right w:val="none" w:sz="0" w:space="0" w:color="auto"/>
          </w:divBdr>
        </w:div>
        <w:div w:id="1777092800">
          <w:marLeft w:val="640"/>
          <w:marRight w:val="0"/>
          <w:marTop w:val="0"/>
          <w:marBottom w:val="0"/>
          <w:divBdr>
            <w:top w:val="none" w:sz="0" w:space="0" w:color="auto"/>
            <w:left w:val="none" w:sz="0" w:space="0" w:color="auto"/>
            <w:bottom w:val="none" w:sz="0" w:space="0" w:color="auto"/>
            <w:right w:val="none" w:sz="0" w:space="0" w:color="auto"/>
          </w:divBdr>
        </w:div>
        <w:div w:id="1903447675">
          <w:marLeft w:val="640"/>
          <w:marRight w:val="0"/>
          <w:marTop w:val="0"/>
          <w:marBottom w:val="0"/>
          <w:divBdr>
            <w:top w:val="none" w:sz="0" w:space="0" w:color="auto"/>
            <w:left w:val="none" w:sz="0" w:space="0" w:color="auto"/>
            <w:bottom w:val="none" w:sz="0" w:space="0" w:color="auto"/>
            <w:right w:val="none" w:sz="0" w:space="0" w:color="auto"/>
          </w:divBdr>
        </w:div>
        <w:div w:id="1499076612">
          <w:marLeft w:val="640"/>
          <w:marRight w:val="0"/>
          <w:marTop w:val="0"/>
          <w:marBottom w:val="0"/>
          <w:divBdr>
            <w:top w:val="none" w:sz="0" w:space="0" w:color="auto"/>
            <w:left w:val="none" w:sz="0" w:space="0" w:color="auto"/>
            <w:bottom w:val="none" w:sz="0" w:space="0" w:color="auto"/>
            <w:right w:val="none" w:sz="0" w:space="0" w:color="auto"/>
          </w:divBdr>
        </w:div>
        <w:div w:id="1720739083">
          <w:marLeft w:val="640"/>
          <w:marRight w:val="0"/>
          <w:marTop w:val="0"/>
          <w:marBottom w:val="0"/>
          <w:divBdr>
            <w:top w:val="none" w:sz="0" w:space="0" w:color="auto"/>
            <w:left w:val="none" w:sz="0" w:space="0" w:color="auto"/>
            <w:bottom w:val="none" w:sz="0" w:space="0" w:color="auto"/>
            <w:right w:val="none" w:sz="0" w:space="0" w:color="auto"/>
          </w:divBdr>
        </w:div>
        <w:div w:id="1798722452">
          <w:marLeft w:val="640"/>
          <w:marRight w:val="0"/>
          <w:marTop w:val="0"/>
          <w:marBottom w:val="0"/>
          <w:divBdr>
            <w:top w:val="none" w:sz="0" w:space="0" w:color="auto"/>
            <w:left w:val="none" w:sz="0" w:space="0" w:color="auto"/>
            <w:bottom w:val="none" w:sz="0" w:space="0" w:color="auto"/>
            <w:right w:val="none" w:sz="0" w:space="0" w:color="auto"/>
          </w:divBdr>
        </w:div>
        <w:div w:id="2116440262">
          <w:marLeft w:val="640"/>
          <w:marRight w:val="0"/>
          <w:marTop w:val="0"/>
          <w:marBottom w:val="0"/>
          <w:divBdr>
            <w:top w:val="none" w:sz="0" w:space="0" w:color="auto"/>
            <w:left w:val="none" w:sz="0" w:space="0" w:color="auto"/>
            <w:bottom w:val="none" w:sz="0" w:space="0" w:color="auto"/>
            <w:right w:val="none" w:sz="0" w:space="0" w:color="auto"/>
          </w:divBdr>
        </w:div>
        <w:div w:id="1652518981">
          <w:marLeft w:val="640"/>
          <w:marRight w:val="0"/>
          <w:marTop w:val="0"/>
          <w:marBottom w:val="0"/>
          <w:divBdr>
            <w:top w:val="none" w:sz="0" w:space="0" w:color="auto"/>
            <w:left w:val="none" w:sz="0" w:space="0" w:color="auto"/>
            <w:bottom w:val="none" w:sz="0" w:space="0" w:color="auto"/>
            <w:right w:val="none" w:sz="0" w:space="0" w:color="auto"/>
          </w:divBdr>
        </w:div>
        <w:div w:id="1558663240">
          <w:marLeft w:val="640"/>
          <w:marRight w:val="0"/>
          <w:marTop w:val="0"/>
          <w:marBottom w:val="0"/>
          <w:divBdr>
            <w:top w:val="none" w:sz="0" w:space="0" w:color="auto"/>
            <w:left w:val="none" w:sz="0" w:space="0" w:color="auto"/>
            <w:bottom w:val="none" w:sz="0" w:space="0" w:color="auto"/>
            <w:right w:val="none" w:sz="0" w:space="0" w:color="auto"/>
          </w:divBdr>
        </w:div>
        <w:div w:id="1904948101">
          <w:marLeft w:val="640"/>
          <w:marRight w:val="0"/>
          <w:marTop w:val="0"/>
          <w:marBottom w:val="0"/>
          <w:divBdr>
            <w:top w:val="none" w:sz="0" w:space="0" w:color="auto"/>
            <w:left w:val="none" w:sz="0" w:space="0" w:color="auto"/>
            <w:bottom w:val="none" w:sz="0" w:space="0" w:color="auto"/>
            <w:right w:val="none" w:sz="0" w:space="0" w:color="auto"/>
          </w:divBdr>
        </w:div>
        <w:div w:id="1446655255">
          <w:marLeft w:val="640"/>
          <w:marRight w:val="0"/>
          <w:marTop w:val="0"/>
          <w:marBottom w:val="0"/>
          <w:divBdr>
            <w:top w:val="none" w:sz="0" w:space="0" w:color="auto"/>
            <w:left w:val="none" w:sz="0" w:space="0" w:color="auto"/>
            <w:bottom w:val="none" w:sz="0" w:space="0" w:color="auto"/>
            <w:right w:val="none" w:sz="0" w:space="0" w:color="auto"/>
          </w:divBdr>
        </w:div>
        <w:div w:id="1782072343">
          <w:marLeft w:val="640"/>
          <w:marRight w:val="0"/>
          <w:marTop w:val="0"/>
          <w:marBottom w:val="0"/>
          <w:divBdr>
            <w:top w:val="none" w:sz="0" w:space="0" w:color="auto"/>
            <w:left w:val="none" w:sz="0" w:space="0" w:color="auto"/>
            <w:bottom w:val="none" w:sz="0" w:space="0" w:color="auto"/>
            <w:right w:val="none" w:sz="0" w:space="0" w:color="auto"/>
          </w:divBdr>
        </w:div>
        <w:div w:id="1128862427">
          <w:marLeft w:val="640"/>
          <w:marRight w:val="0"/>
          <w:marTop w:val="0"/>
          <w:marBottom w:val="0"/>
          <w:divBdr>
            <w:top w:val="none" w:sz="0" w:space="0" w:color="auto"/>
            <w:left w:val="none" w:sz="0" w:space="0" w:color="auto"/>
            <w:bottom w:val="none" w:sz="0" w:space="0" w:color="auto"/>
            <w:right w:val="none" w:sz="0" w:space="0" w:color="auto"/>
          </w:divBdr>
        </w:div>
        <w:div w:id="446705384">
          <w:marLeft w:val="640"/>
          <w:marRight w:val="0"/>
          <w:marTop w:val="0"/>
          <w:marBottom w:val="0"/>
          <w:divBdr>
            <w:top w:val="none" w:sz="0" w:space="0" w:color="auto"/>
            <w:left w:val="none" w:sz="0" w:space="0" w:color="auto"/>
            <w:bottom w:val="none" w:sz="0" w:space="0" w:color="auto"/>
            <w:right w:val="none" w:sz="0" w:space="0" w:color="auto"/>
          </w:divBdr>
        </w:div>
        <w:div w:id="1555505785">
          <w:marLeft w:val="640"/>
          <w:marRight w:val="0"/>
          <w:marTop w:val="0"/>
          <w:marBottom w:val="0"/>
          <w:divBdr>
            <w:top w:val="none" w:sz="0" w:space="0" w:color="auto"/>
            <w:left w:val="none" w:sz="0" w:space="0" w:color="auto"/>
            <w:bottom w:val="none" w:sz="0" w:space="0" w:color="auto"/>
            <w:right w:val="none" w:sz="0" w:space="0" w:color="auto"/>
          </w:divBdr>
        </w:div>
        <w:div w:id="1608735399">
          <w:marLeft w:val="640"/>
          <w:marRight w:val="0"/>
          <w:marTop w:val="0"/>
          <w:marBottom w:val="0"/>
          <w:divBdr>
            <w:top w:val="none" w:sz="0" w:space="0" w:color="auto"/>
            <w:left w:val="none" w:sz="0" w:space="0" w:color="auto"/>
            <w:bottom w:val="none" w:sz="0" w:space="0" w:color="auto"/>
            <w:right w:val="none" w:sz="0" w:space="0" w:color="auto"/>
          </w:divBdr>
        </w:div>
        <w:div w:id="764424424">
          <w:marLeft w:val="640"/>
          <w:marRight w:val="0"/>
          <w:marTop w:val="0"/>
          <w:marBottom w:val="0"/>
          <w:divBdr>
            <w:top w:val="none" w:sz="0" w:space="0" w:color="auto"/>
            <w:left w:val="none" w:sz="0" w:space="0" w:color="auto"/>
            <w:bottom w:val="none" w:sz="0" w:space="0" w:color="auto"/>
            <w:right w:val="none" w:sz="0" w:space="0" w:color="auto"/>
          </w:divBdr>
        </w:div>
        <w:div w:id="869486737">
          <w:marLeft w:val="640"/>
          <w:marRight w:val="0"/>
          <w:marTop w:val="0"/>
          <w:marBottom w:val="0"/>
          <w:divBdr>
            <w:top w:val="none" w:sz="0" w:space="0" w:color="auto"/>
            <w:left w:val="none" w:sz="0" w:space="0" w:color="auto"/>
            <w:bottom w:val="none" w:sz="0" w:space="0" w:color="auto"/>
            <w:right w:val="none" w:sz="0" w:space="0" w:color="auto"/>
          </w:divBdr>
        </w:div>
        <w:div w:id="1197544270">
          <w:marLeft w:val="640"/>
          <w:marRight w:val="0"/>
          <w:marTop w:val="0"/>
          <w:marBottom w:val="0"/>
          <w:divBdr>
            <w:top w:val="none" w:sz="0" w:space="0" w:color="auto"/>
            <w:left w:val="none" w:sz="0" w:space="0" w:color="auto"/>
            <w:bottom w:val="none" w:sz="0" w:space="0" w:color="auto"/>
            <w:right w:val="none" w:sz="0" w:space="0" w:color="auto"/>
          </w:divBdr>
        </w:div>
        <w:div w:id="1687977416">
          <w:marLeft w:val="640"/>
          <w:marRight w:val="0"/>
          <w:marTop w:val="0"/>
          <w:marBottom w:val="0"/>
          <w:divBdr>
            <w:top w:val="none" w:sz="0" w:space="0" w:color="auto"/>
            <w:left w:val="none" w:sz="0" w:space="0" w:color="auto"/>
            <w:bottom w:val="none" w:sz="0" w:space="0" w:color="auto"/>
            <w:right w:val="none" w:sz="0" w:space="0" w:color="auto"/>
          </w:divBdr>
        </w:div>
        <w:div w:id="863327063">
          <w:marLeft w:val="640"/>
          <w:marRight w:val="0"/>
          <w:marTop w:val="0"/>
          <w:marBottom w:val="0"/>
          <w:divBdr>
            <w:top w:val="none" w:sz="0" w:space="0" w:color="auto"/>
            <w:left w:val="none" w:sz="0" w:space="0" w:color="auto"/>
            <w:bottom w:val="none" w:sz="0" w:space="0" w:color="auto"/>
            <w:right w:val="none" w:sz="0" w:space="0" w:color="auto"/>
          </w:divBdr>
        </w:div>
        <w:div w:id="36319070">
          <w:marLeft w:val="640"/>
          <w:marRight w:val="0"/>
          <w:marTop w:val="0"/>
          <w:marBottom w:val="0"/>
          <w:divBdr>
            <w:top w:val="none" w:sz="0" w:space="0" w:color="auto"/>
            <w:left w:val="none" w:sz="0" w:space="0" w:color="auto"/>
            <w:bottom w:val="none" w:sz="0" w:space="0" w:color="auto"/>
            <w:right w:val="none" w:sz="0" w:space="0" w:color="auto"/>
          </w:divBdr>
        </w:div>
        <w:div w:id="1971206545">
          <w:marLeft w:val="640"/>
          <w:marRight w:val="0"/>
          <w:marTop w:val="0"/>
          <w:marBottom w:val="0"/>
          <w:divBdr>
            <w:top w:val="none" w:sz="0" w:space="0" w:color="auto"/>
            <w:left w:val="none" w:sz="0" w:space="0" w:color="auto"/>
            <w:bottom w:val="none" w:sz="0" w:space="0" w:color="auto"/>
            <w:right w:val="none" w:sz="0" w:space="0" w:color="auto"/>
          </w:divBdr>
        </w:div>
        <w:div w:id="289285720">
          <w:marLeft w:val="640"/>
          <w:marRight w:val="0"/>
          <w:marTop w:val="0"/>
          <w:marBottom w:val="0"/>
          <w:divBdr>
            <w:top w:val="none" w:sz="0" w:space="0" w:color="auto"/>
            <w:left w:val="none" w:sz="0" w:space="0" w:color="auto"/>
            <w:bottom w:val="none" w:sz="0" w:space="0" w:color="auto"/>
            <w:right w:val="none" w:sz="0" w:space="0" w:color="auto"/>
          </w:divBdr>
        </w:div>
        <w:div w:id="1410539728">
          <w:marLeft w:val="640"/>
          <w:marRight w:val="0"/>
          <w:marTop w:val="0"/>
          <w:marBottom w:val="0"/>
          <w:divBdr>
            <w:top w:val="none" w:sz="0" w:space="0" w:color="auto"/>
            <w:left w:val="none" w:sz="0" w:space="0" w:color="auto"/>
            <w:bottom w:val="none" w:sz="0" w:space="0" w:color="auto"/>
            <w:right w:val="none" w:sz="0" w:space="0" w:color="auto"/>
          </w:divBdr>
        </w:div>
        <w:div w:id="665285270">
          <w:marLeft w:val="640"/>
          <w:marRight w:val="0"/>
          <w:marTop w:val="0"/>
          <w:marBottom w:val="0"/>
          <w:divBdr>
            <w:top w:val="none" w:sz="0" w:space="0" w:color="auto"/>
            <w:left w:val="none" w:sz="0" w:space="0" w:color="auto"/>
            <w:bottom w:val="none" w:sz="0" w:space="0" w:color="auto"/>
            <w:right w:val="none" w:sz="0" w:space="0" w:color="auto"/>
          </w:divBdr>
        </w:div>
        <w:div w:id="1069881411">
          <w:marLeft w:val="640"/>
          <w:marRight w:val="0"/>
          <w:marTop w:val="0"/>
          <w:marBottom w:val="0"/>
          <w:divBdr>
            <w:top w:val="none" w:sz="0" w:space="0" w:color="auto"/>
            <w:left w:val="none" w:sz="0" w:space="0" w:color="auto"/>
            <w:bottom w:val="none" w:sz="0" w:space="0" w:color="auto"/>
            <w:right w:val="none" w:sz="0" w:space="0" w:color="auto"/>
          </w:divBdr>
        </w:div>
        <w:div w:id="543641116">
          <w:marLeft w:val="640"/>
          <w:marRight w:val="0"/>
          <w:marTop w:val="0"/>
          <w:marBottom w:val="0"/>
          <w:divBdr>
            <w:top w:val="none" w:sz="0" w:space="0" w:color="auto"/>
            <w:left w:val="none" w:sz="0" w:space="0" w:color="auto"/>
            <w:bottom w:val="none" w:sz="0" w:space="0" w:color="auto"/>
            <w:right w:val="none" w:sz="0" w:space="0" w:color="auto"/>
          </w:divBdr>
        </w:div>
        <w:div w:id="115566652">
          <w:marLeft w:val="640"/>
          <w:marRight w:val="0"/>
          <w:marTop w:val="0"/>
          <w:marBottom w:val="0"/>
          <w:divBdr>
            <w:top w:val="none" w:sz="0" w:space="0" w:color="auto"/>
            <w:left w:val="none" w:sz="0" w:space="0" w:color="auto"/>
            <w:bottom w:val="none" w:sz="0" w:space="0" w:color="auto"/>
            <w:right w:val="none" w:sz="0" w:space="0" w:color="auto"/>
          </w:divBdr>
        </w:div>
        <w:div w:id="1357317839">
          <w:marLeft w:val="640"/>
          <w:marRight w:val="0"/>
          <w:marTop w:val="0"/>
          <w:marBottom w:val="0"/>
          <w:divBdr>
            <w:top w:val="none" w:sz="0" w:space="0" w:color="auto"/>
            <w:left w:val="none" w:sz="0" w:space="0" w:color="auto"/>
            <w:bottom w:val="none" w:sz="0" w:space="0" w:color="auto"/>
            <w:right w:val="none" w:sz="0" w:space="0" w:color="auto"/>
          </w:divBdr>
        </w:div>
        <w:div w:id="527531044">
          <w:marLeft w:val="640"/>
          <w:marRight w:val="0"/>
          <w:marTop w:val="0"/>
          <w:marBottom w:val="0"/>
          <w:divBdr>
            <w:top w:val="none" w:sz="0" w:space="0" w:color="auto"/>
            <w:left w:val="none" w:sz="0" w:space="0" w:color="auto"/>
            <w:bottom w:val="none" w:sz="0" w:space="0" w:color="auto"/>
            <w:right w:val="none" w:sz="0" w:space="0" w:color="auto"/>
          </w:divBdr>
        </w:div>
        <w:div w:id="1231889856">
          <w:marLeft w:val="640"/>
          <w:marRight w:val="0"/>
          <w:marTop w:val="0"/>
          <w:marBottom w:val="0"/>
          <w:divBdr>
            <w:top w:val="none" w:sz="0" w:space="0" w:color="auto"/>
            <w:left w:val="none" w:sz="0" w:space="0" w:color="auto"/>
            <w:bottom w:val="none" w:sz="0" w:space="0" w:color="auto"/>
            <w:right w:val="none" w:sz="0" w:space="0" w:color="auto"/>
          </w:divBdr>
        </w:div>
        <w:div w:id="278411549">
          <w:marLeft w:val="640"/>
          <w:marRight w:val="0"/>
          <w:marTop w:val="0"/>
          <w:marBottom w:val="0"/>
          <w:divBdr>
            <w:top w:val="none" w:sz="0" w:space="0" w:color="auto"/>
            <w:left w:val="none" w:sz="0" w:space="0" w:color="auto"/>
            <w:bottom w:val="none" w:sz="0" w:space="0" w:color="auto"/>
            <w:right w:val="none" w:sz="0" w:space="0" w:color="auto"/>
          </w:divBdr>
        </w:div>
        <w:div w:id="1121651718">
          <w:marLeft w:val="640"/>
          <w:marRight w:val="0"/>
          <w:marTop w:val="0"/>
          <w:marBottom w:val="0"/>
          <w:divBdr>
            <w:top w:val="none" w:sz="0" w:space="0" w:color="auto"/>
            <w:left w:val="none" w:sz="0" w:space="0" w:color="auto"/>
            <w:bottom w:val="none" w:sz="0" w:space="0" w:color="auto"/>
            <w:right w:val="none" w:sz="0" w:space="0" w:color="auto"/>
          </w:divBdr>
        </w:div>
        <w:div w:id="145124113">
          <w:marLeft w:val="640"/>
          <w:marRight w:val="0"/>
          <w:marTop w:val="0"/>
          <w:marBottom w:val="0"/>
          <w:divBdr>
            <w:top w:val="none" w:sz="0" w:space="0" w:color="auto"/>
            <w:left w:val="none" w:sz="0" w:space="0" w:color="auto"/>
            <w:bottom w:val="none" w:sz="0" w:space="0" w:color="auto"/>
            <w:right w:val="none" w:sz="0" w:space="0" w:color="auto"/>
          </w:divBdr>
        </w:div>
        <w:div w:id="1623145172">
          <w:marLeft w:val="640"/>
          <w:marRight w:val="0"/>
          <w:marTop w:val="0"/>
          <w:marBottom w:val="0"/>
          <w:divBdr>
            <w:top w:val="none" w:sz="0" w:space="0" w:color="auto"/>
            <w:left w:val="none" w:sz="0" w:space="0" w:color="auto"/>
            <w:bottom w:val="none" w:sz="0" w:space="0" w:color="auto"/>
            <w:right w:val="none" w:sz="0" w:space="0" w:color="auto"/>
          </w:divBdr>
        </w:div>
        <w:div w:id="1413964524">
          <w:marLeft w:val="640"/>
          <w:marRight w:val="0"/>
          <w:marTop w:val="0"/>
          <w:marBottom w:val="0"/>
          <w:divBdr>
            <w:top w:val="none" w:sz="0" w:space="0" w:color="auto"/>
            <w:left w:val="none" w:sz="0" w:space="0" w:color="auto"/>
            <w:bottom w:val="none" w:sz="0" w:space="0" w:color="auto"/>
            <w:right w:val="none" w:sz="0" w:space="0" w:color="auto"/>
          </w:divBdr>
        </w:div>
      </w:divsChild>
    </w:div>
    <w:div w:id="878202211">
      <w:bodyDiv w:val="1"/>
      <w:marLeft w:val="0"/>
      <w:marRight w:val="0"/>
      <w:marTop w:val="0"/>
      <w:marBottom w:val="0"/>
      <w:divBdr>
        <w:top w:val="none" w:sz="0" w:space="0" w:color="auto"/>
        <w:left w:val="none" w:sz="0" w:space="0" w:color="auto"/>
        <w:bottom w:val="none" w:sz="0" w:space="0" w:color="auto"/>
        <w:right w:val="none" w:sz="0" w:space="0" w:color="auto"/>
      </w:divBdr>
      <w:divsChild>
        <w:div w:id="852651222">
          <w:marLeft w:val="0"/>
          <w:marRight w:val="0"/>
          <w:marTop w:val="0"/>
          <w:marBottom w:val="0"/>
          <w:divBdr>
            <w:top w:val="none" w:sz="0" w:space="0" w:color="auto"/>
            <w:left w:val="none" w:sz="0" w:space="0" w:color="auto"/>
            <w:bottom w:val="none" w:sz="0" w:space="0" w:color="auto"/>
            <w:right w:val="none" w:sz="0" w:space="0" w:color="auto"/>
          </w:divBdr>
        </w:div>
        <w:div w:id="533269585">
          <w:marLeft w:val="0"/>
          <w:marRight w:val="0"/>
          <w:marTop w:val="0"/>
          <w:marBottom w:val="0"/>
          <w:divBdr>
            <w:top w:val="none" w:sz="0" w:space="0" w:color="auto"/>
            <w:left w:val="none" w:sz="0" w:space="0" w:color="auto"/>
            <w:bottom w:val="none" w:sz="0" w:space="0" w:color="auto"/>
            <w:right w:val="none" w:sz="0" w:space="0" w:color="auto"/>
          </w:divBdr>
        </w:div>
        <w:div w:id="149491650">
          <w:marLeft w:val="0"/>
          <w:marRight w:val="0"/>
          <w:marTop w:val="0"/>
          <w:marBottom w:val="0"/>
          <w:divBdr>
            <w:top w:val="none" w:sz="0" w:space="0" w:color="auto"/>
            <w:left w:val="none" w:sz="0" w:space="0" w:color="auto"/>
            <w:bottom w:val="none" w:sz="0" w:space="0" w:color="auto"/>
            <w:right w:val="none" w:sz="0" w:space="0" w:color="auto"/>
          </w:divBdr>
        </w:div>
        <w:div w:id="1001544424">
          <w:marLeft w:val="0"/>
          <w:marRight w:val="0"/>
          <w:marTop w:val="0"/>
          <w:marBottom w:val="0"/>
          <w:divBdr>
            <w:top w:val="none" w:sz="0" w:space="0" w:color="auto"/>
            <w:left w:val="none" w:sz="0" w:space="0" w:color="auto"/>
            <w:bottom w:val="none" w:sz="0" w:space="0" w:color="auto"/>
            <w:right w:val="none" w:sz="0" w:space="0" w:color="auto"/>
          </w:divBdr>
        </w:div>
        <w:div w:id="1640963977">
          <w:marLeft w:val="0"/>
          <w:marRight w:val="0"/>
          <w:marTop w:val="0"/>
          <w:marBottom w:val="0"/>
          <w:divBdr>
            <w:top w:val="none" w:sz="0" w:space="0" w:color="auto"/>
            <w:left w:val="none" w:sz="0" w:space="0" w:color="auto"/>
            <w:bottom w:val="none" w:sz="0" w:space="0" w:color="auto"/>
            <w:right w:val="none" w:sz="0" w:space="0" w:color="auto"/>
          </w:divBdr>
        </w:div>
        <w:div w:id="754013520">
          <w:marLeft w:val="0"/>
          <w:marRight w:val="0"/>
          <w:marTop w:val="0"/>
          <w:marBottom w:val="0"/>
          <w:divBdr>
            <w:top w:val="none" w:sz="0" w:space="0" w:color="auto"/>
            <w:left w:val="none" w:sz="0" w:space="0" w:color="auto"/>
            <w:bottom w:val="none" w:sz="0" w:space="0" w:color="auto"/>
            <w:right w:val="none" w:sz="0" w:space="0" w:color="auto"/>
          </w:divBdr>
        </w:div>
        <w:div w:id="2028024607">
          <w:marLeft w:val="0"/>
          <w:marRight w:val="0"/>
          <w:marTop w:val="0"/>
          <w:marBottom w:val="0"/>
          <w:divBdr>
            <w:top w:val="none" w:sz="0" w:space="0" w:color="auto"/>
            <w:left w:val="none" w:sz="0" w:space="0" w:color="auto"/>
            <w:bottom w:val="none" w:sz="0" w:space="0" w:color="auto"/>
            <w:right w:val="none" w:sz="0" w:space="0" w:color="auto"/>
          </w:divBdr>
        </w:div>
        <w:div w:id="1837376577">
          <w:marLeft w:val="0"/>
          <w:marRight w:val="0"/>
          <w:marTop w:val="0"/>
          <w:marBottom w:val="0"/>
          <w:divBdr>
            <w:top w:val="none" w:sz="0" w:space="0" w:color="auto"/>
            <w:left w:val="none" w:sz="0" w:space="0" w:color="auto"/>
            <w:bottom w:val="none" w:sz="0" w:space="0" w:color="auto"/>
            <w:right w:val="none" w:sz="0" w:space="0" w:color="auto"/>
          </w:divBdr>
        </w:div>
        <w:div w:id="1003900257">
          <w:marLeft w:val="0"/>
          <w:marRight w:val="0"/>
          <w:marTop w:val="0"/>
          <w:marBottom w:val="0"/>
          <w:divBdr>
            <w:top w:val="none" w:sz="0" w:space="0" w:color="auto"/>
            <w:left w:val="none" w:sz="0" w:space="0" w:color="auto"/>
            <w:bottom w:val="none" w:sz="0" w:space="0" w:color="auto"/>
            <w:right w:val="none" w:sz="0" w:space="0" w:color="auto"/>
          </w:divBdr>
        </w:div>
        <w:div w:id="2103723980">
          <w:marLeft w:val="0"/>
          <w:marRight w:val="0"/>
          <w:marTop w:val="0"/>
          <w:marBottom w:val="0"/>
          <w:divBdr>
            <w:top w:val="none" w:sz="0" w:space="0" w:color="auto"/>
            <w:left w:val="none" w:sz="0" w:space="0" w:color="auto"/>
            <w:bottom w:val="none" w:sz="0" w:space="0" w:color="auto"/>
            <w:right w:val="none" w:sz="0" w:space="0" w:color="auto"/>
          </w:divBdr>
        </w:div>
        <w:div w:id="2075002575">
          <w:marLeft w:val="0"/>
          <w:marRight w:val="0"/>
          <w:marTop w:val="0"/>
          <w:marBottom w:val="0"/>
          <w:divBdr>
            <w:top w:val="none" w:sz="0" w:space="0" w:color="auto"/>
            <w:left w:val="none" w:sz="0" w:space="0" w:color="auto"/>
            <w:bottom w:val="none" w:sz="0" w:space="0" w:color="auto"/>
            <w:right w:val="none" w:sz="0" w:space="0" w:color="auto"/>
          </w:divBdr>
        </w:div>
        <w:div w:id="1683630756">
          <w:marLeft w:val="0"/>
          <w:marRight w:val="0"/>
          <w:marTop w:val="0"/>
          <w:marBottom w:val="0"/>
          <w:divBdr>
            <w:top w:val="none" w:sz="0" w:space="0" w:color="auto"/>
            <w:left w:val="none" w:sz="0" w:space="0" w:color="auto"/>
            <w:bottom w:val="none" w:sz="0" w:space="0" w:color="auto"/>
            <w:right w:val="none" w:sz="0" w:space="0" w:color="auto"/>
          </w:divBdr>
        </w:div>
        <w:div w:id="347802385">
          <w:marLeft w:val="0"/>
          <w:marRight w:val="0"/>
          <w:marTop w:val="0"/>
          <w:marBottom w:val="0"/>
          <w:divBdr>
            <w:top w:val="none" w:sz="0" w:space="0" w:color="auto"/>
            <w:left w:val="none" w:sz="0" w:space="0" w:color="auto"/>
            <w:bottom w:val="none" w:sz="0" w:space="0" w:color="auto"/>
            <w:right w:val="none" w:sz="0" w:space="0" w:color="auto"/>
          </w:divBdr>
        </w:div>
        <w:div w:id="1472553852">
          <w:marLeft w:val="0"/>
          <w:marRight w:val="0"/>
          <w:marTop w:val="0"/>
          <w:marBottom w:val="0"/>
          <w:divBdr>
            <w:top w:val="none" w:sz="0" w:space="0" w:color="auto"/>
            <w:left w:val="none" w:sz="0" w:space="0" w:color="auto"/>
            <w:bottom w:val="none" w:sz="0" w:space="0" w:color="auto"/>
            <w:right w:val="none" w:sz="0" w:space="0" w:color="auto"/>
          </w:divBdr>
        </w:div>
        <w:div w:id="1420254041">
          <w:marLeft w:val="0"/>
          <w:marRight w:val="0"/>
          <w:marTop w:val="0"/>
          <w:marBottom w:val="0"/>
          <w:divBdr>
            <w:top w:val="none" w:sz="0" w:space="0" w:color="auto"/>
            <w:left w:val="none" w:sz="0" w:space="0" w:color="auto"/>
            <w:bottom w:val="none" w:sz="0" w:space="0" w:color="auto"/>
            <w:right w:val="none" w:sz="0" w:space="0" w:color="auto"/>
          </w:divBdr>
        </w:div>
        <w:div w:id="1259174453">
          <w:marLeft w:val="0"/>
          <w:marRight w:val="0"/>
          <w:marTop w:val="0"/>
          <w:marBottom w:val="0"/>
          <w:divBdr>
            <w:top w:val="none" w:sz="0" w:space="0" w:color="auto"/>
            <w:left w:val="none" w:sz="0" w:space="0" w:color="auto"/>
            <w:bottom w:val="none" w:sz="0" w:space="0" w:color="auto"/>
            <w:right w:val="none" w:sz="0" w:space="0" w:color="auto"/>
          </w:divBdr>
        </w:div>
        <w:div w:id="970285822">
          <w:marLeft w:val="0"/>
          <w:marRight w:val="0"/>
          <w:marTop w:val="0"/>
          <w:marBottom w:val="0"/>
          <w:divBdr>
            <w:top w:val="none" w:sz="0" w:space="0" w:color="auto"/>
            <w:left w:val="none" w:sz="0" w:space="0" w:color="auto"/>
            <w:bottom w:val="none" w:sz="0" w:space="0" w:color="auto"/>
            <w:right w:val="none" w:sz="0" w:space="0" w:color="auto"/>
          </w:divBdr>
        </w:div>
        <w:div w:id="430859125">
          <w:marLeft w:val="0"/>
          <w:marRight w:val="0"/>
          <w:marTop w:val="0"/>
          <w:marBottom w:val="0"/>
          <w:divBdr>
            <w:top w:val="none" w:sz="0" w:space="0" w:color="auto"/>
            <w:left w:val="none" w:sz="0" w:space="0" w:color="auto"/>
            <w:bottom w:val="none" w:sz="0" w:space="0" w:color="auto"/>
            <w:right w:val="none" w:sz="0" w:space="0" w:color="auto"/>
          </w:divBdr>
        </w:div>
        <w:div w:id="2065137079">
          <w:marLeft w:val="0"/>
          <w:marRight w:val="0"/>
          <w:marTop w:val="0"/>
          <w:marBottom w:val="0"/>
          <w:divBdr>
            <w:top w:val="none" w:sz="0" w:space="0" w:color="auto"/>
            <w:left w:val="none" w:sz="0" w:space="0" w:color="auto"/>
            <w:bottom w:val="none" w:sz="0" w:space="0" w:color="auto"/>
            <w:right w:val="none" w:sz="0" w:space="0" w:color="auto"/>
          </w:divBdr>
        </w:div>
        <w:div w:id="644161576">
          <w:marLeft w:val="0"/>
          <w:marRight w:val="0"/>
          <w:marTop w:val="0"/>
          <w:marBottom w:val="0"/>
          <w:divBdr>
            <w:top w:val="none" w:sz="0" w:space="0" w:color="auto"/>
            <w:left w:val="none" w:sz="0" w:space="0" w:color="auto"/>
            <w:bottom w:val="none" w:sz="0" w:space="0" w:color="auto"/>
            <w:right w:val="none" w:sz="0" w:space="0" w:color="auto"/>
          </w:divBdr>
        </w:div>
        <w:div w:id="1262565021">
          <w:marLeft w:val="0"/>
          <w:marRight w:val="0"/>
          <w:marTop w:val="0"/>
          <w:marBottom w:val="0"/>
          <w:divBdr>
            <w:top w:val="none" w:sz="0" w:space="0" w:color="auto"/>
            <w:left w:val="none" w:sz="0" w:space="0" w:color="auto"/>
            <w:bottom w:val="none" w:sz="0" w:space="0" w:color="auto"/>
            <w:right w:val="none" w:sz="0" w:space="0" w:color="auto"/>
          </w:divBdr>
        </w:div>
        <w:div w:id="610628585">
          <w:marLeft w:val="0"/>
          <w:marRight w:val="0"/>
          <w:marTop w:val="0"/>
          <w:marBottom w:val="0"/>
          <w:divBdr>
            <w:top w:val="none" w:sz="0" w:space="0" w:color="auto"/>
            <w:left w:val="none" w:sz="0" w:space="0" w:color="auto"/>
            <w:bottom w:val="none" w:sz="0" w:space="0" w:color="auto"/>
            <w:right w:val="none" w:sz="0" w:space="0" w:color="auto"/>
          </w:divBdr>
        </w:div>
        <w:div w:id="26030154">
          <w:marLeft w:val="0"/>
          <w:marRight w:val="0"/>
          <w:marTop w:val="0"/>
          <w:marBottom w:val="0"/>
          <w:divBdr>
            <w:top w:val="none" w:sz="0" w:space="0" w:color="auto"/>
            <w:left w:val="none" w:sz="0" w:space="0" w:color="auto"/>
            <w:bottom w:val="none" w:sz="0" w:space="0" w:color="auto"/>
            <w:right w:val="none" w:sz="0" w:space="0" w:color="auto"/>
          </w:divBdr>
        </w:div>
        <w:div w:id="956059045">
          <w:marLeft w:val="0"/>
          <w:marRight w:val="0"/>
          <w:marTop w:val="0"/>
          <w:marBottom w:val="0"/>
          <w:divBdr>
            <w:top w:val="none" w:sz="0" w:space="0" w:color="auto"/>
            <w:left w:val="none" w:sz="0" w:space="0" w:color="auto"/>
            <w:bottom w:val="none" w:sz="0" w:space="0" w:color="auto"/>
            <w:right w:val="none" w:sz="0" w:space="0" w:color="auto"/>
          </w:divBdr>
        </w:div>
        <w:div w:id="1313213159">
          <w:marLeft w:val="0"/>
          <w:marRight w:val="0"/>
          <w:marTop w:val="0"/>
          <w:marBottom w:val="0"/>
          <w:divBdr>
            <w:top w:val="none" w:sz="0" w:space="0" w:color="auto"/>
            <w:left w:val="none" w:sz="0" w:space="0" w:color="auto"/>
            <w:bottom w:val="none" w:sz="0" w:space="0" w:color="auto"/>
            <w:right w:val="none" w:sz="0" w:space="0" w:color="auto"/>
          </w:divBdr>
        </w:div>
        <w:div w:id="2072461278">
          <w:marLeft w:val="0"/>
          <w:marRight w:val="0"/>
          <w:marTop w:val="0"/>
          <w:marBottom w:val="0"/>
          <w:divBdr>
            <w:top w:val="none" w:sz="0" w:space="0" w:color="auto"/>
            <w:left w:val="none" w:sz="0" w:space="0" w:color="auto"/>
            <w:bottom w:val="none" w:sz="0" w:space="0" w:color="auto"/>
            <w:right w:val="none" w:sz="0" w:space="0" w:color="auto"/>
          </w:divBdr>
        </w:div>
        <w:div w:id="1339229809">
          <w:marLeft w:val="0"/>
          <w:marRight w:val="0"/>
          <w:marTop w:val="0"/>
          <w:marBottom w:val="0"/>
          <w:divBdr>
            <w:top w:val="none" w:sz="0" w:space="0" w:color="auto"/>
            <w:left w:val="none" w:sz="0" w:space="0" w:color="auto"/>
            <w:bottom w:val="none" w:sz="0" w:space="0" w:color="auto"/>
            <w:right w:val="none" w:sz="0" w:space="0" w:color="auto"/>
          </w:divBdr>
        </w:div>
        <w:div w:id="46494891">
          <w:marLeft w:val="0"/>
          <w:marRight w:val="0"/>
          <w:marTop w:val="0"/>
          <w:marBottom w:val="0"/>
          <w:divBdr>
            <w:top w:val="none" w:sz="0" w:space="0" w:color="auto"/>
            <w:left w:val="none" w:sz="0" w:space="0" w:color="auto"/>
            <w:bottom w:val="none" w:sz="0" w:space="0" w:color="auto"/>
            <w:right w:val="none" w:sz="0" w:space="0" w:color="auto"/>
          </w:divBdr>
        </w:div>
        <w:div w:id="993220930">
          <w:marLeft w:val="0"/>
          <w:marRight w:val="0"/>
          <w:marTop w:val="0"/>
          <w:marBottom w:val="0"/>
          <w:divBdr>
            <w:top w:val="none" w:sz="0" w:space="0" w:color="auto"/>
            <w:left w:val="none" w:sz="0" w:space="0" w:color="auto"/>
            <w:bottom w:val="none" w:sz="0" w:space="0" w:color="auto"/>
            <w:right w:val="none" w:sz="0" w:space="0" w:color="auto"/>
          </w:divBdr>
        </w:div>
        <w:div w:id="13771549">
          <w:marLeft w:val="0"/>
          <w:marRight w:val="0"/>
          <w:marTop w:val="0"/>
          <w:marBottom w:val="0"/>
          <w:divBdr>
            <w:top w:val="none" w:sz="0" w:space="0" w:color="auto"/>
            <w:left w:val="none" w:sz="0" w:space="0" w:color="auto"/>
            <w:bottom w:val="none" w:sz="0" w:space="0" w:color="auto"/>
            <w:right w:val="none" w:sz="0" w:space="0" w:color="auto"/>
          </w:divBdr>
        </w:div>
        <w:div w:id="1759982207">
          <w:marLeft w:val="0"/>
          <w:marRight w:val="0"/>
          <w:marTop w:val="0"/>
          <w:marBottom w:val="0"/>
          <w:divBdr>
            <w:top w:val="none" w:sz="0" w:space="0" w:color="auto"/>
            <w:left w:val="none" w:sz="0" w:space="0" w:color="auto"/>
            <w:bottom w:val="none" w:sz="0" w:space="0" w:color="auto"/>
            <w:right w:val="none" w:sz="0" w:space="0" w:color="auto"/>
          </w:divBdr>
        </w:div>
        <w:div w:id="837186897">
          <w:marLeft w:val="0"/>
          <w:marRight w:val="0"/>
          <w:marTop w:val="0"/>
          <w:marBottom w:val="0"/>
          <w:divBdr>
            <w:top w:val="none" w:sz="0" w:space="0" w:color="auto"/>
            <w:left w:val="none" w:sz="0" w:space="0" w:color="auto"/>
            <w:bottom w:val="none" w:sz="0" w:space="0" w:color="auto"/>
            <w:right w:val="none" w:sz="0" w:space="0" w:color="auto"/>
          </w:divBdr>
        </w:div>
        <w:div w:id="826287578">
          <w:marLeft w:val="0"/>
          <w:marRight w:val="0"/>
          <w:marTop w:val="0"/>
          <w:marBottom w:val="0"/>
          <w:divBdr>
            <w:top w:val="none" w:sz="0" w:space="0" w:color="auto"/>
            <w:left w:val="none" w:sz="0" w:space="0" w:color="auto"/>
            <w:bottom w:val="none" w:sz="0" w:space="0" w:color="auto"/>
            <w:right w:val="none" w:sz="0" w:space="0" w:color="auto"/>
          </w:divBdr>
        </w:div>
        <w:div w:id="2053187772">
          <w:marLeft w:val="0"/>
          <w:marRight w:val="0"/>
          <w:marTop w:val="0"/>
          <w:marBottom w:val="0"/>
          <w:divBdr>
            <w:top w:val="none" w:sz="0" w:space="0" w:color="auto"/>
            <w:left w:val="none" w:sz="0" w:space="0" w:color="auto"/>
            <w:bottom w:val="none" w:sz="0" w:space="0" w:color="auto"/>
            <w:right w:val="none" w:sz="0" w:space="0" w:color="auto"/>
          </w:divBdr>
        </w:div>
        <w:div w:id="1549105025">
          <w:marLeft w:val="0"/>
          <w:marRight w:val="0"/>
          <w:marTop w:val="0"/>
          <w:marBottom w:val="0"/>
          <w:divBdr>
            <w:top w:val="none" w:sz="0" w:space="0" w:color="auto"/>
            <w:left w:val="none" w:sz="0" w:space="0" w:color="auto"/>
            <w:bottom w:val="none" w:sz="0" w:space="0" w:color="auto"/>
            <w:right w:val="none" w:sz="0" w:space="0" w:color="auto"/>
          </w:divBdr>
        </w:div>
        <w:div w:id="1415935181">
          <w:marLeft w:val="0"/>
          <w:marRight w:val="0"/>
          <w:marTop w:val="0"/>
          <w:marBottom w:val="0"/>
          <w:divBdr>
            <w:top w:val="none" w:sz="0" w:space="0" w:color="auto"/>
            <w:left w:val="none" w:sz="0" w:space="0" w:color="auto"/>
            <w:bottom w:val="none" w:sz="0" w:space="0" w:color="auto"/>
            <w:right w:val="none" w:sz="0" w:space="0" w:color="auto"/>
          </w:divBdr>
        </w:div>
        <w:div w:id="936517596">
          <w:marLeft w:val="0"/>
          <w:marRight w:val="0"/>
          <w:marTop w:val="0"/>
          <w:marBottom w:val="0"/>
          <w:divBdr>
            <w:top w:val="none" w:sz="0" w:space="0" w:color="auto"/>
            <w:left w:val="none" w:sz="0" w:space="0" w:color="auto"/>
            <w:bottom w:val="none" w:sz="0" w:space="0" w:color="auto"/>
            <w:right w:val="none" w:sz="0" w:space="0" w:color="auto"/>
          </w:divBdr>
        </w:div>
        <w:div w:id="1442608705">
          <w:marLeft w:val="0"/>
          <w:marRight w:val="0"/>
          <w:marTop w:val="0"/>
          <w:marBottom w:val="0"/>
          <w:divBdr>
            <w:top w:val="none" w:sz="0" w:space="0" w:color="auto"/>
            <w:left w:val="none" w:sz="0" w:space="0" w:color="auto"/>
            <w:bottom w:val="none" w:sz="0" w:space="0" w:color="auto"/>
            <w:right w:val="none" w:sz="0" w:space="0" w:color="auto"/>
          </w:divBdr>
        </w:div>
        <w:div w:id="1871843630">
          <w:marLeft w:val="0"/>
          <w:marRight w:val="0"/>
          <w:marTop w:val="0"/>
          <w:marBottom w:val="0"/>
          <w:divBdr>
            <w:top w:val="none" w:sz="0" w:space="0" w:color="auto"/>
            <w:left w:val="none" w:sz="0" w:space="0" w:color="auto"/>
            <w:bottom w:val="none" w:sz="0" w:space="0" w:color="auto"/>
            <w:right w:val="none" w:sz="0" w:space="0" w:color="auto"/>
          </w:divBdr>
        </w:div>
        <w:div w:id="460420002">
          <w:marLeft w:val="0"/>
          <w:marRight w:val="0"/>
          <w:marTop w:val="0"/>
          <w:marBottom w:val="0"/>
          <w:divBdr>
            <w:top w:val="none" w:sz="0" w:space="0" w:color="auto"/>
            <w:left w:val="none" w:sz="0" w:space="0" w:color="auto"/>
            <w:bottom w:val="none" w:sz="0" w:space="0" w:color="auto"/>
            <w:right w:val="none" w:sz="0" w:space="0" w:color="auto"/>
          </w:divBdr>
        </w:div>
        <w:div w:id="1385712377">
          <w:marLeft w:val="0"/>
          <w:marRight w:val="0"/>
          <w:marTop w:val="0"/>
          <w:marBottom w:val="0"/>
          <w:divBdr>
            <w:top w:val="none" w:sz="0" w:space="0" w:color="auto"/>
            <w:left w:val="none" w:sz="0" w:space="0" w:color="auto"/>
            <w:bottom w:val="none" w:sz="0" w:space="0" w:color="auto"/>
            <w:right w:val="none" w:sz="0" w:space="0" w:color="auto"/>
          </w:divBdr>
        </w:div>
        <w:div w:id="342363271">
          <w:marLeft w:val="0"/>
          <w:marRight w:val="0"/>
          <w:marTop w:val="0"/>
          <w:marBottom w:val="0"/>
          <w:divBdr>
            <w:top w:val="none" w:sz="0" w:space="0" w:color="auto"/>
            <w:left w:val="none" w:sz="0" w:space="0" w:color="auto"/>
            <w:bottom w:val="none" w:sz="0" w:space="0" w:color="auto"/>
            <w:right w:val="none" w:sz="0" w:space="0" w:color="auto"/>
          </w:divBdr>
        </w:div>
        <w:div w:id="896359879">
          <w:marLeft w:val="0"/>
          <w:marRight w:val="0"/>
          <w:marTop w:val="0"/>
          <w:marBottom w:val="0"/>
          <w:divBdr>
            <w:top w:val="none" w:sz="0" w:space="0" w:color="auto"/>
            <w:left w:val="none" w:sz="0" w:space="0" w:color="auto"/>
            <w:bottom w:val="none" w:sz="0" w:space="0" w:color="auto"/>
            <w:right w:val="none" w:sz="0" w:space="0" w:color="auto"/>
          </w:divBdr>
        </w:div>
        <w:div w:id="1761484513">
          <w:marLeft w:val="0"/>
          <w:marRight w:val="0"/>
          <w:marTop w:val="0"/>
          <w:marBottom w:val="0"/>
          <w:divBdr>
            <w:top w:val="none" w:sz="0" w:space="0" w:color="auto"/>
            <w:left w:val="none" w:sz="0" w:space="0" w:color="auto"/>
            <w:bottom w:val="none" w:sz="0" w:space="0" w:color="auto"/>
            <w:right w:val="none" w:sz="0" w:space="0" w:color="auto"/>
          </w:divBdr>
        </w:div>
        <w:div w:id="413822835">
          <w:marLeft w:val="0"/>
          <w:marRight w:val="0"/>
          <w:marTop w:val="0"/>
          <w:marBottom w:val="0"/>
          <w:divBdr>
            <w:top w:val="none" w:sz="0" w:space="0" w:color="auto"/>
            <w:left w:val="none" w:sz="0" w:space="0" w:color="auto"/>
            <w:bottom w:val="none" w:sz="0" w:space="0" w:color="auto"/>
            <w:right w:val="none" w:sz="0" w:space="0" w:color="auto"/>
          </w:divBdr>
        </w:div>
        <w:div w:id="1353920204">
          <w:marLeft w:val="0"/>
          <w:marRight w:val="0"/>
          <w:marTop w:val="0"/>
          <w:marBottom w:val="0"/>
          <w:divBdr>
            <w:top w:val="none" w:sz="0" w:space="0" w:color="auto"/>
            <w:left w:val="none" w:sz="0" w:space="0" w:color="auto"/>
            <w:bottom w:val="none" w:sz="0" w:space="0" w:color="auto"/>
            <w:right w:val="none" w:sz="0" w:space="0" w:color="auto"/>
          </w:divBdr>
        </w:div>
        <w:div w:id="1053383719">
          <w:marLeft w:val="0"/>
          <w:marRight w:val="0"/>
          <w:marTop w:val="0"/>
          <w:marBottom w:val="0"/>
          <w:divBdr>
            <w:top w:val="none" w:sz="0" w:space="0" w:color="auto"/>
            <w:left w:val="none" w:sz="0" w:space="0" w:color="auto"/>
            <w:bottom w:val="none" w:sz="0" w:space="0" w:color="auto"/>
            <w:right w:val="none" w:sz="0" w:space="0" w:color="auto"/>
          </w:divBdr>
        </w:div>
        <w:div w:id="1420442092">
          <w:marLeft w:val="0"/>
          <w:marRight w:val="0"/>
          <w:marTop w:val="0"/>
          <w:marBottom w:val="0"/>
          <w:divBdr>
            <w:top w:val="none" w:sz="0" w:space="0" w:color="auto"/>
            <w:left w:val="none" w:sz="0" w:space="0" w:color="auto"/>
            <w:bottom w:val="none" w:sz="0" w:space="0" w:color="auto"/>
            <w:right w:val="none" w:sz="0" w:space="0" w:color="auto"/>
          </w:divBdr>
        </w:div>
        <w:div w:id="2109152515">
          <w:marLeft w:val="0"/>
          <w:marRight w:val="0"/>
          <w:marTop w:val="0"/>
          <w:marBottom w:val="0"/>
          <w:divBdr>
            <w:top w:val="none" w:sz="0" w:space="0" w:color="auto"/>
            <w:left w:val="none" w:sz="0" w:space="0" w:color="auto"/>
            <w:bottom w:val="none" w:sz="0" w:space="0" w:color="auto"/>
            <w:right w:val="none" w:sz="0" w:space="0" w:color="auto"/>
          </w:divBdr>
        </w:div>
        <w:div w:id="356276490">
          <w:marLeft w:val="0"/>
          <w:marRight w:val="0"/>
          <w:marTop w:val="0"/>
          <w:marBottom w:val="0"/>
          <w:divBdr>
            <w:top w:val="none" w:sz="0" w:space="0" w:color="auto"/>
            <w:left w:val="none" w:sz="0" w:space="0" w:color="auto"/>
            <w:bottom w:val="none" w:sz="0" w:space="0" w:color="auto"/>
            <w:right w:val="none" w:sz="0" w:space="0" w:color="auto"/>
          </w:divBdr>
        </w:div>
      </w:divsChild>
    </w:div>
    <w:div w:id="1034846141">
      <w:bodyDiv w:val="1"/>
      <w:marLeft w:val="0"/>
      <w:marRight w:val="0"/>
      <w:marTop w:val="0"/>
      <w:marBottom w:val="0"/>
      <w:divBdr>
        <w:top w:val="none" w:sz="0" w:space="0" w:color="auto"/>
        <w:left w:val="none" w:sz="0" w:space="0" w:color="auto"/>
        <w:bottom w:val="none" w:sz="0" w:space="0" w:color="auto"/>
        <w:right w:val="none" w:sz="0" w:space="0" w:color="auto"/>
      </w:divBdr>
      <w:divsChild>
        <w:div w:id="1002515872">
          <w:marLeft w:val="640"/>
          <w:marRight w:val="0"/>
          <w:marTop w:val="0"/>
          <w:marBottom w:val="0"/>
          <w:divBdr>
            <w:top w:val="none" w:sz="0" w:space="0" w:color="auto"/>
            <w:left w:val="none" w:sz="0" w:space="0" w:color="auto"/>
            <w:bottom w:val="none" w:sz="0" w:space="0" w:color="auto"/>
            <w:right w:val="none" w:sz="0" w:space="0" w:color="auto"/>
          </w:divBdr>
        </w:div>
        <w:div w:id="356933773">
          <w:marLeft w:val="640"/>
          <w:marRight w:val="0"/>
          <w:marTop w:val="0"/>
          <w:marBottom w:val="0"/>
          <w:divBdr>
            <w:top w:val="none" w:sz="0" w:space="0" w:color="auto"/>
            <w:left w:val="none" w:sz="0" w:space="0" w:color="auto"/>
            <w:bottom w:val="none" w:sz="0" w:space="0" w:color="auto"/>
            <w:right w:val="none" w:sz="0" w:space="0" w:color="auto"/>
          </w:divBdr>
        </w:div>
        <w:div w:id="298996297">
          <w:marLeft w:val="640"/>
          <w:marRight w:val="0"/>
          <w:marTop w:val="0"/>
          <w:marBottom w:val="0"/>
          <w:divBdr>
            <w:top w:val="none" w:sz="0" w:space="0" w:color="auto"/>
            <w:left w:val="none" w:sz="0" w:space="0" w:color="auto"/>
            <w:bottom w:val="none" w:sz="0" w:space="0" w:color="auto"/>
            <w:right w:val="none" w:sz="0" w:space="0" w:color="auto"/>
          </w:divBdr>
        </w:div>
        <w:div w:id="515118430">
          <w:marLeft w:val="640"/>
          <w:marRight w:val="0"/>
          <w:marTop w:val="0"/>
          <w:marBottom w:val="0"/>
          <w:divBdr>
            <w:top w:val="none" w:sz="0" w:space="0" w:color="auto"/>
            <w:left w:val="none" w:sz="0" w:space="0" w:color="auto"/>
            <w:bottom w:val="none" w:sz="0" w:space="0" w:color="auto"/>
            <w:right w:val="none" w:sz="0" w:space="0" w:color="auto"/>
          </w:divBdr>
        </w:div>
        <w:div w:id="1799714730">
          <w:marLeft w:val="640"/>
          <w:marRight w:val="0"/>
          <w:marTop w:val="0"/>
          <w:marBottom w:val="0"/>
          <w:divBdr>
            <w:top w:val="none" w:sz="0" w:space="0" w:color="auto"/>
            <w:left w:val="none" w:sz="0" w:space="0" w:color="auto"/>
            <w:bottom w:val="none" w:sz="0" w:space="0" w:color="auto"/>
            <w:right w:val="none" w:sz="0" w:space="0" w:color="auto"/>
          </w:divBdr>
        </w:div>
        <w:div w:id="630138413">
          <w:marLeft w:val="640"/>
          <w:marRight w:val="0"/>
          <w:marTop w:val="0"/>
          <w:marBottom w:val="0"/>
          <w:divBdr>
            <w:top w:val="none" w:sz="0" w:space="0" w:color="auto"/>
            <w:left w:val="none" w:sz="0" w:space="0" w:color="auto"/>
            <w:bottom w:val="none" w:sz="0" w:space="0" w:color="auto"/>
            <w:right w:val="none" w:sz="0" w:space="0" w:color="auto"/>
          </w:divBdr>
        </w:div>
        <w:div w:id="43606358">
          <w:marLeft w:val="640"/>
          <w:marRight w:val="0"/>
          <w:marTop w:val="0"/>
          <w:marBottom w:val="0"/>
          <w:divBdr>
            <w:top w:val="none" w:sz="0" w:space="0" w:color="auto"/>
            <w:left w:val="none" w:sz="0" w:space="0" w:color="auto"/>
            <w:bottom w:val="none" w:sz="0" w:space="0" w:color="auto"/>
            <w:right w:val="none" w:sz="0" w:space="0" w:color="auto"/>
          </w:divBdr>
        </w:div>
        <w:div w:id="1645427726">
          <w:marLeft w:val="640"/>
          <w:marRight w:val="0"/>
          <w:marTop w:val="0"/>
          <w:marBottom w:val="0"/>
          <w:divBdr>
            <w:top w:val="none" w:sz="0" w:space="0" w:color="auto"/>
            <w:left w:val="none" w:sz="0" w:space="0" w:color="auto"/>
            <w:bottom w:val="none" w:sz="0" w:space="0" w:color="auto"/>
            <w:right w:val="none" w:sz="0" w:space="0" w:color="auto"/>
          </w:divBdr>
        </w:div>
        <w:div w:id="148790013">
          <w:marLeft w:val="640"/>
          <w:marRight w:val="0"/>
          <w:marTop w:val="0"/>
          <w:marBottom w:val="0"/>
          <w:divBdr>
            <w:top w:val="none" w:sz="0" w:space="0" w:color="auto"/>
            <w:left w:val="none" w:sz="0" w:space="0" w:color="auto"/>
            <w:bottom w:val="none" w:sz="0" w:space="0" w:color="auto"/>
            <w:right w:val="none" w:sz="0" w:space="0" w:color="auto"/>
          </w:divBdr>
        </w:div>
        <w:div w:id="1949267483">
          <w:marLeft w:val="640"/>
          <w:marRight w:val="0"/>
          <w:marTop w:val="0"/>
          <w:marBottom w:val="0"/>
          <w:divBdr>
            <w:top w:val="none" w:sz="0" w:space="0" w:color="auto"/>
            <w:left w:val="none" w:sz="0" w:space="0" w:color="auto"/>
            <w:bottom w:val="none" w:sz="0" w:space="0" w:color="auto"/>
            <w:right w:val="none" w:sz="0" w:space="0" w:color="auto"/>
          </w:divBdr>
        </w:div>
        <w:div w:id="386416374">
          <w:marLeft w:val="640"/>
          <w:marRight w:val="0"/>
          <w:marTop w:val="0"/>
          <w:marBottom w:val="0"/>
          <w:divBdr>
            <w:top w:val="none" w:sz="0" w:space="0" w:color="auto"/>
            <w:left w:val="none" w:sz="0" w:space="0" w:color="auto"/>
            <w:bottom w:val="none" w:sz="0" w:space="0" w:color="auto"/>
            <w:right w:val="none" w:sz="0" w:space="0" w:color="auto"/>
          </w:divBdr>
        </w:div>
        <w:div w:id="1480264397">
          <w:marLeft w:val="640"/>
          <w:marRight w:val="0"/>
          <w:marTop w:val="0"/>
          <w:marBottom w:val="0"/>
          <w:divBdr>
            <w:top w:val="none" w:sz="0" w:space="0" w:color="auto"/>
            <w:left w:val="none" w:sz="0" w:space="0" w:color="auto"/>
            <w:bottom w:val="none" w:sz="0" w:space="0" w:color="auto"/>
            <w:right w:val="none" w:sz="0" w:space="0" w:color="auto"/>
          </w:divBdr>
        </w:div>
        <w:div w:id="2037610023">
          <w:marLeft w:val="640"/>
          <w:marRight w:val="0"/>
          <w:marTop w:val="0"/>
          <w:marBottom w:val="0"/>
          <w:divBdr>
            <w:top w:val="none" w:sz="0" w:space="0" w:color="auto"/>
            <w:left w:val="none" w:sz="0" w:space="0" w:color="auto"/>
            <w:bottom w:val="none" w:sz="0" w:space="0" w:color="auto"/>
            <w:right w:val="none" w:sz="0" w:space="0" w:color="auto"/>
          </w:divBdr>
        </w:div>
        <w:div w:id="98108312">
          <w:marLeft w:val="640"/>
          <w:marRight w:val="0"/>
          <w:marTop w:val="0"/>
          <w:marBottom w:val="0"/>
          <w:divBdr>
            <w:top w:val="none" w:sz="0" w:space="0" w:color="auto"/>
            <w:left w:val="none" w:sz="0" w:space="0" w:color="auto"/>
            <w:bottom w:val="none" w:sz="0" w:space="0" w:color="auto"/>
            <w:right w:val="none" w:sz="0" w:space="0" w:color="auto"/>
          </w:divBdr>
        </w:div>
        <w:div w:id="275213173">
          <w:marLeft w:val="640"/>
          <w:marRight w:val="0"/>
          <w:marTop w:val="0"/>
          <w:marBottom w:val="0"/>
          <w:divBdr>
            <w:top w:val="none" w:sz="0" w:space="0" w:color="auto"/>
            <w:left w:val="none" w:sz="0" w:space="0" w:color="auto"/>
            <w:bottom w:val="none" w:sz="0" w:space="0" w:color="auto"/>
            <w:right w:val="none" w:sz="0" w:space="0" w:color="auto"/>
          </w:divBdr>
        </w:div>
        <w:div w:id="1172529916">
          <w:marLeft w:val="640"/>
          <w:marRight w:val="0"/>
          <w:marTop w:val="0"/>
          <w:marBottom w:val="0"/>
          <w:divBdr>
            <w:top w:val="none" w:sz="0" w:space="0" w:color="auto"/>
            <w:left w:val="none" w:sz="0" w:space="0" w:color="auto"/>
            <w:bottom w:val="none" w:sz="0" w:space="0" w:color="auto"/>
            <w:right w:val="none" w:sz="0" w:space="0" w:color="auto"/>
          </w:divBdr>
        </w:div>
        <w:div w:id="2052995578">
          <w:marLeft w:val="640"/>
          <w:marRight w:val="0"/>
          <w:marTop w:val="0"/>
          <w:marBottom w:val="0"/>
          <w:divBdr>
            <w:top w:val="none" w:sz="0" w:space="0" w:color="auto"/>
            <w:left w:val="none" w:sz="0" w:space="0" w:color="auto"/>
            <w:bottom w:val="none" w:sz="0" w:space="0" w:color="auto"/>
            <w:right w:val="none" w:sz="0" w:space="0" w:color="auto"/>
          </w:divBdr>
        </w:div>
        <w:div w:id="1587305278">
          <w:marLeft w:val="640"/>
          <w:marRight w:val="0"/>
          <w:marTop w:val="0"/>
          <w:marBottom w:val="0"/>
          <w:divBdr>
            <w:top w:val="none" w:sz="0" w:space="0" w:color="auto"/>
            <w:left w:val="none" w:sz="0" w:space="0" w:color="auto"/>
            <w:bottom w:val="none" w:sz="0" w:space="0" w:color="auto"/>
            <w:right w:val="none" w:sz="0" w:space="0" w:color="auto"/>
          </w:divBdr>
        </w:div>
        <w:div w:id="1579361878">
          <w:marLeft w:val="640"/>
          <w:marRight w:val="0"/>
          <w:marTop w:val="0"/>
          <w:marBottom w:val="0"/>
          <w:divBdr>
            <w:top w:val="none" w:sz="0" w:space="0" w:color="auto"/>
            <w:left w:val="none" w:sz="0" w:space="0" w:color="auto"/>
            <w:bottom w:val="none" w:sz="0" w:space="0" w:color="auto"/>
            <w:right w:val="none" w:sz="0" w:space="0" w:color="auto"/>
          </w:divBdr>
        </w:div>
        <w:div w:id="1962882893">
          <w:marLeft w:val="640"/>
          <w:marRight w:val="0"/>
          <w:marTop w:val="0"/>
          <w:marBottom w:val="0"/>
          <w:divBdr>
            <w:top w:val="none" w:sz="0" w:space="0" w:color="auto"/>
            <w:left w:val="none" w:sz="0" w:space="0" w:color="auto"/>
            <w:bottom w:val="none" w:sz="0" w:space="0" w:color="auto"/>
            <w:right w:val="none" w:sz="0" w:space="0" w:color="auto"/>
          </w:divBdr>
        </w:div>
        <w:div w:id="1719739100">
          <w:marLeft w:val="640"/>
          <w:marRight w:val="0"/>
          <w:marTop w:val="0"/>
          <w:marBottom w:val="0"/>
          <w:divBdr>
            <w:top w:val="none" w:sz="0" w:space="0" w:color="auto"/>
            <w:left w:val="none" w:sz="0" w:space="0" w:color="auto"/>
            <w:bottom w:val="none" w:sz="0" w:space="0" w:color="auto"/>
            <w:right w:val="none" w:sz="0" w:space="0" w:color="auto"/>
          </w:divBdr>
        </w:div>
        <w:div w:id="1321930260">
          <w:marLeft w:val="640"/>
          <w:marRight w:val="0"/>
          <w:marTop w:val="0"/>
          <w:marBottom w:val="0"/>
          <w:divBdr>
            <w:top w:val="none" w:sz="0" w:space="0" w:color="auto"/>
            <w:left w:val="none" w:sz="0" w:space="0" w:color="auto"/>
            <w:bottom w:val="none" w:sz="0" w:space="0" w:color="auto"/>
            <w:right w:val="none" w:sz="0" w:space="0" w:color="auto"/>
          </w:divBdr>
        </w:div>
        <w:div w:id="1815444074">
          <w:marLeft w:val="640"/>
          <w:marRight w:val="0"/>
          <w:marTop w:val="0"/>
          <w:marBottom w:val="0"/>
          <w:divBdr>
            <w:top w:val="none" w:sz="0" w:space="0" w:color="auto"/>
            <w:left w:val="none" w:sz="0" w:space="0" w:color="auto"/>
            <w:bottom w:val="none" w:sz="0" w:space="0" w:color="auto"/>
            <w:right w:val="none" w:sz="0" w:space="0" w:color="auto"/>
          </w:divBdr>
        </w:div>
        <w:div w:id="1171994276">
          <w:marLeft w:val="640"/>
          <w:marRight w:val="0"/>
          <w:marTop w:val="0"/>
          <w:marBottom w:val="0"/>
          <w:divBdr>
            <w:top w:val="none" w:sz="0" w:space="0" w:color="auto"/>
            <w:left w:val="none" w:sz="0" w:space="0" w:color="auto"/>
            <w:bottom w:val="none" w:sz="0" w:space="0" w:color="auto"/>
            <w:right w:val="none" w:sz="0" w:space="0" w:color="auto"/>
          </w:divBdr>
        </w:div>
        <w:div w:id="1589071899">
          <w:marLeft w:val="640"/>
          <w:marRight w:val="0"/>
          <w:marTop w:val="0"/>
          <w:marBottom w:val="0"/>
          <w:divBdr>
            <w:top w:val="none" w:sz="0" w:space="0" w:color="auto"/>
            <w:left w:val="none" w:sz="0" w:space="0" w:color="auto"/>
            <w:bottom w:val="none" w:sz="0" w:space="0" w:color="auto"/>
            <w:right w:val="none" w:sz="0" w:space="0" w:color="auto"/>
          </w:divBdr>
        </w:div>
        <w:div w:id="764963612">
          <w:marLeft w:val="640"/>
          <w:marRight w:val="0"/>
          <w:marTop w:val="0"/>
          <w:marBottom w:val="0"/>
          <w:divBdr>
            <w:top w:val="none" w:sz="0" w:space="0" w:color="auto"/>
            <w:left w:val="none" w:sz="0" w:space="0" w:color="auto"/>
            <w:bottom w:val="none" w:sz="0" w:space="0" w:color="auto"/>
            <w:right w:val="none" w:sz="0" w:space="0" w:color="auto"/>
          </w:divBdr>
        </w:div>
        <w:div w:id="1754931711">
          <w:marLeft w:val="640"/>
          <w:marRight w:val="0"/>
          <w:marTop w:val="0"/>
          <w:marBottom w:val="0"/>
          <w:divBdr>
            <w:top w:val="none" w:sz="0" w:space="0" w:color="auto"/>
            <w:left w:val="none" w:sz="0" w:space="0" w:color="auto"/>
            <w:bottom w:val="none" w:sz="0" w:space="0" w:color="auto"/>
            <w:right w:val="none" w:sz="0" w:space="0" w:color="auto"/>
          </w:divBdr>
        </w:div>
        <w:div w:id="1900745602">
          <w:marLeft w:val="640"/>
          <w:marRight w:val="0"/>
          <w:marTop w:val="0"/>
          <w:marBottom w:val="0"/>
          <w:divBdr>
            <w:top w:val="none" w:sz="0" w:space="0" w:color="auto"/>
            <w:left w:val="none" w:sz="0" w:space="0" w:color="auto"/>
            <w:bottom w:val="none" w:sz="0" w:space="0" w:color="auto"/>
            <w:right w:val="none" w:sz="0" w:space="0" w:color="auto"/>
          </w:divBdr>
        </w:div>
        <w:div w:id="706761811">
          <w:marLeft w:val="640"/>
          <w:marRight w:val="0"/>
          <w:marTop w:val="0"/>
          <w:marBottom w:val="0"/>
          <w:divBdr>
            <w:top w:val="none" w:sz="0" w:space="0" w:color="auto"/>
            <w:left w:val="none" w:sz="0" w:space="0" w:color="auto"/>
            <w:bottom w:val="none" w:sz="0" w:space="0" w:color="auto"/>
            <w:right w:val="none" w:sz="0" w:space="0" w:color="auto"/>
          </w:divBdr>
        </w:div>
        <w:div w:id="1096823055">
          <w:marLeft w:val="640"/>
          <w:marRight w:val="0"/>
          <w:marTop w:val="0"/>
          <w:marBottom w:val="0"/>
          <w:divBdr>
            <w:top w:val="none" w:sz="0" w:space="0" w:color="auto"/>
            <w:left w:val="none" w:sz="0" w:space="0" w:color="auto"/>
            <w:bottom w:val="none" w:sz="0" w:space="0" w:color="auto"/>
            <w:right w:val="none" w:sz="0" w:space="0" w:color="auto"/>
          </w:divBdr>
        </w:div>
        <w:div w:id="1814711881">
          <w:marLeft w:val="640"/>
          <w:marRight w:val="0"/>
          <w:marTop w:val="0"/>
          <w:marBottom w:val="0"/>
          <w:divBdr>
            <w:top w:val="none" w:sz="0" w:space="0" w:color="auto"/>
            <w:left w:val="none" w:sz="0" w:space="0" w:color="auto"/>
            <w:bottom w:val="none" w:sz="0" w:space="0" w:color="auto"/>
            <w:right w:val="none" w:sz="0" w:space="0" w:color="auto"/>
          </w:divBdr>
        </w:div>
        <w:div w:id="1308777732">
          <w:marLeft w:val="640"/>
          <w:marRight w:val="0"/>
          <w:marTop w:val="0"/>
          <w:marBottom w:val="0"/>
          <w:divBdr>
            <w:top w:val="none" w:sz="0" w:space="0" w:color="auto"/>
            <w:left w:val="none" w:sz="0" w:space="0" w:color="auto"/>
            <w:bottom w:val="none" w:sz="0" w:space="0" w:color="auto"/>
            <w:right w:val="none" w:sz="0" w:space="0" w:color="auto"/>
          </w:divBdr>
        </w:div>
        <w:div w:id="446193537">
          <w:marLeft w:val="640"/>
          <w:marRight w:val="0"/>
          <w:marTop w:val="0"/>
          <w:marBottom w:val="0"/>
          <w:divBdr>
            <w:top w:val="none" w:sz="0" w:space="0" w:color="auto"/>
            <w:left w:val="none" w:sz="0" w:space="0" w:color="auto"/>
            <w:bottom w:val="none" w:sz="0" w:space="0" w:color="auto"/>
            <w:right w:val="none" w:sz="0" w:space="0" w:color="auto"/>
          </w:divBdr>
        </w:div>
        <w:div w:id="2108503219">
          <w:marLeft w:val="640"/>
          <w:marRight w:val="0"/>
          <w:marTop w:val="0"/>
          <w:marBottom w:val="0"/>
          <w:divBdr>
            <w:top w:val="none" w:sz="0" w:space="0" w:color="auto"/>
            <w:left w:val="none" w:sz="0" w:space="0" w:color="auto"/>
            <w:bottom w:val="none" w:sz="0" w:space="0" w:color="auto"/>
            <w:right w:val="none" w:sz="0" w:space="0" w:color="auto"/>
          </w:divBdr>
        </w:div>
        <w:div w:id="1519738658">
          <w:marLeft w:val="640"/>
          <w:marRight w:val="0"/>
          <w:marTop w:val="0"/>
          <w:marBottom w:val="0"/>
          <w:divBdr>
            <w:top w:val="none" w:sz="0" w:space="0" w:color="auto"/>
            <w:left w:val="none" w:sz="0" w:space="0" w:color="auto"/>
            <w:bottom w:val="none" w:sz="0" w:space="0" w:color="auto"/>
            <w:right w:val="none" w:sz="0" w:space="0" w:color="auto"/>
          </w:divBdr>
        </w:div>
        <w:div w:id="1716543691">
          <w:marLeft w:val="640"/>
          <w:marRight w:val="0"/>
          <w:marTop w:val="0"/>
          <w:marBottom w:val="0"/>
          <w:divBdr>
            <w:top w:val="none" w:sz="0" w:space="0" w:color="auto"/>
            <w:left w:val="none" w:sz="0" w:space="0" w:color="auto"/>
            <w:bottom w:val="none" w:sz="0" w:space="0" w:color="auto"/>
            <w:right w:val="none" w:sz="0" w:space="0" w:color="auto"/>
          </w:divBdr>
        </w:div>
        <w:div w:id="1884636463">
          <w:marLeft w:val="640"/>
          <w:marRight w:val="0"/>
          <w:marTop w:val="0"/>
          <w:marBottom w:val="0"/>
          <w:divBdr>
            <w:top w:val="none" w:sz="0" w:space="0" w:color="auto"/>
            <w:left w:val="none" w:sz="0" w:space="0" w:color="auto"/>
            <w:bottom w:val="none" w:sz="0" w:space="0" w:color="auto"/>
            <w:right w:val="none" w:sz="0" w:space="0" w:color="auto"/>
          </w:divBdr>
        </w:div>
        <w:div w:id="65612985">
          <w:marLeft w:val="640"/>
          <w:marRight w:val="0"/>
          <w:marTop w:val="0"/>
          <w:marBottom w:val="0"/>
          <w:divBdr>
            <w:top w:val="none" w:sz="0" w:space="0" w:color="auto"/>
            <w:left w:val="none" w:sz="0" w:space="0" w:color="auto"/>
            <w:bottom w:val="none" w:sz="0" w:space="0" w:color="auto"/>
            <w:right w:val="none" w:sz="0" w:space="0" w:color="auto"/>
          </w:divBdr>
        </w:div>
        <w:div w:id="1367177816">
          <w:marLeft w:val="640"/>
          <w:marRight w:val="0"/>
          <w:marTop w:val="0"/>
          <w:marBottom w:val="0"/>
          <w:divBdr>
            <w:top w:val="none" w:sz="0" w:space="0" w:color="auto"/>
            <w:left w:val="none" w:sz="0" w:space="0" w:color="auto"/>
            <w:bottom w:val="none" w:sz="0" w:space="0" w:color="auto"/>
            <w:right w:val="none" w:sz="0" w:space="0" w:color="auto"/>
          </w:divBdr>
        </w:div>
        <w:div w:id="1366443984">
          <w:marLeft w:val="640"/>
          <w:marRight w:val="0"/>
          <w:marTop w:val="0"/>
          <w:marBottom w:val="0"/>
          <w:divBdr>
            <w:top w:val="none" w:sz="0" w:space="0" w:color="auto"/>
            <w:left w:val="none" w:sz="0" w:space="0" w:color="auto"/>
            <w:bottom w:val="none" w:sz="0" w:space="0" w:color="auto"/>
            <w:right w:val="none" w:sz="0" w:space="0" w:color="auto"/>
          </w:divBdr>
        </w:div>
        <w:div w:id="823668043">
          <w:marLeft w:val="640"/>
          <w:marRight w:val="0"/>
          <w:marTop w:val="0"/>
          <w:marBottom w:val="0"/>
          <w:divBdr>
            <w:top w:val="none" w:sz="0" w:space="0" w:color="auto"/>
            <w:left w:val="none" w:sz="0" w:space="0" w:color="auto"/>
            <w:bottom w:val="none" w:sz="0" w:space="0" w:color="auto"/>
            <w:right w:val="none" w:sz="0" w:space="0" w:color="auto"/>
          </w:divBdr>
        </w:div>
        <w:div w:id="1232807773">
          <w:marLeft w:val="640"/>
          <w:marRight w:val="0"/>
          <w:marTop w:val="0"/>
          <w:marBottom w:val="0"/>
          <w:divBdr>
            <w:top w:val="none" w:sz="0" w:space="0" w:color="auto"/>
            <w:left w:val="none" w:sz="0" w:space="0" w:color="auto"/>
            <w:bottom w:val="none" w:sz="0" w:space="0" w:color="auto"/>
            <w:right w:val="none" w:sz="0" w:space="0" w:color="auto"/>
          </w:divBdr>
        </w:div>
        <w:div w:id="1512719536">
          <w:marLeft w:val="640"/>
          <w:marRight w:val="0"/>
          <w:marTop w:val="0"/>
          <w:marBottom w:val="0"/>
          <w:divBdr>
            <w:top w:val="none" w:sz="0" w:space="0" w:color="auto"/>
            <w:left w:val="none" w:sz="0" w:space="0" w:color="auto"/>
            <w:bottom w:val="none" w:sz="0" w:space="0" w:color="auto"/>
            <w:right w:val="none" w:sz="0" w:space="0" w:color="auto"/>
          </w:divBdr>
        </w:div>
        <w:div w:id="1425423134">
          <w:marLeft w:val="640"/>
          <w:marRight w:val="0"/>
          <w:marTop w:val="0"/>
          <w:marBottom w:val="0"/>
          <w:divBdr>
            <w:top w:val="none" w:sz="0" w:space="0" w:color="auto"/>
            <w:left w:val="none" w:sz="0" w:space="0" w:color="auto"/>
            <w:bottom w:val="none" w:sz="0" w:space="0" w:color="auto"/>
            <w:right w:val="none" w:sz="0" w:space="0" w:color="auto"/>
          </w:divBdr>
        </w:div>
        <w:div w:id="2086604053">
          <w:marLeft w:val="640"/>
          <w:marRight w:val="0"/>
          <w:marTop w:val="0"/>
          <w:marBottom w:val="0"/>
          <w:divBdr>
            <w:top w:val="none" w:sz="0" w:space="0" w:color="auto"/>
            <w:left w:val="none" w:sz="0" w:space="0" w:color="auto"/>
            <w:bottom w:val="none" w:sz="0" w:space="0" w:color="auto"/>
            <w:right w:val="none" w:sz="0" w:space="0" w:color="auto"/>
          </w:divBdr>
        </w:div>
        <w:div w:id="709376963">
          <w:marLeft w:val="640"/>
          <w:marRight w:val="0"/>
          <w:marTop w:val="0"/>
          <w:marBottom w:val="0"/>
          <w:divBdr>
            <w:top w:val="none" w:sz="0" w:space="0" w:color="auto"/>
            <w:left w:val="none" w:sz="0" w:space="0" w:color="auto"/>
            <w:bottom w:val="none" w:sz="0" w:space="0" w:color="auto"/>
            <w:right w:val="none" w:sz="0" w:space="0" w:color="auto"/>
          </w:divBdr>
        </w:div>
        <w:div w:id="1864123162">
          <w:marLeft w:val="640"/>
          <w:marRight w:val="0"/>
          <w:marTop w:val="0"/>
          <w:marBottom w:val="0"/>
          <w:divBdr>
            <w:top w:val="none" w:sz="0" w:space="0" w:color="auto"/>
            <w:left w:val="none" w:sz="0" w:space="0" w:color="auto"/>
            <w:bottom w:val="none" w:sz="0" w:space="0" w:color="auto"/>
            <w:right w:val="none" w:sz="0" w:space="0" w:color="auto"/>
          </w:divBdr>
        </w:div>
        <w:div w:id="856694055">
          <w:marLeft w:val="640"/>
          <w:marRight w:val="0"/>
          <w:marTop w:val="0"/>
          <w:marBottom w:val="0"/>
          <w:divBdr>
            <w:top w:val="none" w:sz="0" w:space="0" w:color="auto"/>
            <w:left w:val="none" w:sz="0" w:space="0" w:color="auto"/>
            <w:bottom w:val="none" w:sz="0" w:space="0" w:color="auto"/>
            <w:right w:val="none" w:sz="0" w:space="0" w:color="auto"/>
          </w:divBdr>
        </w:div>
        <w:div w:id="394205838">
          <w:marLeft w:val="640"/>
          <w:marRight w:val="0"/>
          <w:marTop w:val="0"/>
          <w:marBottom w:val="0"/>
          <w:divBdr>
            <w:top w:val="none" w:sz="0" w:space="0" w:color="auto"/>
            <w:left w:val="none" w:sz="0" w:space="0" w:color="auto"/>
            <w:bottom w:val="none" w:sz="0" w:space="0" w:color="auto"/>
            <w:right w:val="none" w:sz="0" w:space="0" w:color="auto"/>
          </w:divBdr>
        </w:div>
        <w:div w:id="1043290001">
          <w:marLeft w:val="640"/>
          <w:marRight w:val="0"/>
          <w:marTop w:val="0"/>
          <w:marBottom w:val="0"/>
          <w:divBdr>
            <w:top w:val="none" w:sz="0" w:space="0" w:color="auto"/>
            <w:left w:val="none" w:sz="0" w:space="0" w:color="auto"/>
            <w:bottom w:val="none" w:sz="0" w:space="0" w:color="auto"/>
            <w:right w:val="none" w:sz="0" w:space="0" w:color="auto"/>
          </w:divBdr>
        </w:div>
      </w:divsChild>
    </w:div>
    <w:div w:id="1223367967">
      <w:bodyDiv w:val="1"/>
      <w:marLeft w:val="0"/>
      <w:marRight w:val="0"/>
      <w:marTop w:val="0"/>
      <w:marBottom w:val="0"/>
      <w:divBdr>
        <w:top w:val="none" w:sz="0" w:space="0" w:color="auto"/>
        <w:left w:val="none" w:sz="0" w:space="0" w:color="auto"/>
        <w:bottom w:val="none" w:sz="0" w:space="0" w:color="auto"/>
        <w:right w:val="none" w:sz="0" w:space="0" w:color="auto"/>
      </w:divBdr>
      <w:divsChild>
        <w:div w:id="472063263">
          <w:marLeft w:val="0"/>
          <w:marRight w:val="0"/>
          <w:marTop w:val="0"/>
          <w:marBottom w:val="0"/>
          <w:divBdr>
            <w:top w:val="none" w:sz="0" w:space="0" w:color="auto"/>
            <w:left w:val="none" w:sz="0" w:space="0" w:color="auto"/>
            <w:bottom w:val="none" w:sz="0" w:space="0" w:color="auto"/>
            <w:right w:val="none" w:sz="0" w:space="0" w:color="auto"/>
          </w:divBdr>
        </w:div>
      </w:divsChild>
    </w:div>
    <w:div w:id="1238978416">
      <w:bodyDiv w:val="1"/>
      <w:marLeft w:val="0"/>
      <w:marRight w:val="0"/>
      <w:marTop w:val="0"/>
      <w:marBottom w:val="0"/>
      <w:divBdr>
        <w:top w:val="none" w:sz="0" w:space="0" w:color="auto"/>
        <w:left w:val="none" w:sz="0" w:space="0" w:color="auto"/>
        <w:bottom w:val="none" w:sz="0" w:space="0" w:color="auto"/>
        <w:right w:val="none" w:sz="0" w:space="0" w:color="auto"/>
      </w:divBdr>
      <w:divsChild>
        <w:div w:id="495387567">
          <w:marLeft w:val="0"/>
          <w:marRight w:val="0"/>
          <w:marTop w:val="0"/>
          <w:marBottom w:val="0"/>
          <w:divBdr>
            <w:top w:val="none" w:sz="0" w:space="0" w:color="auto"/>
            <w:left w:val="none" w:sz="0" w:space="0" w:color="auto"/>
            <w:bottom w:val="none" w:sz="0" w:space="0" w:color="auto"/>
            <w:right w:val="none" w:sz="0" w:space="0" w:color="auto"/>
          </w:divBdr>
        </w:div>
      </w:divsChild>
    </w:div>
    <w:div w:id="1273396065">
      <w:bodyDiv w:val="1"/>
      <w:marLeft w:val="0"/>
      <w:marRight w:val="0"/>
      <w:marTop w:val="0"/>
      <w:marBottom w:val="0"/>
      <w:divBdr>
        <w:top w:val="none" w:sz="0" w:space="0" w:color="auto"/>
        <w:left w:val="none" w:sz="0" w:space="0" w:color="auto"/>
        <w:bottom w:val="none" w:sz="0" w:space="0" w:color="auto"/>
        <w:right w:val="none" w:sz="0" w:space="0" w:color="auto"/>
      </w:divBdr>
      <w:divsChild>
        <w:div w:id="895042475">
          <w:marLeft w:val="0"/>
          <w:marRight w:val="0"/>
          <w:marTop w:val="0"/>
          <w:marBottom w:val="0"/>
          <w:divBdr>
            <w:top w:val="none" w:sz="0" w:space="0" w:color="auto"/>
            <w:left w:val="none" w:sz="0" w:space="0" w:color="auto"/>
            <w:bottom w:val="none" w:sz="0" w:space="0" w:color="auto"/>
            <w:right w:val="none" w:sz="0" w:space="0" w:color="auto"/>
          </w:divBdr>
        </w:div>
        <w:div w:id="847990269">
          <w:marLeft w:val="0"/>
          <w:marRight w:val="0"/>
          <w:marTop w:val="0"/>
          <w:marBottom w:val="0"/>
          <w:divBdr>
            <w:top w:val="none" w:sz="0" w:space="0" w:color="auto"/>
            <w:left w:val="none" w:sz="0" w:space="0" w:color="auto"/>
            <w:bottom w:val="none" w:sz="0" w:space="0" w:color="auto"/>
            <w:right w:val="none" w:sz="0" w:space="0" w:color="auto"/>
          </w:divBdr>
        </w:div>
        <w:div w:id="1860924286">
          <w:marLeft w:val="0"/>
          <w:marRight w:val="0"/>
          <w:marTop w:val="0"/>
          <w:marBottom w:val="0"/>
          <w:divBdr>
            <w:top w:val="none" w:sz="0" w:space="0" w:color="auto"/>
            <w:left w:val="none" w:sz="0" w:space="0" w:color="auto"/>
            <w:bottom w:val="none" w:sz="0" w:space="0" w:color="auto"/>
            <w:right w:val="none" w:sz="0" w:space="0" w:color="auto"/>
          </w:divBdr>
        </w:div>
        <w:div w:id="1995336706">
          <w:marLeft w:val="0"/>
          <w:marRight w:val="0"/>
          <w:marTop w:val="0"/>
          <w:marBottom w:val="0"/>
          <w:divBdr>
            <w:top w:val="none" w:sz="0" w:space="0" w:color="auto"/>
            <w:left w:val="none" w:sz="0" w:space="0" w:color="auto"/>
            <w:bottom w:val="none" w:sz="0" w:space="0" w:color="auto"/>
            <w:right w:val="none" w:sz="0" w:space="0" w:color="auto"/>
          </w:divBdr>
        </w:div>
        <w:div w:id="2089113460">
          <w:marLeft w:val="0"/>
          <w:marRight w:val="0"/>
          <w:marTop w:val="0"/>
          <w:marBottom w:val="0"/>
          <w:divBdr>
            <w:top w:val="none" w:sz="0" w:space="0" w:color="auto"/>
            <w:left w:val="none" w:sz="0" w:space="0" w:color="auto"/>
            <w:bottom w:val="none" w:sz="0" w:space="0" w:color="auto"/>
            <w:right w:val="none" w:sz="0" w:space="0" w:color="auto"/>
          </w:divBdr>
        </w:div>
        <w:div w:id="1248809004">
          <w:marLeft w:val="0"/>
          <w:marRight w:val="0"/>
          <w:marTop w:val="0"/>
          <w:marBottom w:val="0"/>
          <w:divBdr>
            <w:top w:val="none" w:sz="0" w:space="0" w:color="auto"/>
            <w:left w:val="none" w:sz="0" w:space="0" w:color="auto"/>
            <w:bottom w:val="none" w:sz="0" w:space="0" w:color="auto"/>
            <w:right w:val="none" w:sz="0" w:space="0" w:color="auto"/>
          </w:divBdr>
        </w:div>
        <w:div w:id="1783913061">
          <w:marLeft w:val="0"/>
          <w:marRight w:val="0"/>
          <w:marTop w:val="0"/>
          <w:marBottom w:val="0"/>
          <w:divBdr>
            <w:top w:val="none" w:sz="0" w:space="0" w:color="auto"/>
            <w:left w:val="none" w:sz="0" w:space="0" w:color="auto"/>
            <w:bottom w:val="none" w:sz="0" w:space="0" w:color="auto"/>
            <w:right w:val="none" w:sz="0" w:space="0" w:color="auto"/>
          </w:divBdr>
        </w:div>
        <w:div w:id="817301941">
          <w:marLeft w:val="0"/>
          <w:marRight w:val="0"/>
          <w:marTop w:val="0"/>
          <w:marBottom w:val="0"/>
          <w:divBdr>
            <w:top w:val="none" w:sz="0" w:space="0" w:color="auto"/>
            <w:left w:val="none" w:sz="0" w:space="0" w:color="auto"/>
            <w:bottom w:val="none" w:sz="0" w:space="0" w:color="auto"/>
            <w:right w:val="none" w:sz="0" w:space="0" w:color="auto"/>
          </w:divBdr>
        </w:div>
        <w:div w:id="1024481525">
          <w:marLeft w:val="0"/>
          <w:marRight w:val="0"/>
          <w:marTop w:val="0"/>
          <w:marBottom w:val="0"/>
          <w:divBdr>
            <w:top w:val="none" w:sz="0" w:space="0" w:color="auto"/>
            <w:left w:val="none" w:sz="0" w:space="0" w:color="auto"/>
            <w:bottom w:val="none" w:sz="0" w:space="0" w:color="auto"/>
            <w:right w:val="none" w:sz="0" w:space="0" w:color="auto"/>
          </w:divBdr>
        </w:div>
        <w:div w:id="888764259">
          <w:marLeft w:val="0"/>
          <w:marRight w:val="0"/>
          <w:marTop w:val="0"/>
          <w:marBottom w:val="0"/>
          <w:divBdr>
            <w:top w:val="none" w:sz="0" w:space="0" w:color="auto"/>
            <w:left w:val="none" w:sz="0" w:space="0" w:color="auto"/>
            <w:bottom w:val="none" w:sz="0" w:space="0" w:color="auto"/>
            <w:right w:val="none" w:sz="0" w:space="0" w:color="auto"/>
          </w:divBdr>
        </w:div>
        <w:div w:id="2139446186">
          <w:marLeft w:val="0"/>
          <w:marRight w:val="0"/>
          <w:marTop w:val="0"/>
          <w:marBottom w:val="0"/>
          <w:divBdr>
            <w:top w:val="none" w:sz="0" w:space="0" w:color="auto"/>
            <w:left w:val="none" w:sz="0" w:space="0" w:color="auto"/>
            <w:bottom w:val="none" w:sz="0" w:space="0" w:color="auto"/>
            <w:right w:val="none" w:sz="0" w:space="0" w:color="auto"/>
          </w:divBdr>
        </w:div>
        <w:div w:id="664236978">
          <w:marLeft w:val="0"/>
          <w:marRight w:val="0"/>
          <w:marTop w:val="0"/>
          <w:marBottom w:val="0"/>
          <w:divBdr>
            <w:top w:val="none" w:sz="0" w:space="0" w:color="auto"/>
            <w:left w:val="none" w:sz="0" w:space="0" w:color="auto"/>
            <w:bottom w:val="none" w:sz="0" w:space="0" w:color="auto"/>
            <w:right w:val="none" w:sz="0" w:space="0" w:color="auto"/>
          </w:divBdr>
        </w:div>
        <w:div w:id="1318337751">
          <w:marLeft w:val="0"/>
          <w:marRight w:val="0"/>
          <w:marTop w:val="0"/>
          <w:marBottom w:val="0"/>
          <w:divBdr>
            <w:top w:val="none" w:sz="0" w:space="0" w:color="auto"/>
            <w:left w:val="none" w:sz="0" w:space="0" w:color="auto"/>
            <w:bottom w:val="none" w:sz="0" w:space="0" w:color="auto"/>
            <w:right w:val="none" w:sz="0" w:space="0" w:color="auto"/>
          </w:divBdr>
        </w:div>
        <w:div w:id="1359509741">
          <w:marLeft w:val="0"/>
          <w:marRight w:val="0"/>
          <w:marTop w:val="0"/>
          <w:marBottom w:val="0"/>
          <w:divBdr>
            <w:top w:val="none" w:sz="0" w:space="0" w:color="auto"/>
            <w:left w:val="none" w:sz="0" w:space="0" w:color="auto"/>
            <w:bottom w:val="none" w:sz="0" w:space="0" w:color="auto"/>
            <w:right w:val="none" w:sz="0" w:space="0" w:color="auto"/>
          </w:divBdr>
        </w:div>
        <w:div w:id="2075010230">
          <w:marLeft w:val="0"/>
          <w:marRight w:val="0"/>
          <w:marTop w:val="0"/>
          <w:marBottom w:val="0"/>
          <w:divBdr>
            <w:top w:val="none" w:sz="0" w:space="0" w:color="auto"/>
            <w:left w:val="none" w:sz="0" w:space="0" w:color="auto"/>
            <w:bottom w:val="none" w:sz="0" w:space="0" w:color="auto"/>
            <w:right w:val="none" w:sz="0" w:space="0" w:color="auto"/>
          </w:divBdr>
        </w:div>
        <w:div w:id="1573810898">
          <w:marLeft w:val="0"/>
          <w:marRight w:val="0"/>
          <w:marTop w:val="0"/>
          <w:marBottom w:val="0"/>
          <w:divBdr>
            <w:top w:val="none" w:sz="0" w:space="0" w:color="auto"/>
            <w:left w:val="none" w:sz="0" w:space="0" w:color="auto"/>
            <w:bottom w:val="none" w:sz="0" w:space="0" w:color="auto"/>
            <w:right w:val="none" w:sz="0" w:space="0" w:color="auto"/>
          </w:divBdr>
        </w:div>
        <w:div w:id="926694322">
          <w:marLeft w:val="0"/>
          <w:marRight w:val="0"/>
          <w:marTop w:val="0"/>
          <w:marBottom w:val="0"/>
          <w:divBdr>
            <w:top w:val="none" w:sz="0" w:space="0" w:color="auto"/>
            <w:left w:val="none" w:sz="0" w:space="0" w:color="auto"/>
            <w:bottom w:val="none" w:sz="0" w:space="0" w:color="auto"/>
            <w:right w:val="none" w:sz="0" w:space="0" w:color="auto"/>
          </w:divBdr>
        </w:div>
        <w:div w:id="732581642">
          <w:marLeft w:val="0"/>
          <w:marRight w:val="0"/>
          <w:marTop w:val="0"/>
          <w:marBottom w:val="0"/>
          <w:divBdr>
            <w:top w:val="none" w:sz="0" w:space="0" w:color="auto"/>
            <w:left w:val="none" w:sz="0" w:space="0" w:color="auto"/>
            <w:bottom w:val="none" w:sz="0" w:space="0" w:color="auto"/>
            <w:right w:val="none" w:sz="0" w:space="0" w:color="auto"/>
          </w:divBdr>
        </w:div>
        <w:div w:id="1443652447">
          <w:marLeft w:val="0"/>
          <w:marRight w:val="0"/>
          <w:marTop w:val="0"/>
          <w:marBottom w:val="0"/>
          <w:divBdr>
            <w:top w:val="none" w:sz="0" w:space="0" w:color="auto"/>
            <w:left w:val="none" w:sz="0" w:space="0" w:color="auto"/>
            <w:bottom w:val="none" w:sz="0" w:space="0" w:color="auto"/>
            <w:right w:val="none" w:sz="0" w:space="0" w:color="auto"/>
          </w:divBdr>
        </w:div>
        <w:div w:id="403259130">
          <w:marLeft w:val="0"/>
          <w:marRight w:val="0"/>
          <w:marTop w:val="0"/>
          <w:marBottom w:val="0"/>
          <w:divBdr>
            <w:top w:val="none" w:sz="0" w:space="0" w:color="auto"/>
            <w:left w:val="none" w:sz="0" w:space="0" w:color="auto"/>
            <w:bottom w:val="none" w:sz="0" w:space="0" w:color="auto"/>
            <w:right w:val="none" w:sz="0" w:space="0" w:color="auto"/>
          </w:divBdr>
        </w:div>
        <w:div w:id="1273440189">
          <w:marLeft w:val="0"/>
          <w:marRight w:val="0"/>
          <w:marTop w:val="0"/>
          <w:marBottom w:val="0"/>
          <w:divBdr>
            <w:top w:val="none" w:sz="0" w:space="0" w:color="auto"/>
            <w:left w:val="none" w:sz="0" w:space="0" w:color="auto"/>
            <w:bottom w:val="none" w:sz="0" w:space="0" w:color="auto"/>
            <w:right w:val="none" w:sz="0" w:space="0" w:color="auto"/>
          </w:divBdr>
        </w:div>
        <w:div w:id="221334998">
          <w:marLeft w:val="0"/>
          <w:marRight w:val="0"/>
          <w:marTop w:val="0"/>
          <w:marBottom w:val="0"/>
          <w:divBdr>
            <w:top w:val="none" w:sz="0" w:space="0" w:color="auto"/>
            <w:left w:val="none" w:sz="0" w:space="0" w:color="auto"/>
            <w:bottom w:val="none" w:sz="0" w:space="0" w:color="auto"/>
            <w:right w:val="none" w:sz="0" w:space="0" w:color="auto"/>
          </w:divBdr>
        </w:div>
        <w:div w:id="1293752641">
          <w:marLeft w:val="0"/>
          <w:marRight w:val="0"/>
          <w:marTop w:val="0"/>
          <w:marBottom w:val="0"/>
          <w:divBdr>
            <w:top w:val="none" w:sz="0" w:space="0" w:color="auto"/>
            <w:left w:val="none" w:sz="0" w:space="0" w:color="auto"/>
            <w:bottom w:val="none" w:sz="0" w:space="0" w:color="auto"/>
            <w:right w:val="none" w:sz="0" w:space="0" w:color="auto"/>
          </w:divBdr>
        </w:div>
        <w:div w:id="1879079183">
          <w:marLeft w:val="0"/>
          <w:marRight w:val="0"/>
          <w:marTop w:val="0"/>
          <w:marBottom w:val="0"/>
          <w:divBdr>
            <w:top w:val="none" w:sz="0" w:space="0" w:color="auto"/>
            <w:left w:val="none" w:sz="0" w:space="0" w:color="auto"/>
            <w:bottom w:val="none" w:sz="0" w:space="0" w:color="auto"/>
            <w:right w:val="none" w:sz="0" w:space="0" w:color="auto"/>
          </w:divBdr>
        </w:div>
        <w:div w:id="1120954531">
          <w:marLeft w:val="0"/>
          <w:marRight w:val="0"/>
          <w:marTop w:val="0"/>
          <w:marBottom w:val="0"/>
          <w:divBdr>
            <w:top w:val="none" w:sz="0" w:space="0" w:color="auto"/>
            <w:left w:val="none" w:sz="0" w:space="0" w:color="auto"/>
            <w:bottom w:val="none" w:sz="0" w:space="0" w:color="auto"/>
            <w:right w:val="none" w:sz="0" w:space="0" w:color="auto"/>
          </w:divBdr>
        </w:div>
        <w:div w:id="2042898170">
          <w:marLeft w:val="0"/>
          <w:marRight w:val="0"/>
          <w:marTop w:val="0"/>
          <w:marBottom w:val="0"/>
          <w:divBdr>
            <w:top w:val="none" w:sz="0" w:space="0" w:color="auto"/>
            <w:left w:val="none" w:sz="0" w:space="0" w:color="auto"/>
            <w:bottom w:val="none" w:sz="0" w:space="0" w:color="auto"/>
            <w:right w:val="none" w:sz="0" w:space="0" w:color="auto"/>
          </w:divBdr>
        </w:div>
        <w:div w:id="588655173">
          <w:marLeft w:val="0"/>
          <w:marRight w:val="0"/>
          <w:marTop w:val="0"/>
          <w:marBottom w:val="0"/>
          <w:divBdr>
            <w:top w:val="none" w:sz="0" w:space="0" w:color="auto"/>
            <w:left w:val="none" w:sz="0" w:space="0" w:color="auto"/>
            <w:bottom w:val="none" w:sz="0" w:space="0" w:color="auto"/>
            <w:right w:val="none" w:sz="0" w:space="0" w:color="auto"/>
          </w:divBdr>
        </w:div>
        <w:div w:id="1347050669">
          <w:marLeft w:val="0"/>
          <w:marRight w:val="0"/>
          <w:marTop w:val="0"/>
          <w:marBottom w:val="0"/>
          <w:divBdr>
            <w:top w:val="none" w:sz="0" w:space="0" w:color="auto"/>
            <w:left w:val="none" w:sz="0" w:space="0" w:color="auto"/>
            <w:bottom w:val="none" w:sz="0" w:space="0" w:color="auto"/>
            <w:right w:val="none" w:sz="0" w:space="0" w:color="auto"/>
          </w:divBdr>
        </w:div>
        <w:div w:id="1549757903">
          <w:marLeft w:val="0"/>
          <w:marRight w:val="0"/>
          <w:marTop w:val="0"/>
          <w:marBottom w:val="0"/>
          <w:divBdr>
            <w:top w:val="none" w:sz="0" w:space="0" w:color="auto"/>
            <w:left w:val="none" w:sz="0" w:space="0" w:color="auto"/>
            <w:bottom w:val="none" w:sz="0" w:space="0" w:color="auto"/>
            <w:right w:val="none" w:sz="0" w:space="0" w:color="auto"/>
          </w:divBdr>
        </w:div>
        <w:div w:id="77099809">
          <w:marLeft w:val="0"/>
          <w:marRight w:val="0"/>
          <w:marTop w:val="0"/>
          <w:marBottom w:val="0"/>
          <w:divBdr>
            <w:top w:val="none" w:sz="0" w:space="0" w:color="auto"/>
            <w:left w:val="none" w:sz="0" w:space="0" w:color="auto"/>
            <w:bottom w:val="none" w:sz="0" w:space="0" w:color="auto"/>
            <w:right w:val="none" w:sz="0" w:space="0" w:color="auto"/>
          </w:divBdr>
        </w:div>
        <w:div w:id="1653022815">
          <w:marLeft w:val="0"/>
          <w:marRight w:val="0"/>
          <w:marTop w:val="0"/>
          <w:marBottom w:val="0"/>
          <w:divBdr>
            <w:top w:val="none" w:sz="0" w:space="0" w:color="auto"/>
            <w:left w:val="none" w:sz="0" w:space="0" w:color="auto"/>
            <w:bottom w:val="none" w:sz="0" w:space="0" w:color="auto"/>
            <w:right w:val="none" w:sz="0" w:space="0" w:color="auto"/>
          </w:divBdr>
        </w:div>
        <w:div w:id="1553423658">
          <w:marLeft w:val="0"/>
          <w:marRight w:val="0"/>
          <w:marTop w:val="0"/>
          <w:marBottom w:val="0"/>
          <w:divBdr>
            <w:top w:val="none" w:sz="0" w:space="0" w:color="auto"/>
            <w:left w:val="none" w:sz="0" w:space="0" w:color="auto"/>
            <w:bottom w:val="none" w:sz="0" w:space="0" w:color="auto"/>
            <w:right w:val="none" w:sz="0" w:space="0" w:color="auto"/>
          </w:divBdr>
        </w:div>
        <w:div w:id="204414842">
          <w:marLeft w:val="0"/>
          <w:marRight w:val="0"/>
          <w:marTop w:val="0"/>
          <w:marBottom w:val="0"/>
          <w:divBdr>
            <w:top w:val="none" w:sz="0" w:space="0" w:color="auto"/>
            <w:left w:val="none" w:sz="0" w:space="0" w:color="auto"/>
            <w:bottom w:val="none" w:sz="0" w:space="0" w:color="auto"/>
            <w:right w:val="none" w:sz="0" w:space="0" w:color="auto"/>
          </w:divBdr>
        </w:div>
        <w:div w:id="1501770958">
          <w:marLeft w:val="0"/>
          <w:marRight w:val="0"/>
          <w:marTop w:val="0"/>
          <w:marBottom w:val="0"/>
          <w:divBdr>
            <w:top w:val="none" w:sz="0" w:space="0" w:color="auto"/>
            <w:left w:val="none" w:sz="0" w:space="0" w:color="auto"/>
            <w:bottom w:val="none" w:sz="0" w:space="0" w:color="auto"/>
            <w:right w:val="none" w:sz="0" w:space="0" w:color="auto"/>
          </w:divBdr>
        </w:div>
        <w:div w:id="115761422">
          <w:marLeft w:val="0"/>
          <w:marRight w:val="0"/>
          <w:marTop w:val="0"/>
          <w:marBottom w:val="0"/>
          <w:divBdr>
            <w:top w:val="none" w:sz="0" w:space="0" w:color="auto"/>
            <w:left w:val="none" w:sz="0" w:space="0" w:color="auto"/>
            <w:bottom w:val="none" w:sz="0" w:space="0" w:color="auto"/>
            <w:right w:val="none" w:sz="0" w:space="0" w:color="auto"/>
          </w:divBdr>
        </w:div>
        <w:div w:id="1624770707">
          <w:marLeft w:val="0"/>
          <w:marRight w:val="0"/>
          <w:marTop w:val="0"/>
          <w:marBottom w:val="0"/>
          <w:divBdr>
            <w:top w:val="none" w:sz="0" w:space="0" w:color="auto"/>
            <w:left w:val="none" w:sz="0" w:space="0" w:color="auto"/>
            <w:bottom w:val="none" w:sz="0" w:space="0" w:color="auto"/>
            <w:right w:val="none" w:sz="0" w:space="0" w:color="auto"/>
          </w:divBdr>
        </w:div>
        <w:div w:id="363024908">
          <w:marLeft w:val="0"/>
          <w:marRight w:val="0"/>
          <w:marTop w:val="0"/>
          <w:marBottom w:val="0"/>
          <w:divBdr>
            <w:top w:val="none" w:sz="0" w:space="0" w:color="auto"/>
            <w:left w:val="none" w:sz="0" w:space="0" w:color="auto"/>
            <w:bottom w:val="none" w:sz="0" w:space="0" w:color="auto"/>
            <w:right w:val="none" w:sz="0" w:space="0" w:color="auto"/>
          </w:divBdr>
        </w:div>
        <w:div w:id="607276305">
          <w:marLeft w:val="0"/>
          <w:marRight w:val="0"/>
          <w:marTop w:val="0"/>
          <w:marBottom w:val="0"/>
          <w:divBdr>
            <w:top w:val="none" w:sz="0" w:space="0" w:color="auto"/>
            <w:left w:val="none" w:sz="0" w:space="0" w:color="auto"/>
            <w:bottom w:val="none" w:sz="0" w:space="0" w:color="auto"/>
            <w:right w:val="none" w:sz="0" w:space="0" w:color="auto"/>
          </w:divBdr>
        </w:div>
        <w:div w:id="608657109">
          <w:marLeft w:val="0"/>
          <w:marRight w:val="0"/>
          <w:marTop w:val="0"/>
          <w:marBottom w:val="0"/>
          <w:divBdr>
            <w:top w:val="none" w:sz="0" w:space="0" w:color="auto"/>
            <w:left w:val="none" w:sz="0" w:space="0" w:color="auto"/>
            <w:bottom w:val="none" w:sz="0" w:space="0" w:color="auto"/>
            <w:right w:val="none" w:sz="0" w:space="0" w:color="auto"/>
          </w:divBdr>
        </w:div>
        <w:div w:id="1629362304">
          <w:marLeft w:val="0"/>
          <w:marRight w:val="0"/>
          <w:marTop w:val="0"/>
          <w:marBottom w:val="0"/>
          <w:divBdr>
            <w:top w:val="none" w:sz="0" w:space="0" w:color="auto"/>
            <w:left w:val="none" w:sz="0" w:space="0" w:color="auto"/>
            <w:bottom w:val="none" w:sz="0" w:space="0" w:color="auto"/>
            <w:right w:val="none" w:sz="0" w:space="0" w:color="auto"/>
          </w:divBdr>
        </w:div>
        <w:div w:id="344677302">
          <w:marLeft w:val="0"/>
          <w:marRight w:val="0"/>
          <w:marTop w:val="0"/>
          <w:marBottom w:val="0"/>
          <w:divBdr>
            <w:top w:val="none" w:sz="0" w:space="0" w:color="auto"/>
            <w:left w:val="none" w:sz="0" w:space="0" w:color="auto"/>
            <w:bottom w:val="none" w:sz="0" w:space="0" w:color="auto"/>
            <w:right w:val="none" w:sz="0" w:space="0" w:color="auto"/>
          </w:divBdr>
        </w:div>
        <w:div w:id="1445155355">
          <w:marLeft w:val="0"/>
          <w:marRight w:val="0"/>
          <w:marTop w:val="0"/>
          <w:marBottom w:val="0"/>
          <w:divBdr>
            <w:top w:val="none" w:sz="0" w:space="0" w:color="auto"/>
            <w:left w:val="none" w:sz="0" w:space="0" w:color="auto"/>
            <w:bottom w:val="none" w:sz="0" w:space="0" w:color="auto"/>
            <w:right w:val="none" w:sz="0" w:space="0" w:color="auto"/>
          </w:divBdr>
        </w:div>
        <w:div w:id="410353436">
          <w:marLeft w:val="0"/>
          <w:marRight w:val="0"/>
          <w:marTop w:val="0"/>
          <w:marBottom w:val="0"/>
          <w:divBdr>
            <w:top w:val="none" w:sz="0" w:space="0" w:color="auto"/>
            <w:left w:val="none" w:sz="0" w:space="0" w:color="auto"/>
            <w:bottom w:val="none" w:sz="0" w:space="0" w:color="auto"/>
            <w:right w:val="none" w:sz="0" w:space="0" w:color="auto"/>
          </w:divBdr>
        </w:div>
        <w:div w:id="2056537787">
          <w:marLeft w:val="0"/>
          <w:marRight w:val="0"/>
          <w:marTop w:val="0"/>
          <w:marBottom w:val="0"/>
          <w:divBdr>
            <w:top w:val="none" w:sz="0" w:space="0" w:color="auto"/>
            <w:left w:val="none" w:sz="0" w:space="0" w:color="auto"/>
            <w:bottom w:val="none" w:sz="0" w:space="0" w:color="auto"/>
            <w:right w:val="none" w:sz="0" w:space="0" w:color="auto"/>
          </w:divBdr>
        </w:div>
        <w:div w:id="112134588">
          <w:marLeft w:val="0"/>
          <w:marRight w:val="0"/>
          <w:marTop w:val="0"/>
          <w:marBottom w:val="0"/>
          <w:divBdr>
            <w:top w:val="none" w:sz="0" w:space="0" w:color="auto"/>
            <w:left w:val="none" w:sz="0" w:space="0" w:color="auto"/>
            <w:bottom w:val="none" w:sz="0" w:space="0" w:color="auto"/>
            <w:right w:val="none" w:sz="0" w:space="0" w:color="auto"/>
          </w:divBdr>
        </w:div>
        <w:div w:id="1661470488">
          <w:marLeft w:val="0"/>
          <w:marRight w:val="0"/>
          <w:marTop w:val="0"/>
          <w:marBottom w:val="0"/>
          <w:divBdr>
            <w:top w:val="none" w:sz="0" w:space="0" w:color="auto"/>
            <w:left w:val="none" w:sz="0" w:space="0" w:color="auto"/>
            <w:bottom w:val="none" w:sz="0" w:space="0" w:color="auto"/>
            <w:right w:val="none" w:sz="0" w:space="0" w:color="auto"/>
          </w:divBdr>
        </w:div>
        <w:div w:id="1645964912">
          <w:marLeft w:val="0"/>
          <w:marRight w:val="0"/>
          <w:marTop w:val="0"/>
          <w:marBottom w:val="0"/>
          <w:divBdr>
            <w:top w:val="none" w:sz="0" w:space="0" w:color="auto"/>
            <w:left w:val="none" w:sz="0" w:space="0" w:color="auto"/>
            <w:bottom w:val="none" w:sz="0" w:space="0" w:color="auto"/>
            <w:right w:val="none" w:sz="0" w:space="0" w:color="auto"/>
          </w:divBdr>
        </w:div>
        <w:div w:id="542140390">
          <w:marLeft w:val="0"/>
          <w:marRight w:val="0"/>
          <w:marTop w:val="0"/>
          <w:marBottom w:val="0"/>
          <w:divBdr>
            <w:top w:val="none" w:sz="0" w:space="0" w:color="auto"/>
            <w:left w:val="none" w:sz="0" w:space="0" w:color="auto"/>
            <w:bottom w:val="none" w:sz="0" w:space="0" w:color="auto"/>
            <w:right w:val="none" w:sz="0" w:space="0" w:color="auto"/>
          </w:divBdr>
        </w:div>
        <w:div w:id="72507269">
          <w:marLeft w:val="0"/>
          <w:marRight w:val="0"/>
          <w:marTop w:val="0"/>
          <w:marBottom w:val="0"/>
          <w:divBdr>
            <w:top w:val="none" w:sz="0" w:space="0" w:color="auto"/>
            <w:left w:val="none" w:sz="0" w:space="0" w:color="auto"/>
            <w:bottom w:val="none" w:sz="0" w:space="0" w:color="auto"/>
            <w:right w:val="none" w:sz="0" w:space="0" w:color="auto"/>
          </w:divBdr>
        </w:div>
        <w:div w:id="71199747">
          <w:marLeft w:val="0"/>
          <w:marRight w:val="0"/>
          <w:marTop w:val="0"/>
          <w:marBottom w:val="0"/>
          <w:divBdr>
            <w:top w:val="none" w:sz="0" w:space="0" w:color="auto"/>
            <w:left w:val="none" w:sz="0" w:space="0" w:color="auto"/>
            <w:bottom w:val="none" w:sz="0" w:space="0" w:color="auto"/>
            <w:right w:val="none" w:sz="0" w:space="0" w:color="auto"/>
          </w:divBdr>
        </w:div>
      </w:divsChild>
    </w:div>
    <w:div w:id="1440177609">
      <w:bodyDiv w:val="1"/>
      <w:marLeft w:val="0"/>
      <w:marRight w:val="0"/>
      <w:marTop w:val="0"/>
      <w:marBottom w:val="0"/>
      <w:divBdr>
        <w:top w:val="none" w:sz="0" w:space="0" w:color="auto"/>
        <w:left w:val="none" w:sz="0" w:space="0" w:color="auto"/>
        <w:bottom w:val="none" w:sz="0" w:space="0" w:color="auto"/>
        <w:right w:val="none" w:sz="0" w:space="0" w:color="auto"/>
      </w:divBdr>
      <w:divsChild>
        <w:div w:id="576671769">
          <w:marLeft w:val="640"/>
          <w:marRight w:val="0"/>
          <w:marTop w:val="0"/>
          <w:marBottom w:val="0"/>
          <w:divBdr>
            <w:top w:val="none" w:sz="0" w:space="0" w:color="auto"/>
            <w:left w:val="none" w:sz="0" w:space="0" w:color="auto"/>
            <w:bottom w:val="none" w:sz="0" w:space="0" w:color="auto"/>
            <w:right w:val="none" w:sz="0" w:space="0" w:color="auto"/>
          </w:divBdr>
        </w:div>
        <w:div w:id="1559513790">
          <w:marLeft w:val="640"/>
          <w:marRight w:val="0"/>
          <w:marTop w:val="0"/>
          <w:marBottom w:val="0"/>
          <w:divBdr>
            <w:top w:val="none" w:sz="0" w:space="0" w:color="auto"/>
            <w:left w:val="none" w:sz="0" w:space="0" w:color="auto"/>
            <w:bottom w:val="none" w:sz="0" w:space="0" w:color="auto"/>
            <w:right w:val="none" w:sz="0" w:space="0" w:color="auto"/>
          </w:divBdr>
        </w:div>
        <w:div w:id="1298879842">
          <w:marLeft w:val="640"/>
          <w:marRight w:val="0"/>
          <w:marTop w:val="0"/>
          <w:marBottom w:val="0"/>
          <w:divBdr>
            <w:top w:val="none" w:sz="0" w:space="0" w:color="auto"/>
            <w:left w:val="none" w:sz="0" w:space="0" w:color="auto"/>
            <w:bottom w:val="none" w:sz="0" w:space="0" w:color="auto"/>
            <w:right w:val="none" w:sz="0" w:space="0" w:color="auto"/>
          </w:divBdr>
        </w:div>
        <w:div w:id="1584417604">
          <w:marLeft w:val="640"/>
          <w:marRight w:val="0"/>
          <w:marTop w:val="0"/>
          <w:marBottom w:val="0"/>
          <w:divBdr>
            <w:top w:val="none" w:sz="0" w:space="0" w:color="auto"/>
            <w:left w:val="none" w:sz="0" w:space="0" w:color="auto"/>
            <w:bottom w:val="none" w:sz="0" w:space="0" w:color="auto"/>
            <w:right w:val="none" w:sz="0" w:space="0" w:color="auto"/>
          </w:divBdr>
        </w:div>
        <w:div w:id="264390082">
          <w:marLeft w:val="640"/>
          <w:marRight w:val="0"/>
          <w:marTop w:val="0"/>
          <w:marBottom w:val="0"/>
          <w:divBdr>
            <w:top w:val="none" w:sz="0" w:space="0" w:color="auto"/>
            <w:left w:val="none" w:sz="0" w:space="0" w:color="auto"/>
            <w:bottom w:val="none" w:sz="0" w:space="0" w:color="auto"/>
            <w:right w:val="none" w:sz="0" w:space="0" w:color="auto"/>
          </w:divBdr>
        </w:div>
        <w:div w:id="1085346417">
          <w:marLeft w:val="640"/>
          <w:marRight w:val="0"/>
          <w:marTop w:val="0"/>
          <w:marBottom w:val="0"/>
          <w:divBdr>
            <w:top w:val="none" w:sz="0" w:space="0" w:color="auto"/>
            <w:left w:val="none" w:sz="0" w:space="0" w:color="auto"/>
            <w:bottom w:val="none" w:sz="0" w:space="0" w:color="auto"/>
            <w:right w:val="none" w:sz="0" w:space="0" w:color="auto"/>
          </w:divBdr>
        </w:div>
        <w:div w:id="1376546490">
          <w:marLeft w:val="640"/>
          <w:marRight w:val="0"/>
          <w:marTop w:val="0"/>
          <w:marBottom w:val="0"/>
          <w:divBdr>
            <w:top w:val="none" w:sz="0" w:space="0" w:color="auto"/>
            <w:left w:val="none" w:sz="0" w:space="0" w:color="auto"/>
            <w:bottom w:val="none" w:sz="0" w:space="0" w:color="auto"/>
            <w:right w:val="none" w:sz="0" w:space="0" w:color="auto"/>
          </w:divBdr>
        </w:div>
        <w:div w:id="400829422">
          <w:marLeft w:val="640"/>
          <w:marRight w:val="0"/>
          <w:marTop w:val="0"/>
          <w:marBottom w:val="0"/>
          <w:divBdr>
            <w:top w:val="none" w:sz="0" w:space="0" w:color="auto"/>
            <w:left w:val="none" w:sz="0" w:space="0" w:color="auto"/>
            <w:bottom w:val="none" w:sz="0" w:space="0" w:color="auto"/>
            <w:right w:val="none" w:sz="0" w:space="0" w:color="auto"/>
          </w:divBdr>
        </w:div>
        <w:div w:id="1854564117">
          <w:marLeft w:val="640"/>
          <w:marRight w:val="0"/>
          <w:marTop w:val="0"/>
          <w:marBottom w:val="0"/>
          <w:divBdr>
            <w:top w:val="none" w:sz="0" w:space="0" w:color="auto"/>
            <w:left w:val="none" w:sz="0" w:space="0" w:color="auto"/>
            <w:bottom w:val="none" w:sz="0" w:space="0" w:color="auto"/>
            <w:right w:val="none" w:sz="0" w:space="0" w:color="auto"/>
          </w:divBdr>
        </w:div>
        <w:div w:id="1623998099">
          <w:marLeft w:val="640"/>
          <w:marRight w:val="0"/>
          <w:marTop w:val="0"/>
          <w:marBottom w:val="0"/>
          <w:divBdr>
            <w:top w:val="none" w:sz="0" w:space="0" w:color="auto"/>
            <w:left w:val="none" w:sz="0" w:space="0" w:color="auto"/>
            <w:bottom w:val="none" w:sz="0" w:space="0" w:color="auto"/>
            <w:right w:val="none" w:sz="0" w:space="0" w:color="auto"/>
          </w:divBdr>
        </w:div>
        <w:div w:id="1759131427">
          <w:marLeft w:val="640"/>
          <w:marRight w:val="0"/>
          <w:marTop w:val="0"/>
          <w:marBottom w:val="0"/>
          <w:divBdr>
            <w:top w:val="none" w:sz="0" w:space="0" w:color="auto"/>
            <w:left w:val="none" w:sz="0" w:space="0" w:color="auto"/>
            <w:bottom w:val="none" w:sz="0" w:space="0" w:color="auto"/>
            <w:right w:val="none" w:sz="0" w:space="0" w:color="auto"/>
          </w:divBdr>
        </w:div>
        <w:div w:id="1060783133">
          <w:marLeft w:val="640"/>
          <w:marRight w:val="0"/>
          <w:marTop w:val="0"/>
          <w:marBottom w:val="0"/>
          <w:divBdr>
            <w:top w:val="none" w:sz="0" w:space="0" w:color="auto"/>
            <w:left w:val="none" w:sz="0" w:space="0" w:color="auto"/>
            <w:bottom w:val="none" w:sz="0" w:space="0" w:color="auto"/>
            <w:right w:val="none" w:sz="0" w:space="0" w:color="auto"/>
          </w:divBdr>
        </w:div>
        <w:div w:id="293953525">
          <w:marLeft w:val="640"/>
          <w:marRight w:val="0"/>
          <w:marTop w:val="0"/>
          <w:marBottom w:val="0"/>
          <w:divBdr>
            <w:top w:val="none" w:sz="0" w:space="0" w:color="auto"/>
            <w:left w:val="none" w:sz="0" w:space="0" w:color="auto"/>
            <w:bottom w:val="none" w:sz="0" w:space="0" w:color="auto"/>
            <w:right w:val="none" w:sz="0" w:space="0" w:color="auto"/>
          </w:divBdr>
        </w:div>
        <w:div w:id="428045746">
          <w:marLeft w:val="640"/>
          <w:marRight w:val="0"/>
          <w:marTop w:val="0"/>
          <w:marBottom w:val="0"/>
          <w:divBdr>
            <w:top w:val="none" w:sz="0" w:space="0" w:color="auto"/>
            <w:left w:val="none" w:sz="0" w:space="0" w:color="auto"/>
            <w:bottom w:val="none" w:sz="0" w:space="0" w:color="auto"/>
            <w:right w:val="none" w:sz="0" w:space="0" w:color="auto"/>
          </w:divBdr>
        </w:div>
        <w:div w:id="830411740">
          <w:marLeft w:val="640"/>
          <w:marRight w:val="0"/>
          <w:marTop w:val="0"/>
          <w:marBottom w:val="0"/>
          <w:divBdr>
            <w:top w:val="none" w:sz="0" w:space="0" w:color="auto"/>
            <w:left w:val="none" w:sz="0" w:space="0" w:color="auto"/>
            <w:bottom w:val="none" w:sz="0" w:space="0" w:color="auto"/>
            <w:right w:val="none" w:sz="0" w:space="0" w:color="auto"/>
          </w:divBdr>
        </w:div>
        <w:div w:id="1286960644">
          <w:marLeft w:val="640"/>
          <w:marRight w:val="0"/>
          <w:marTop w:val="0"/>
          <w:marBottom w:val="0"/>
          <w:divBdr>
            <w:top w:val="none" w:sz="0" w:space="0" w:color="auto"/>
            <w:left w:val="none" w:sz="0" w:space="0" w:color="auto"/>
            <w:bottom w:val="none" w:sz="0" w:space="0" w:color="auto"/>
            <w:right w:val="none" w:sz="0" w:space="0" w:color="auto"/>
          </w:divBdr>
        </w:div>
        <w:div w:id="675772432">
          <w:marLeft w:val="640"/>
          <w:marRight w:val="0"/>
          <w:marTop w:val="0"/>
          <w:marBottom w:val="0"/>
          <w:divBdr>
            <w:top w:val="none" w:sz="0" w:space="0" w:color="auto"/>
            <w:left w:val="none" w:sz="0" w:space="0" w:color="auto"/>
            <w:bottom w:val="none" w:sz="0" w:space="0" w:color="auto"/>
            <w:right w:val="none" w:sz="0" w:space="0" w:color="auto"/>
          </w:divBdr>
        </w:div>
        <w:div w:id="2097246995">
          <w:marLeft w:val="640"/>
          <w:marRight w:val="0"/>
          <w:marTop w:val="0"/>
          <w:marBottom w:val="0"/>
          <w:divBdr>
            <w:top w:val="none" w:sz="0" w:space="0" w:color="auto"/>
            <w:left w:val="none" w:sz="0" w:space="0" w:color="auto"/>
            <w:bottom w:val="none" w:sz="0" w:space="0" w:color="auto"/>
            <w:right w:val="none" w:sz="0" w:space="0" w:color="auto"/>
          </w:divBdr>
        </w:div>
        <w:div w:id="1359310673">
          <w:marLeft w:val="640"/>
          <w:marRight w:val="0"/>
          <w:marTop w:val="0"/>
          <w:marBottom w:val="0"/>
          <w:divBdr>
            <w:top w:val="none" w:sz="0" w:space="0" w:color="auto"/>
            <w:left w:val="none" w:sz="0" w:space="0" w:color="auto"/>
            <w:bottom w:val="none" w:sz="0" w:space="0" w:color="auto"/>
            <w:right w:val="none" w:sz="0" w:space="0" w:color="auto"/>
          </w:divBdr>
        </w:div>
        <w:div w:id="616453933">
          <w:marLeft w:val="640"/>
          <w:marRight w:val="0"/>
          <w:marTop w:val="0"/>
          <w:marBottom w:val="0"/>
          <w:divBdr>
            <w:top w:val="none" w:sz="0" w:space="0" w:color="auto"/>
            <w:left w:val="none" w:sz="0" w:space="0" w:color="auto"/>
            <w:bottom w:val="none" w:sz="0" w:space="0" w:color="auto"/>
            <w:right w:val="none" w:sz="0" w:space="0" w:color="auto"/>
          </w:divBdr>
        </w:div>
        <w:div w:id="1266302229">
          <w:marLeft w:val="640"/>
          <w:marRight w:val="0"/>
          <w:marTop w:val="0"/>
          <w:marBottom w:val="0"/>
          <w:divBdr>
            <w:top w:val="none" w:sz="0" w:space="0" w:color="auto"/>
            <w:left w:val="none" w:sz="0" w:space="0" w:color="auto"/>
            <w:bottom w:val="none" w:sz="0" w:space="0" w:color="auto"/>
            <w:right w:val="none" w:sz="0" w:space="0" w:color="auto"/>
          </w:divBdr>
        </w:div>
        <w:div w:id="1140995720">
          <w:marLeft w:val="640"/>
          <w:marRight w:val="0"/>
          <w:marTop w:val="0"/>
          <w:marBottom w:val="0"/>
          <w:divBdr>
            <w:top w:val="none" w:sz="0" w:space="0" w:color="auto"/>
            <w:left w:val="none" w:sz="0" w:space="0" w:color="auto"/>
            <w:bottom w:val="none" w:sz="0" w:space="0" w:color="auto"/>
            <w:right w:val="none" w:sz="0" w:space="0" w:color="auto"/>
          </w:divBdr>
        </w:div>
        <w:div w:id="811410335">
          <w:marLeft w:val="640"/>
          <w:marRight w:val="0"/>
          <w:marTop w:val="0"/>
          <w:marBottom w:val="0"/>
          <w:divBdr>
            <w:top w:val="none" w:sz="0" w:space="0" w:color="auto"/>
            <w:left w:val="none" w:sz="0" w:space="0" w:color="auto"/>
            <w:bottom w:val="none" w:sz="0" w:space="0" w:color="auto"/>
            <w:right w:val="none" w:sz="0" w:space="0" w:color="auto"/>
          </w:divBdr>
        </w:div>
        <w:div w:id="42752860">
          <w:marLeft w:val="640"/>
          <w:marRight w:val="0"/>
          <w:marTop w:val="0"/>
          <w:marBottom w:val="0"/>
          <w:divBdr>
            <w:top w:val="none" w:sz="0" w:space="0" w:color="auto"/>
            <w:left w:val="none" w:sz="0" w:space="0" w:color="auto"/>
            <w:bottom w:val="none" w:sz="0" w:space="0" w:color="auto"/>
            <w:right w:val="none" w:sz="0" w:space="0" w:color="auto"/>
          </w:divBdr>
        </w:div>
        <w:div w:id="947077996">
          <w:marLeft w:val="640"/>
          <w:marRight w:val="0"/>
          <w:marTop w:val="0"/>
          <w:marBottom w:val="0"/>
          <w:divBdr>
            <w:top w:val="none" w:sz="0" w:space="0" w:color="auto"/>
            <w:left w:val="none" w:sz="0" w:space="0" w:color="auto"/>
            <w:bottom w:val="none" w:sz="0" w:space="0" w:color="auto"/>
            <w:right w:val="none" w:sz="0" w:space="0" w:color="auto"/>
          </w:divBdr>
        </w:div>
        <w:div w:id="1345598132">
          <w:marLeft w:val="640"/>
          <w:marRight w:val="0"/>
          <w:marTop w:val="0"/>
          <w:marBottom w:val="0"/>
          <w:divBdr>
            <w:top w:val="none" w:sz="0" w:space="0" w:color="auto"/>
            <w:left w:val="none" w:sz="0" w:space="0" w:color="auto"/>
            <w:bottom w:val="none" w:sz="0" w:space="0" w:color="auto"/>
            <w:right w:val="none" w:sz="0" w:space="0" w:color="auto"/>
          </w:divBdr>
        </w:div>
        <w:div w:id="2105612141">
          <w:marLeft w:val="640"/>
          <w:marRight w:val="0"/>
          <w:marTop w:val="0"/>
          <w:marBottom w:val="0"/>
          <w:divBdr>
            <w:top w:val="none" w:sz="0" w:space="0" w:color="auto"/>
            <w:left w:val="none" w:sz="0" w:space="0" w:color="auto"/>
            <w:bottom w:val="none" w:sz="0" w:space="0" w:color="auto"/>
            <w:right w:val="none" w:sz="0" w:space="0" w:color="auto"/>
          </w:divBdr>
        </w:div>
        <w:div w:id="1293513035">
          <w:marLeft w:val="640"/>
          <w:marRight w:val="0"/>
          <w:marTop w:val="0"/>
          <w:marBottom w:val="0"/>
          <w:divBdr>
            <w:top w:val="none" w:sz="0" w:space="0" w:color="auto"/>
            <w:left w:val="none" w:sz="0" w:space="0" w:color="auto"/>
            <w:bottom w:val="none" w:sz="0" w:space="0" w:color="auto"/>
            <w:right w:val="none" w:sz="0" w:space="0" w:color="auto"/>
          </w:divBdr>
        </w:div>
        <w:div w:id="577322266">
          <w:marLeft w:val="640"/>
          <w:marRight w:val="0"/>
          <w:marTop w:val="0"/>
          <w:marBottom w:val="0"/>
          <w:divBdr>
            <w:top w:val="none" w:sz="0" w:space="0" w:color="auto"/>
            <w:left w:val="none" w:sz="0" w:space="0" w:color="auto"/>
            <w:bottom w:val="none" w:sz="0" w:space="0" w:color="auto"/>
            <w:right w:val="none" w:sz="0" w:space="0" w:color="auto"/>
          </w:divBdr>
        </w:div>
        <w:div w:id="1303192229">
          <w:marLeft w:val="640"/>
          <w:marRight w:val="0"/>
          <w:marTop w:val="0"/>
          <w:marBottom w:val="0"/>
          <w:divBdr>
            <w:top w:val="none" w:sz="0" w:space="0" w:color="auto"/>
            <w:left w:val="none" w:sz="0" w:space="0" w:color="auto"/>
            <w:bottom w:val="none" w:sz="0" w:space="0" w:color="auto"/>
            <w:right w:val="none" w:sz="0" w:space="0" w:color="auto"/>
          </w:divBdr>
        </w:div>
        <w:div w:id="904417603">
          <w:marLeft w:val="640"/>
          <w:marRight w:val="0"/>
          <w:marTop w:val="0"/>
          <w:marBottom w:val="0"/>
          <w:divBdr>
            <w:top w:val="none" w:sz="0" w:space="0" w:color="auto"/>
            <w:left w:val="none" w:sz="0" w:space="0" w:color="auto"/>
            <w:bottom w:val="none" w:sz="0" w:space="0" w:color="auto"/>
            <w:right w:val="none" w:sz="0" w:space="0" w:color="auto"/>
          </w:divBdr>
        </w:div>
        <w:div w:id="128058144">
          <w:marLeft w:val="640"/>
          <w:marRight w:val="0"/>
          <w:marTop w:val="0"/>
          <w:marBottom w:val="0"/>
          <w:divBdr>
            <w:top w:val="none" w:sz="0" w:space="0" w:color="auto"/>
            <w:left w:val="none" w:sz="0" w:space="0" w:color="auto"/>
            <w:bottom w:val="none" w:sz="0" w:space="0" w:color="auto"/>
            <w:right w:val="none" w:sz="0" w:space="0" w:color="auto"/>
          </w:divBdr>
        </w:div>
        <w:div w:id="829516347">
          <w:marLeft w:val="640"/>
          <w:marRight w:val="0"/>
          <w:marTop w:val="0"/>
          <w:marBottom w:val="0"/>
          <w:divBdr>
            <w:top w:val="none" w:sz="0" w:space="0" w:color="auto"/>
            <w:left w:val="none" w:sz="0" w:space="0" w:color="auto"/>
            <w:bottom w:val="none" w:sz="0" w:space="0" w:color="auto"/>
            <w:right w:val="none" w:sz="0" w:space="0" w:color="auto"/>
          </w:divBdr>
        </w:div>
        <w:div w:id="4135615">
          <w:marLeft w:val="640"/>
          <w:marRight w:val="0"/>
          <w:marTop w:val="0"/>
          <w:marBottom w:val="0"/>
          <w:divBdr>
            <w:top w:val="none" w:sz="0" w:space="0" w:color="auto"/>
            <w:left w:val="none" w:sz="0" w:space="0" w:color="auto"/>
            <w:bottom w:val="none" w:sz="0" w:space="0" w:color="auto"/>
            <w:right w:val="none" w:sz="0" w:space="0" w:color="auto"/>
          </w:divBdr>
        </w:div>
        <w:div w:id="248470355">
          <w:marLeft w:val="640"/>
          <w:marRight w:val="0"/>
          <w:marTop w:val="0"/>
          <w:marBottom w:val="0"/>
          <w:divBdr>
            <w:top w:val="none" w:sz="0" w:space="0" w:color="auto"/>
            <w:left w:val="none" w:sz="0" w:space="0" w:color="auto"/>
            <w:bottom w:val="none" w:sz="0" w:space="0" w:color="auto"/>
            <w:right w:val="none" w:sz="0" w:space="0" w:color="auto"/>
          </w:divBdr>
        </w:div>
        <w:div w:id="2094155059">
          <w:marLeft w:val="640"/>
          <w:marRight w:val="0"/>
          <w:marTop w:val="0"/>
          <w:marBottom w:val="0"/>
          <w:divBdr>
            <w:top w:val="none" w:sz="0" w:space="0" w:color="auto"/>
            <w:left w:val="none" w:sz="0" w:space="0" w:color="auto"/>
            <w:bottom w:val="none" w:sz="0" w:space="0" w:color="auto"/>
            <w:right w:val="none" w:sz="0" w:space="0" w:color="auto"/>
          </w:divBdr>
        </w:div>
        <w:div w:id="1345403260">
          <w:marLeft w:val="640"/>
          <w:marRight w:val="0"/>
          <w:marTop w:val="0"/>
          <w:marBottom w:val="0"/>
          <w:divBdr>
            <w:top w:val="none" w:sz="0" w:space="0" w:color="auto"/>
            <w:left w:val="none" w:sz="0" w:space="0" w:color="auto"/>
            <w:bottom w:val="none" w:sz="0" w:space="0" w:color="auto"/>
            <w:right w:val="none" w:sz="0" w:space="0" w:color="auto"/>
          </w:divBdr>
        </w:div>
        <w:div w:id="449475127">
          <w:marLeft w:val="640"/>
          <w:marRight w:val="0"/>
          <w:marTop w:val="0"/>
          <w:marBottom w:val="0"/>
          <w:divBdr>
            <w:top w:val="none" w:sz="0" w:space="0" w:color="auto"/>
            <w:left w:val="none" w:sz="0" w:space="0" w:color="auto"/>
            <w:bottom w:val="none" w:sz="0" w:space="0" w:color="auto"/>
            <w:right w:val="none" w:sz="0" w:space="0" w:color="auto"/>
          </w:divBdr>
        </w:div>
        <w:div w:id="506361473">
          <w:marLeft w:val="640"/>
          <w:marRight w:val="0"/>
          <w:marTop w:val="0"/>
          <w:marBottom w:val="0"/>
          <w:divBdr>
            <w:top w:val="none" w:sz="0" w:space="0" w:color="auto"/>
            <w:left w:val="none" w:sz="0" w:space="0" w:color="auto"/>
            <w:bottom w:val="none" w:sz="0" w:space="0" w:color="auto"/>
            <w:right w:val="none" w:sz="0" w:space="0" w:color="auto"/>
          </w:divBdr>
        </w:div>
        <w:div w:id="787627206">
          <w:marLeft w:val="640"/>
          <w:marRight w:val="0"/>
          <w:marTop w:val="0"/>
          <w:marBottom w:val="0"/>
          <w:divBdr>
            <w:top w:val="none" w:sz="0" w:space="0" w:color="auto"/>
            <w:left w:val="none" w:sz="0" w:space="0" w:color="auto"/>
            <w:bottom w:val="none" w:sz="0" w:space="0" w:color="auto"/>
            <w:right w:val="none" w:sz="0" w:space="0" w:color="auto"/>
          </w:divBdr>
        </w:div>
        <w:div w:id="958879360">
          <w:marLeft w:val="640"/>
          <w:marRight w:val="0"/>
          <w:marTop w:val="0"/>
          <w:marBottom w:val="0"/>
          <w:divBdr>
            <w:top w:val="none" w:sz="0" w:space="0" w:color="auto"/>
            <w:left w:val="none" w:sz="0" w:space="0" w:color="auto"/>
            <w:bottom w:val="none" w:sz="0" w:space="0" w:color="auto"/>
            <w:right w:val="none" w:sz="0" w:space="0" w:color="auto"/>
          </w:divBdr>
        </w:div>
        <w:div w:id="1056389378">
          <w:marLeft w:val="640"/>
          <w:marRight w:val="0"/>
          <w:marTop w:val="0"/>
          <w:marBottom w:val="0"/>
          <w:divBdr>
            <w:top w:val="none" w:sz="0" w:space="0" w:color="auto"/>
            <w:left w:val="none" w:sz="0" w:space="0" w:color="auto"/>
            <w:bottom w:val="none" w:sz="0" w:space="0" w:color="auto"/>
            <w:right w:val="none" w:sz="0" w:space="0" w:color="auto"/>
          </w:divBdr>
        </w:div>
        <w:div w:id="1950818547">
          <w:marLeft w:val="640"/>
          <w:marRight w:val="0"/>
          <w:marTop w:val="0"/>
          <w:marBottom w:val="0"/>
          <w:divBdr>
            <w:top w:val="none" w:sz="0" w:space="0" w:color="auto"/>
            <w:left w:val="none" w:sz="0" w:space="0" w:color="auto"/>
            <w:bottom w:val="none" w:sz="0" w:space="0" w:color="auto"/>
            <w:right w:val="none" w:sz="0" w:space="0" w:color="auto"/>
          </w:divBdr>
        </w:div>
        <w:div w:id="219828518">
          <w:marLeft w:val="640"/>
          <w:marRight w:val="0"/>
          <w:marTop w:val="0"/>
          <w:marBottom w:val="0"/>
          <w:divBdr>
            <w:top w:val="none" w:sz="0" w:space="0" w:color="auto"/>
            <w:left w:val="none" w:sz="0" w:space="0" w:color="auto"/>
            <w:bottom w:val="none" w:sz="0" w:space="0" w:color="auto"/>
            <w:right w:val="none" w:sz="0" w:space="0" w:color="auto"/>
          </w:divBdr>
        </w:div>
        <w:div w:id="1067724827">
          <w:marLeft w:val="640"/>
          <w:marRight w:val="0"/>
          <w:marTop w:val="0"/>
          <w:marBottom w:val="0"/>
          <w:divBdr>
            <w:top w:val="none" w:sz="0" w:space="0" w:color="auto"/>
            <w:left w:val="none" w:sz="0" w:space="0" w:color="auto"/>
            <w:bottom w:val="none" w:sz="0" w:space="0" w:color="auto"/>
            <w:right w:val="none" w:sz="0" w:space="0" w:color="auto"/>
          </w:divBdr>
        </w:div>
        <w:div w:id="344869058">
          <w:marLeft w:val="640"/>
          <w:marRight w:val="0"/>
          <w:marTop w:val="0"/>
          <w:marBottom w:val="0"/>
          <w:divBdr>
            <w:top w:val="none" w:sz="0" w:space="0" w:color="auto"/>
            <w:left w:val="none" w:sz="0" w:space="0" w:color="auto"/>
            <w:bottom w:val="none" w:sz="0" w:space="0" w:color="auto"/>
            <w:right w:val="none" w:sz="0" w:space="0" w:color="auto"/>
          </w:divBdr>
        </w:div>
        <w:div w:id="35593516">
          <w:marLeft w:val="640"/>
          <w:marRight w:val="0"/>
          <w:marTop w:val="0"/>
          <w:marBottom w:val="0"/>
          <w:divBdr>
            <w:top w:val="none" w:sz="0" w:space="0" w:color="auto"/>
            <w:left w:val="none" w:sz="0" w:space="0" w:color="auto"/>
            <w:bottom w:val="none" w:sz="0" w:space="0" w:color="auto"/>
            <w:right w:val="none" w:sz="0" w:space="0" w:color="auto"/>
          </w:divBdr>
        </w:div>
        <w:div w:id="1348482504">
          <w:marLeft w:val="640"/>
          <w:marRight w:val="0"/>
          <w:marTop w:val="0"/>
          <w:marBottom w:val="0"/>
          <w:divBdr>
            <w:top w:val="none" w:sz="0" w:space="0" w:color="auto"/>
            <w:left w:val="none" w:sz="0" w:space="0" w:color="auto"/>
            <w:bottom w:val="none" w:sz="0" w:space="0" w:color="auto"/>
            <w:right w:val="none" w:sz="0" w:space="0" w:color="auto"/>
          </w:divBdr>
        </w:div>
        <w:div w:id="1249343730">
          <w:marLeft w:val="640"/>
          <w:marRight w:val="0"/>
          <w:marTop w:val="0"/>
          <w:marBottom w:val="0"/>
          <w:divBdr>
            <w:top w:val="none" w:sz="0" w:space="0" w:color="auto"/>
            <w:left w:val="none" w:sz="0" w:space="0" w:color="auto"/>
            <w:bottom w:val="none" w:sz="0" w:space="0" w:color="auto"/>
            <w:right w:val="none" w:sz="0" w:space="0" w:color="auto"/>
          </w:divBdr>
        </w:div>
        <w:div w:id="1888839383">
          <w:marLeft w:val="640"/>
          <w:marRight w:val="0"/>
          <w:marTop w:val="0"/>
          <w:marBottom w:val="0"/>
          <w:divBdr>
            <w:top w:val="none" w:sz="0" w:space="0" w:color="auto"/>
            <w:left w:val="none" w:sz="0" w:space="0" w:color="auto"/>
            <w:bottom w:val="none" w:sz="0" w:space="0" w:color="auto"/>
            <w:right w:val="none" w:sz="0" w:space="0" w:color="auto"/>
          </w:divBdr>
        </w:div>
      </w:divsChild>
    </w:div>
  </w:divs>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yaz\Downloads\nutrients-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09F7968-3E91-4967-80DE-350B248CD9D3}">
  <we:reference id="wa104382081" version="1.55.1.0" store="ar-SA" storeType="OMEX"/>
  <we:alternateReferences>
    <we:reference id="WA104382081" version="1.55.1.0" store="" storeType="OMEX"/>
  </we:alternateReferences>
  <we:properties>
    <we:property name="MENDELEY_CITATIONS" value="[{&quot;citationID&quot;:&quot;MENDELEY_CITATION_c3475368-22e9-4cd6-a855-df8b49d919fd&quot;,&quot;properties&quot;:{&quot;noteIndex&quot;:0},&quot;isEdited&quot;:false,&quot;manualOverride&quot;:{&quot;isManuallyOverridden&quot;:false,&quot;citeprocText&quot;:&quot;[1]&quot;,&quot;manualOverrideText&quot;:&quot;&quot;},&quot;citationTag&quot;:&quot;MENDELEY_CITATION_v3_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&quot;,&quot;citationItems&quot;:[{&quot;id&quot;:&quot;836fe777-30eb-3d6c-b130-89adf1fc2e85&quot;,&quot;itemData&quot;:{&quot;type&quot;:&quot;article-journal&quot;,&quot;id&quot;:&quot;836fe777-30eb-3d6c-b130-89adf1fc2e85&quot;,&quot;title&quot;:&quot;Diet strategies for promoting healthy aging and longevity: An epidemiological perspective&quot;,&quot;author&quot;:[{&quot;family&quot;:&quot;Hu&quot;,&quot;given&quot;:&quot;Frank B.&quot;,&quot;parse-names&quot;:false,&quot;dropping-particle&quot;:&quot;&quot;,&quot;non-dropping-particle&quot;:&quot;&quot;}],&quot;container-title&quot;:&quot;Journal of Internal Medicine&quot;,&quot;container-title-short&quot;:&quot;J Intern Med&quot;,&quot;DOI&quot;:&quot;10.1111/joim.13728&quot;,&quot;ISSN&quot;:&quot;0954-6820&quot;,&quot;issued&quot;:{&quot;date-parts&quot;:[[2023,10,23]]},&quot;abstract&quot;:&quot;&lt;p&gt;In recent decades, global life expectancies have risen significantly, accompanied by a marked increase in chronic diseases and population aging. This narrative review aims to summarize recent findings on the dietary factors influencing chronic diseases and longevity, primarily from large cohort studies. First, maintaining a healthy weight throughout life is pivotal for healthy aging and longevity, mirroring the benefits of lifelong, moderate calorie restriction in today's obesogenic food environment. Second, the specific types or food sources of dietary fat, protein, and carbohydrates are more important in influencing chronic disease risk and mortality than their quantity. Third, some traditional diets (e.g., the Mediterranean, Nordic, and Okinawa) and contemporary dietary patterns, such as healthy plant‐based diet index, the DASH (dietary approaches to stop hypertension) diet, and alternate healthy eating index, have been associated with lower mortality and healthy longevity. These patterns share many common components (e.g., a predominance of nutrient‐rich plant foods; limited red and processed meats; culinary herbs and spices prevalent in global cuisines) while embracing distinct elements from different cultures. Fourth, combining a healthy diet with other lifestyle factors could extend disease‐free life expectancies by 8–10 years. While adhering to core principles of healthy diets, it is crucial to adapt dietary recommendations to individual preferences and cultures as well as nutritional needs of aging populations. Public health strategies should aim to create a healthier food environment where nutritious options are readily accessible, especially in public institutions and care facilities for the elderly. Although further mechanistic studies and human trials are needed to better understand molecular effects of diet on aging, there is a pressing need to establish and maintain long‐term cohorts studying diet and aging in culturally diverse populations.&lt;/p&gt;&quot;},&quot;isTemporary&quot;:false}]},{&quot;citationID&quot;:&quot;MENDELEY_CITATION_d4c2cea1-0191-4e51-a892-cd3d8ef6ea8f&quot;,&quot;properties&quot;:{&quot;noteIndex&quot;:0},&quot;isEdited&quot;:false,&quot;manualOverride&quot;:{&quot;isManuallyOverridden&quot;:false,&quot;citeprocText&quot;:&quot;[2]&quot;,&quot;manualOverrideText&quot;:&quot;&quot;},&quot;citationTag&quot;:&quot;MENDELEY_CITATION_v3_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&quot;,&quot;citationItems&quot;:[{&quot;id&quot;:&quot;6dabc7ae-082b-3e4f-a713-4d9bf40f4bc3&quot;,&quot;itemData&quot;:{&quot;type&quot;:&quot;article-journal&quot;,&quot;id&quot;:&quot;6dabc7ae-082b-3e4f-a713-4d9bf40f4bc3&quot;,&quot;title&quot;:&quot;Higher diet quality is associated with decreased risk of all-cause, cardiovascular disease, and cancer mortality among older adults.&quot;,&quot;author&quot;:[{&quot;family&quot;:&quot;Reedy&quot;,&quot;given&quot;:&quot;Jill&quot;,&quot;parse-names&quot;:false,&quot;dropping-particle&quot;:&quot;&quot;,&quot;non-dropping-particle&quot;:&quot;&quot;},{&quot;family&quot;:&quot;Krebs-Smith&quot;,&quot;given&quot;:&quot;Susan M&quot;,&quot;parse-names&quot;:false,&quot;dropping-particle&quot;:&quot;&quot;,&quot;non-dropping-particle&quot;:&quot;&quot;},{&quot;family&quot;:&quot;Miller&quot;,&quot;given&quot;:&quot;Paige E&quot;,&quot;parse-names&quot;:false,&quot;dropping-particle&quot;:&quot;&quot;,&quot;non-dropping-particle&quot;:&quot;&quot;},{&quot;family&quot;:&quot;Liese&quot;,&quot;given&quot;:&quot;Angela D&quot;,&quot;parse-names&quot;:false,&quot;dropping-particle&quot;:&quot;&quot;,&quot;non-dropping-particle&quot;:&quot;&quot;},{&quot;family&quot;:&quot;Kahle&quot;,&quot;given&quot;:&quot;Lisa L&quot;,&quot;parse-names&quot;:false,&quot;dropping-particle&quot;:&quot;&quot;,&quot;non-dropping-particle&quot;:&quot;&quot;},{&quot;family&quot;:&quot;Park&quot;,&quot;given&quot;:&quot;Yikyung&quot;,&quot;parse-names&quot;:false,&quot;dropping-particle&quot;:&quot;&quot;,&quot;non-dropping-particle&quot;:&quot;&quot;},{&quot;family&quot;:&quot;Subar&quot;,&quot;given&quot;:&quot;Amy F&quot;,&quot;parse-names&quot;:false,&quot;dropping-particle&quot;:&quot;&quot;,&quot;non-dropping-particle&quot;:&quot;&quot;}],&quot;container-title&quot;:&quot;The Journal of nutrition&quot;,&quot;container-title-short&quot;:&quot;J Nutr&quot;,&quot;DOI&quot;:&quot;10.3945/jn.113.189407&quot;,&quot;ISSN&quot;:&quot;1541-6100&quot;,&quot;PMID&quot;:&quot;24572039&quot;,&quot;issued&quot;:{&quot;date-parts&quot;:[[2014,6]]},&quot;page&quot;:&quot;881-9&quot;,&quot;abstract&quot;:&quot;Increased attention in dietary research and guidance has been focused on dietary patterns, rather than on single nutrients or food groups, because dietary components are consumed in combination and correlated with one another. However, the collective body of research on the topic has been hampered by the lack of consistency in methods used. We examined the relationships between 4 indices--the Healthy Eating Index-2010 (HEI-2010), the Alternative Healthy Eating Index-2010 (AHEI-2010), the alternate Mediterranean Diet (aMED), and Dietary Approaches to Stop Hypertension (DASH)--and all-cause, cardiovascular disease (CVD), and cancer mortality in the NIH-AARP Diet and Health Study (n = 492,823). Data from a 124-item food-frequency questionnaire were used to calculate scores; adjusted HRs and 95% CIs were estimated. We documented 86,419 deaths, including 23,502 CVD- and 29,415 cancer-specific deaths, during 15 y of follow-up. Higher index scores were associated with a 12-28% decreased risk of all-cause, CVD, and cancer mortality. Specifically, comparing the highest with the lowest quintile scores, adjusted HRs for all-cause mortality for men were as follows: HEI-2010 HR: 0.78 (95% CI: 0.76, 0.80), AHEI-2010 HR: 0.76 (95% CI: 0.74, 0.78), aMED HR: 0.77 (95% CI: 0.75, 0.79), and DASH HR: 0.83 (95% CI: 0.80, 0.85); for women, these were HEI-2010 HR: 0.77 (95% CI: 0.74, 0.80), AHEI-2010 HR: 0.76 (95% CI: 0.74, 0.79), aMED HR: 0.76 (95% CI: 0.73, 0.79), and DASH HR: 0.78 (95% CI: 0.75, 0.81). Similarly, high adherence on each index was protective for CVD and cancer mortality examined separately. These findings indicate that multiple scores reflect core tenets of a healthy diet that may lower the risk of mortality outcomes, including federal guidance as operationalized in the HEI-2010, Harvard's Healthy Eating Plate as captured in the AHEI-2010, a Mediterranean diet as adapted in an Americanized aMED, and the DASH Eating Plan as included in the DASH score.&quot;,&quot;issue&quot;:&quot;6&quot;,&quot;volume&quot;:&quot;144&quot;},&quot;isTemporary&quot;:false}]},{&quot;citationID&quot;:&quot;MENDELEY_CITATION_e3bbb2ea-64e1-488a-bde9-60dc17c3766f&quot;,&quot;properties&quot;:{&quot;noteIndex&quot;:0},&quot;isEdited&quot;:false,&quot;manualOverride&quot;:{&quot;isManuallyOverridden&quot;:false,&quot;citeprocText&quot;:&quot;[3]&quot;,&quot;manualOverrideText&quot;:&quot;&quot;},&quot;citationTag&quot;:&quot;MENDELEY_CITATION_v3_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NC4xMi4wMDkiLCJJU1NOIjoiMjIxMjI2NzIiLCJpc3N1ZWQiOnsiZGF0ZS1wYXJ0cyI6W1syMDE1LDVdXX0sInBhZ2UiOiI3ODAtODAwLmU1IiwiaXNzdWUiOiI1Iiwidm9sdW1lIjoiMTE1In0sImlzVGVtcG9yYXJ5IjpmYWxzZX1dfQ==&quot;,&quot;citationItems&quot;:[{&quot;id&quot;:&quot;ca4ab39c-a967-3080-b6b5-3dcc6ef164a4&quot;,&quot;itemData&quot;:{&quot;type&quot;:&quot;article-journal&quot;,&quot;id&quot;:&quot;ca4ab39c-a967-3080-b6b5-3dcc6ef164a4&quot;,&quot;title&quot;:&quot;Diet Quality as Assessed by the Healthy Eating Index, the Alternate Healthy Eating Index, the Dietary Approaches to Stop Hypertension Score, and Health Outcomes: A Systematic Review and Meta-Analysis of Cohort Studies&quot;,&quot;author&quot;:[{&quot;family&quot;:&quot;Schwingshackl&quot;,&quot;given&quot;:&quot;Lukas&quot;,&quot;parse-names&quot;:false,&quot;dropping-particle&quot;:&quot;&quot;,&quot;non-dropping-particle&quot;:&quot;&quot;},{&quot;family&quot;:&quot;Hoffmann&quot;,&quot;given&quot;:&quot;Georg&quot;,&quot;parse-names&quot;:false,&quot;dropping-particle&quot;:&quot;&quot;,&quot;non-dropping-particle&quot;:&quot;&quot;}],&quot;container-title&quot;:&quot;Journal of the Academy of Nutrition and Dietetics&quot;,&quot;container-title-short&quot;:&quot;J Acad Nutr Diet&quot;,&quot;DOI&quot;:&quot;10.1016/j.jand.2014.12.009&quot;,&quot;ISSN&quot;:&quot;22122672&quot;,&quot;issued&quot;:{&quot;date-parts&quot;:[[2015,5]]},&quot;page&quot;:&quot;780-800.e5&quot;,&quot;issue&quot;:&quot;5&quot;,&quot;volume&quot;:&quot;115&quot;},&quot;isTemporary&quot;:false}]},{&quot;citationID&quot;:&quot;MENDELEY_CITATION_8785d6d5-21d0-4e87-825c-60eb688df036&quot;,&quot;properties&quot;:{&quot;noteIndex&quot;:0},&quot;isEdited&quot;:false,&quot;manualOverride&quot;:{&quot;isManuallyOverridden&quot;:false,&quot;citeprocText&quot;:&quot;[4]&quot;,&quot;manualOverrideText&quot;:&quot;&quot;},&quot;citationTag&quot;:&quot;MENDELEY_CITATION_v3_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&quot;,&quot;citationItems&quot;:[{&quot;id&quot;:&quot;c039448b-db1f-31c1-a710-685b3ea249c0&quot;,&quot;itemData&quot;:{&quot;type&quot;:&quot;article-journal&quot;,&quot;id&quot;:&quot;c039448b-db1f-31c1-a710-685b3ea249c0&quot;,&quot;title&quot;:&quot;Diet quality – what is it and does it matter?&quot;,&quot;author&quot;:[{&quot;family&quot;:&quot;Wirt&quot;,&quot;given&quot;:&quot;Annika&quot;,&quot;parse-names&quot;:false,&quot;dropping-particle&quot;:&quot;&quot;,&quot;non-dropping-particle&quot;:&quot;&quot;},{&quot;family&quot;:&quot;Collins&quot;,&quot;given&quot;:&quot;Clare E.&quot;,&quot;parse-names&quot;:false,&quot;dropping-particle&quot;:&quot;&quot;,&quot;non-dropping-particle&quot;:&quot;&quot;}],&quot;container-title&quot;:&quot;Public Health Nutrition&quot;,&quot;container-title-short&quot;:&quot;Public Health Nutr&quot;,&quot;accessed&quot;:{&quot;date-parts&quot;:[[2024,2,12]]},&quot;DOI&quot;:&quot;10.1017/S136898000900531X&quot;,&quot;ISSN&quot;:&quot;1475-2727&quot;,&quot;PMID&quot;:&quot;19335941&quot;,&quot;URL&quot;:&quot;https://www.cambridge.org/core/journals/public-health-nutrition/article/diet-quality-what-is-it-and-does-it-matter/9E51F4F8539F8F5681F2EA4F0A2F74F3&quot;,&quot;issued&quot;:{&quot;date-parts&quot;:[[2009]]},&quot;page&quot;:&quot;2473-2492&quot;,&quot;abstract&quot;:&quot;ObjectiveMeasures of diet quality have evolved with a number of scoring indices currently in use. They are increasingly being used to examine epidemiological associations between dietary intake and nutrition-related health outcomes. The present review aims to describe current diet quality tools and their applications, and to examine the relationship between diet quality and morbidity and mortality.DesignA search was conducted of MEDLINE, Cochrane, EMBASE, CINAHL and ProQuest electronic databases. Inclusion criteria were: English language; published from 2004 on; conducted in adult populations; longitudinal/cohort/case–control or cross-sectional study; included a theoretically defined measure of diet quality.ResultsA total of twenty-five indices of overall diet quality and/or variety were found, with components ranging from nutrients only to adherence to recommended food group servings, to variety within healthful food groups. The majority of studies reviewed had methodological weaknesses but demonstrated that higher dietary quality was consistently inversely related to all-cause mortality, with a protective effect of moderate magnitude. The associations were stronger for men and for all-cause and CVD mortality.ConclusionsThe limitations of both the indices and the studies that use them need to be considered when interpreting and comparing results. However, diet quality indices do appear to be able to quantify risk of some health outcomes, including biomarkers of disease and risk of CVD, some cancers and mortality. Further research is needed to improve the validity of these tools and to adapt them for use in clinical dietetic practice.&quot;,&quot;publisher&quot;:&quot;Cambridge University Press&quot;,&quot;issue&quot;:&quot;12&quot;,&quot;volume&quot;:&quot;12&quot;},&quot;isTemporary&quot;:false}]},{&quot;citationID&quot;:&quot;MENDELEY_CITATION_412d7186-827e-4b4e-a3db-7aa4867af592&quot;,&quot;properties&quot;:{&quot;noteIndex&quot;:0},&quot;isEdited&quot;:false,&quot;manualOverride&quot;:{&quot;isManuallyOverridden&quot;:false,&quot;citeprocText&quot;:&quot;[5–8]&quot;,&quot;manualOverrideText&quot;:&quot;&quot;},&quot;citationTag&quot;:&quot;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&quot;,&quot;citationItems&quot;:[{&quot;id&quot;:&quot;139c0ea2-93ee-34dc-9267-8379b8ed462e&quot;,&quot;itemData&quot;:{&quot;type&quot;:&quot;article-journal&quot;,&quot;id&quot;:&quot;139c0ea2-93ee-34dc-9267-8379b8ed462e&quot;,&quot;title&quot;:&quot;Diet quality of Americans differs by age, sex, race/ethnicity, income, and education level&quot;,&quot;author&quot;:[{&quot;family&quot;:&quot;Hiza&quot;,&quot;given&quot;:&quot;Hazel A.B.&quot;,&quot;parse-names&quot;:false,&quot;dropping-particle&quot;:&quot;&quot;,&quot;non-dropping-particle&quot;:&quot;&quot;},{&quot;family&quot;:&quot;Casavale&quot;,&quot;given&quot;:&quot;Kellie O.&quot;,&quot;parse-names&quot;:false,&quot;dropping-particle&quot;:&quot;&quot;,&quot;non-dropping-particle&quot;:&quot;&quot;},{&quot;family&quot;:&quot;Guenther&quot;,&quot;given&quot;:&quot;Patricia M.&quot;,&quot;parse-names&quot;:false,&quot;dropping-particle&quot;:&quot;&quot;,&quot;non-dropping-particle&quot;:&quot;&quot;},{&quot;family&quot;:&quot;Davis&quot;,&quot;given&quot;:&quot;Carole A.&quot;,&quot;parse-names&quot;:false,&quot;dropping-particle&quot;:&quot;&quot;,&quot;non-dropping-particle&quot;:&quot;&quot;}],&quot;container-title&quot;:&quot;Journal of the Academy of Nutrition and Dietetics&quot;,&quot;container-title-short&quot;:&quot;J Acad Nutr Diet&quot;,&quot;accessed&quot;:{&quot;date-parts&quot;:[[2024,2,24]]},&quot;DOI&quot;:&quot;10.1016/J.JAND.2012.08.011&quot;,&quot;ISSN&quot;:&quot;2212-2672&quot;,&quot;PMID&quot;:&quot;23168270&quot;,&quot;URL&quot;:&quot;https://pubmed.ncbi.nlm.nih.gov/23168270/&quot;,&quot;issued&quot;:{&quot;date-parts&quot;:[[2013,2]]},&quot;page&quot;:&quot;297-306&quot;,&quot;abstract&quot;:&quot;An index that assesses the multidimensional components of the diet across the lifecycle is useful in describing diet quality. The purpose of this study was to use the Healthy Eating Index-2005, a measure of diet quality in terms of conformance to the 2005 Dietary Guidelines for Americans, to describe the diet quality of Americans by varying sociodemographic characteristics in order to provide insight as to where diets need to improve. The Healthy Eating Index-2005 scores were estimated using 1 day of dietary intake data provided by participants in the 2003-2004 National Health and Nutrition Examination Survey. Mean daily intakes of foods and nutrients, expressed per 1,000 kilocalories, were estimated using the population ratio method and compared with standards that reflect the 2005 Dietary Guidelines for Americans. Participants included 3,286 children (2 to 17 years), 3,690 young and middle-aged adults (18 to 64 years), and 1,296 older adults (65+ years). Results are reported as percentages of maximum scores and tested for significant differences (P≤0.05) by age, sex, race/ethnicity, income, and education levels. Children and older adults had better-quality diets than younger and middle-aged adults; women had better-quality diets than men; Hispanics had better-quality diets than blacks and whites; and diet quality of adults, but not children, generally improved with income level, except for sodium. The diets of Americans, regardless of socioeconomic status, are far from optimal. Problematic dietary patterns were found among all sociodemographic groups. Major improvements in the nutritional health of the American public can be made by improving eating patterns. © 2013.&quot;,&quot;publisher&quot;:&quot;J Acad Nutr Diet&quot;,&quot;issue&quot;:&quot;2&quot;,&quot;volume&quot;:&quot;113&quot;},&quot;isTemporary&quot;:false},{&quot;id&quot;:&quot;b3f4bc64-eeed-39a0-a869-8107c9023452&quot;,&quot;itemData&quot;:{&quot;type&quot;:&quot;report&quot;,&quot;id&quot;:&quot;b3f4bc64-eeed-39a0-a869-8107c9023452&quot;,&quot;title&quot;:&quot;Healthy diet metrics: a suitability assessment of indicators for global and national monitoring purposes&quot;,&quot;author&quot;:[{&quot;family&quot;:&quot;Eric O Verger&quot;,&quot;given&quot;:&quot;&quot;,&quot;parse-names&quot;:false,&quot;dropping-particle&quot;:&quot;&quot;,&quot;non-dropping-particle&quot;:&quot;&quot;},{&quot;family&quot;:&quot;Mathilde Savy&quot;,&quot;given&quot;:&quot;&quot;,&quot;parse-names&quot;:false,&quot;dropping-particle&quot;:&quot;&quot;,&quot;non-dropping-particle&quot;:&quot;&quot;},{&quot;family&quot;:&quot;Yves Martin-Prével&quot;,&quot;given&quot;:&quot;&quot;,&quot;parse-names&quot;:false,&quot;dropping-particle&quot;:&quot;&quot;,&quot;non-dropping-particle&quot;:&quot;&quot;},{&quot;family&quot;:&quot;Jennifer Coates&quot;,&quot;given&quot;:&quot;&quot;,&quot;parse-names&quot;:false,&quot;dropping-particle&quot;:&quot;&quot;,&quot;non-dropping-particle&quot;:&quot;&quot;},{&quot;family&quot;:&quot;Edward Frongillo&quot;,&quot;given&quot;:&quot;&quot;,&quot;parse-names&quot;:false,&quot;dropping-particle&quot;:&quot;&quot;,&quot;non-dropping-particle&quot;:&quot;&quot;},{&quot;family&quot;:&quot;Lynnette Neufeld&quot;,&quot;given&quot;:&quot;&quot;,&quot;parse-names&quot;:false,&quot;dropping-particle&quot;:&quot;&quot;,&quot;non-dropping-particle&quot;:&quot;&quot;}],&quot;issued&quot;:{&quot;date-parts&quot;:[[2023]]},&quot;publisher-place&quot;:&quot;Geneva&quot;,&quot;container-title-short&quot;:&quot;&quot;},&quot;isTemporary&quot;:false},{&quot;id&quot;:&quot;46302cb7-dc2c-3ada-86a1-2d7937527729&quot;,&quot;itemData&quot;:{&quot;type&quot;:&quot;article-journal&quot;,&quot;id&quot;:&quot;46302cb7-dc2c-3ada-86a1-2d7937527729&quot;,&quot;title&quot;:&quot;Associations of key diet-quality indexes with mortality in the Multiethnic Cohort: the Dietary Patterns Methods Project.&quot;,&quot;author&quot;:[{&quot;family&quot;:&quot;Harmon&quot;,&quot;given&quot;:&quot;Brook E&quot;,&quot;parse-names&quot;:false,&quot;dropping-particle&quot;:&quot;&quot;,&quot;non-dropping-particle&quot;:&quot;&quot;},{&quot;family&quot;:&quot;Boushey&quot;,&quot;given&quot;:&quot;Carol J&quot;,&quot;parse-names&quot;:false,&quot;dropping-particle&quot;:&quot;&quot;,&quot;non-dropping-particle&quot;:&quot;&quot;},{&quot;family&quot;:&quot;Shvetsov&quot;,&quot;given&quot;:&quot;Yurii B&quot;,&quot;parse-names&quot;:false,&quot;dropping-particle&quot;:&quot;&quot;,&quot;non-dropping-particle&quot;:&quot;&quot;},{&quot;family&quot;:&quot;Ettienne&quot;,&quot;given&quot;:&quot;Reynolette&quot;,&quot;parse-names&quot;:false,&quot;dropping-particle&quot;:&quot;&quot;,&quot;non-dropping-particle&quot;:&quot;&quot;},{&quot;family&quot;:&quot;Reedy&quot;,&quot;given&quot;:&quot;Jill&quot;,&quot;parse-names&quot;:false,&quot;dropping-particle&quot;:&quot;&quot;,&quot;non-dropping-particle&quot;:&quot;&quot;},{&quot;family&quot;:&quot;Wilkens&quot;,&quot;given&quot;:&quot;Lynne R&quot;,&quot;parse-names&quot;:false,&quot;dropping-particle&quot;:&quot;&quot;,&quot;non-dropping-particle&quot;:&quot;&quot;},{&quot;family&quot;:&quot;Marchand&quot;,&quot;given&quot;:&quot;Loic&quot;,&quot;parse-names&quot;:false,&quot;dropping-particle&quot;:&quot;&quot;,&quot;non-dropping-particle&quot;:&quot;Le&quot;},{&quot;family&quot;:&quot;Henderson&quot;,&quot;given&quot;:&quot;Brian E&quot;,&quot;parse-names&quot;:false,&quot;dropping-particle&quot;:&quot;&quot;,&quot;non-dropping-particle&quot;:&quot;&quot;},{&quot;family&quot;:&quot;Kolonel&quot;,&quot;given&quot;:&quot;Laurence N&quot;,&quot;parse-names&quot;:false,&quot;dropping-particle&quot;:&quot;&quot;,&quot;non-dropping-particle&quot;:&quot;&quot;}],&quot;container-title&quot;:&quot;The American journal of clinical nutrition&quot;,&quot;container-title-short&quot;:&quot;Am J Clin Nutr&quot;,&quot;DOI&quot;:&quot;10.3945/ajcn.114.090688&quot;,&quot;ISSN&quot;:&quot;1938-3207&quot;,&quot;PMID&quot;:&quot;25733644&quot;,&quot;issued&quot;:{&quot;date-parts&quot;:[[2015,3]]},&quot;page&quot;:&quot;587-97&quot;,&quot;abstract&quot;:&quot;BACKGROUND Healthy dietary patterns have been linked positively with health and longevity. However, prospective studies in diverse populations in the United States addressing dietary patterns and mortality are limited. OBJECTIVE We assessed the ability of the following 4 diet-quality indexes [the Healthy Eating Index-2010 (HEI-2010), the Alternative HEI-2010 (AHEI-2010), the alternate Mediterranean diet score (aMED), and the Dietary Approaches to Stop Hypertension (DASH)] to predict the reduction in risk of mortality from all causes, cardiovascular disease (CVD), and cancer. DESIGN White, African American, Native Hawaiian, Japanese American, and Latino adults (n = 215,782) from the Multiethnic Cohort completed a quantitative food-frequency questionnaire. Scores for each dietary index were computed and divided into quintiles for men and women. Mortality was documented over 13-18 y of follow-up. HRs and 95% CIs were computed by using adjusted Cox models. RESULTS High HEI-2010, AHEI-2010, aMED, and DASH scores were all inversely associated with risk of mortality from all causes, CVD, and cancer in both men and women (P-trend &lt; 0.0001 for all models). For men, the HEI-2010 was consistently associated with a reduction in risk of mortality for all causes (HR: 0.75; 95% CI: 0.71, 0.79), CVD (HR: 0.74; 95% CI: 0.69, 0.81), and cancer (HR: 0.76; 95% CI: 0.70, 0.83) when lowest and highest quintiles were compared. In women, the AHEI and aMED showed large reductions for all-cause mortality (HR: 0.78; 95% CI: 0.74, 0.82), the AHEI showed large reductions for CVD (HR: 0.76; 95% CI: 0.69, 0.83), and the aMED showed large reductions for cancer (HR: 0.84; 95% CI: 0.76, 0. 92). CONCLUSION These results, in a US multiethnic population, suggest that consuming a dietary pattern that achieves a high diet-quality index score is associated with lower risk of mortality from all causes, CVD, and cancer in adult men and women.&quot;,&quot;issue&quot;:&quot;3&quot;,&quot;volume&quot;:&quot;101&quot;},&quot;isTemporary&quot;:false},{&quot;id&quot;:&quot;0bfab0cb-82d6-3590-a02d-ca37d33e7db2&quot;,&quot;itemData&quot;:{&quot;type&quot;:&quot;article-journal&quot;,&quot;id&quot;:&quot;0bfab0cb-82d6-3590-a02d-ca37d33e7db2&quot;,&quot;title&quot;:&quot;Healthy Eating Index-2015 and Predicted 10-Year Cardiovascular Disease Risk, as Well as Heart Age&quot;,&quot;author&quot;:[{&quot;family&quot;:&quot;Zhang&quot;,&quot;given&quot;:&quot;Yinyin&quot;,&quot;parse-names&quot;:false,&quot;dropping-particle&quot;:&quot;&quot;,&quot;non-dropping-particle&quot;:&quot;&quot;},{&quot;family&quot;:&quot;Lu&quot;,&quot;given&quot;:&quot;Cong&quot;,&quot;parse-names&quot;:false,&quot;dropping-particle&quot;:&quot;&quot;,&quot;non-dropping-particle&quot;:&quot;&quot;},{&quot;family&quot;:&quot;Li&quot;,&quot;given&quot;:&quot;Xinyu&quot;,&quot;parse-names&quot;:false,&quot;dropping-particle&quot;:&quot;&quot;,&quot;non-dropping-particle&quot;:&quot;&quot;},{&quot;family&quot;:&quot;Fan&quot;,&quot;given&quot;:&quot;Yameng&quot;,&quot;parse-names&quot;:false,&quot;dropping-particle&quot;:&quot;&quot;,&quot;non-dropping-particle&quot;:&quot;&quot;},{&quot;family&quot;:&quot;Li&quot;,&quot;given&quot;:&quot;Jiaqiao&quot;,&quot;parse-names&quot;:false,&quot;dropping-particle&quot;:&quot;&quot;,&quot;non-dropping-particle&quot;:&quot;&quot;},{&quot;family&quot;:&quot;Liu&quot;,&quot;given&quot;:&quot;Yamei&quot;,&quot;parse-names&quot;:false,&quot;dropping-particle&quot;:&quot;&quot;,&quot;non-dropping-particle&quot;:&quot;&quot;},{&quot;family&quot;:&quot;Yu&quot;,&quot;given&quot;:&quot;Yan&quot;,&quot;parse-names&quot;:false,&quot;dropping-particle&quot;:&quot;&quot;,&quot;non-dropping-particle&quot;:&quot;&quot;},{&quot;family&quot;:&quot;Zhou&quot;,&quot;given&quot;:&quot;Long&quot;,&quot;parse-names&quot;:false,&quot;dropping-particle&quot;:&quot;&quot;,&quot;non-dropping-particle&quot;:&quot;&quot;}],&quot;container-title&quot;:&quot;Frontiers in Nutrition&quot;,&quot;container-title-short&quot;:&quot;Front Nutr&quot;,&quot;DOI&quot;:&quot;10.3389/fnut.2022.888966&quot;,&quot;ISSN&quot;:&quot;2296-861X&quot;,&quot;issued&quot;:{&quot;date-parts&quot;:[[2022,7,12]]},&quot;volume&quot;:&quot;9&quot;},&quot;isTemporary&quot;:false}]},{&quot;citationID&quot;:&quot;MENDELEY_CITATION_bd03b46f-a96d-494c-84ee-9b8190acfbe3&quot;,&quot;properties&quot;:{&quot;noteIndex&quot;:0},&quot;isEdited&quot;:false,&quot;manualOverride&quot;:{&quot;isManuallyOverridden&quot;:false,&quot;citeprocText&quot;:&quot;[9]&quot;,&quot;manualOverrideText&quot;:&quot;&quot;},&quot;citationTag&quot;:&quot;MENDELEY_CITATION_v3_eyJjaXRhdGlvbklEIjoiTUVOREVMRVlfQ0lUQVRJT05fYmQwM2I0NmYtYTk2ZC00OTRjLTg0ZWUtOWI4MTkwYWNmYmUzIiwicHJvcGVydGllcyI6eyJub3RlSW5kZXgiOjB9LCJpc0VkaXRlZCI6ZmFsc2UsIm1hbnVhbE92ZXJyaWRlIjp7ImlzTWFudWFsbHlPdmVycmlkZGVuIjpmYWxzZSwiY2l0ZXByb2NUZXh0IjoiWzl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citationID&quot;:&quot;MENDELEY_CITATION_9361d061-88f4-4a39-9a0b-95a5a6612d8e&quot;,&quot;properties&quot;:{&quot;noteIndex&quot;:0},&quot;isEdited&quot;:false,&quot;manualOverride&quot;:{&quot;isManuallyOverridden&quot;:false,&quot;citeprocText&quot;:&quot;[10]&quot;,&quot;manualOverrideText&quot;:&quot;&quot;},&quot;citationTag&quot;:&quot;MENDELEY_CITATION_v3_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&quot;,&quot;citationItems&quot;:[{&quot;id&quot;:&quot;cf37e134-d511-3a3c-b267-86e99de5f8b0&quot;,&quot;itemData&quot;:{&quot;type&quot;:&quot;article-journal&quot;,&quot;id&quot;:&quot;cf37e134-d511-3a3c-b267-86e99de5f8b0&quot;,&quot;title&quot;:&quot;The Diet Quality Index-International (DQI-I) Provides an Effective Tool for Cross-National Comparison of Diet Quality as Illustrated by China and the United States&quot;,&quot;author&quot;:[{&quot;family&quot;:&quot;Kim&quot;,&quot;given&quot;:&quot;Soowon&quot;,&quot;parse-names&quot;:false,&quot;dropping-particle&quot;:&quot;&quot;,&quot;non-dropping-particle&quot;:&quot;&quot;},{&quot;family&quot;:&quot;Haines&quot;,&quot;given&quot;:&quot;Pamela S.&quot;,&quot;parse-names&quot;:false,&quot;dropping-particle&quot;:&quot;&quot;,&quot;non-dropping-particle&quot;:&quot;&quot;},{&quot;family&quot;:&quot;Siega-Riz&quot;,&quot;given&quot;:&quot;Anna Maria&quot;,&quot;parse-names&quot;:false,&quot;dropping-particle&quot;:&quot;&quot;,&quot;non-dropping-particle&quot;:&quot;&quot;},{&quot;family&quot;:&quot;Popkin&quot;,&quot;given&quot;:&quot;Barry M.&quot;,&quot;parse-names&quot;:false,&quot;dropping-particle&quot;:&quot;&quot;,&quot;non-dropping-particle&quot;:&quot;&quot;}],&quot;container-title&quot;:&quot;The Journal of Nutrition&quot;,&quot;container-title-short&quot;:&quot;J Nutr&quot;,&quot;DOI&quot;:&quot;10.1093/jn/133.11.3476&quot;,&quot;ISSN&quot;:&quot;0022-3166&quot;,&quot;issued&quot;:{&quot;date-parts&quot;:[[2003,11,1]]},&quot;page&quot;:&quot;3476-3484&quot;,&quot;issue&quot;:&quot;11&quot;,&quot;volume&quot;:&quot;133&quot;},&quot;isTemporary&quot;:false}]},{&quot;citationID&quot;:&quot;MENDELEY_CITATION_a6791c75-4072-451f-a69f-18ab780cf092&quot;,&quot;properties&quot;:{&quot;noteIndex&quot;:0},&quot;isEdited&quot;:false,&quot;manualOverride&quot;:{&quot;isManuallyOverridden&quot;:false,&quot;citeprocText&quot;:&quot;[11]&quot;,&quot;manualOverrideText&quot;:&quot;&quot;},&quot;citationTag&quot;:&quot;MENDELEY_CITATION_v3_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&quot;,&quot;citationItems&quot;:[{&quot;id&quot;:&quot;a2880240-67d1-3584-97a1-049e8b6340e5&quot;,&quot;itemData&quot;:{&quot;type&quot;:&quot;article-journal&quot;,&quot;id&quot;:&quot;a2880240-67d1-3584-97a1-049e8b6340e5&quot;,&quot;title&quot;:&quot;Healthy indexes in public health practice and research: a review.&quot;,&quot;author&quot;:[{&quot;family&quot;:&quot;Arvaniti&quot;,&quot;given&quot;:&quot;Fotini&quot;,&quot;parse-names&quot;:false,&quot;dropping-particle&quot;:&quot;&quot;,&quot;non-dropping-particle&quot;:&quot;&quot;},{&quot;family&quot;:&quot;Panagiotakos&quot;,&quot;given&quot;:&quot;Demosthenes B&quot;,&quot;parse-names&quot;:false,&quot;dropping-particle&quot;:&quot;&quot;,&quot;non-dropping-particle&quot;:&quot;&quot;}],&quot;container-title&quot;:&quot;Critical reviews in food science and nutrition&quot;,&quot;container-title-short&quot;:&quot;Crit Rev Food Sci Nutr&quot;,&quot;DOI&quot;:&quot;10.1080/10408390701326268&quot;,&quot;ISSN&quot;:&quot;1549-7852&quot;,&quot;PMID&quot;:&quot;18409114&quot;,&quot;issued&quot;:{&quot;date-parts&quot;:[[2008,4]]},&quot;page&quot;:&quot;317-27&quot;,&quot;abstract&quot;:&quot;The scientific community has long been interested in the overall quality of diets owing to the fact that it is important for each individual's health through a healthy, varied, and balanced diet. Much research has been conducted on methods used to measure dietary quality. These studies led to the determination of numerous indices, some very simple and some much more complex. Indices that examine diets for several attributes concurrently are able to provide a measure of overall diet quality that is not possible when only single nutrients or food groups are examined. Using these indices, diet quality may be evaluated in relation to nutrient adequacy, compliance with dietary guidelines, or nutrition recommendations, association with risk of chronic diseases, or mortality, and used to assess interventions. However, there are several factors that should be taken into consideration for the design of an index, like the purpose of its use, as well as its simplicity in daily practice. The general purpose of an index is to synthesize a large amount of information into a single useful indicator. The purpose of this review was to present and to critically review the most commonly used dietary indices, and how they reflect various aspects of diet quality. The majority of these indices fail to recognize the various inter-relationships between their components, as well as their accuracy for estimating specific health outcomes. Thus, the development of weighted dietary indices that adequately assess a dietary pattern and its relationship to the burden of a disease is considered essential.&quot;,&quot;issue&quot;:&quot;4&quot;,&quot;volume&quot;:&quot;48&quot;},&quot;isTemporary&quot;:false}]},{&quot;citationID&quot;:&quot;MENDELEY_CITATION_f53903f1-59f0-48c7-b68f-8655e25502e9&quot;,&quot;properties&quot;:{&quot;noteIndex&quot;:0},&quot;isEdited&quot;:false,&quot;manualOverride&quot;:{&quot;isManuallyOverridden&quot;:false,&quot;citeprocText&quot;:&quot;[11]&quot;,&quot;manualOverrideText&quot;:&quot;&quot;},&quot;citationTag&quot;:&quot;MENDELEY_CITATION_v3_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&quot;,&quot;citationItems&quot;:[{&quot;id&quot;:&quot;a2880240-67d1-3584-97a1-049e8b6340e5&quot;,&quot;itemData&quot;:{&quot;type&quot;:&quot;article-journal&quot;,&quot;id&quot;:&quot;a2880240-67d1-3584-97a1-049e8b6340e5&quot;,&quot;title&quot;:&quot;Healthy indexes in public health practice and research: a review.&quot;,&quot;author&quot;:[{&quot;family&quot;:&quot;Arvaniti&quot;,&quot;given&quot;:&quot;Fotini&quot;,&quot;parse-names&quot;:false,&quot;dropping-particle&quot;:&quot;&quot;,&quot;non-dropping-particle&quot;:&quot;&quot;},{&quot;family&quot;:&quot;Panagiotakos&quot;,&quot;given&quot;:&quot;Demosthenes B&quot;,&quot;parse-names&quot;:false,&quot;dropping-particle&quot;:&quot;&quot;,&quot;non-dropping-particle&quot;:&quot;&quot;}],&quot;container-title&quot;:&quot;Critical reviews in food science and nutrition&quot;,&quot;container-title-short&quot;:&quot;Crit Rev Food Sci Nutr&quot;,&quot;DOI&quot;:&quot;10.1080/10408390701326268&quot;,&quot;ISSN&quot;:&quot;1549-7852&quot;,&quot;PMID&quot;:&quot;18409114&quot;,&quot;issued&quot;:{&quot;date-parts&quot;:[[2008,4]]},&quot;page&quot;:&quot;317-27&quot;,&quot;abstract&quot;:&quot;The scientific community has long been interested in the overall quality of diets owing to the fact that it is important for each individual's health through a healthy, varied, and balanced diet. Much research has been conducted on methods used to measure dietary quality. These studies led to the determination of numerous indices, some very simple and some much more complex. Indices that examine diets for several attributes concurrently are able to provide a measure of overall diet quality that is not possible when only single nutrients or food groups are examined. Using these indices, diet quality may be evaluated in relation to nutrient adequacy, compliance with dietary guidelines, or nutrition recommendations, association with risk of chronic diseases, or mortality, and used to assess interventions. However, there are several factors that should be taken into consideration for the design of an index, like the purpose of its use, as well as its simplicity in daily practice. The general purpose of an index is to synthesize a large amount of information into a single useful indicator. The purpose of this review was to present and to critically review the most commonly used dietary indices, and how they reflect various aspects of diet quality. The majority of these indices fail to recognize the various inter-relationships between their components, as well as their accuracy for estimating specific health outcomes. Thus, the development of weighted dietary indices that adequately assess a dietary pattern and its relationship to the burden of a disease is considered essential.&quot;,&quot;issue&quot;:&quot;4&quot;,&quot;volume&quot;:&quot;48&quot;},&quot;isTemporary&quot;:false}]},{&quot;citationID&quot;:&quot;MENDELEY_CITATION_52f41d71-0f63-458f-8d43-9b080e7891eb&quot;,&quot;properties&quot;:{&quot;noteIndex&quot;:0},&quot;isEdited&quot;:false,&quot;manualOverride&quot;:{&quot;isManuallyOverridden&quot;:false,&quot;citeprocText&quot;:&quot;[9, 12, 13]&quot;,&quot;manualOverrideText&quot;:&quot;&quot;},&quot;citationTag&quot;:&quot;MENDELEY_CITATION_v3_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56b55f8f-4319-3346-8ec9-8c98646e7332&quot;,&quot;itemData&quot;:{&quot;type&quot;:&quot;article-journal&quot;,&quot;id&quot;:&quot;56b55f8f-4319-3346-8ec9-8c98646e7332&quot;,&quot;title&quot;:&quot;Development of the Healthy Eating Index-2005&quot;,&quot;author&quot;:[{&quot;family&quot;:&quot;Guenther&quot;,&quot;given&quot;:&quot;Patricia M.&quot;,&quot;parse-names&quot;:false,&quot;dropping-particle&quot;:&quot;&quot;,&quot;non-dropping-particle&quot;:&quot;&quot;},{&quot;family&quot;:&quot;Reedy&quot;,&quot;given&quot;:&quot;Jill&quot;,&quot;parse-names&quot;:false,&quot;dropping-particle&quot;:&quot;&quot;,&quot;non-dropping-particle&quot;:&quot;&quot;},{&quot;family&quot;:&quot;Krebs-Smith&quot;,&quot;given&quot;:&quot;Susan M.&quot;,&quot;parse-names&quot;:false,&quot;dropping-particle&quot;:&quot;&quot;,&quot;non-dropping-particle&quot;:&quot;&quot;}],&quot;container-title&quot;:&quot;Journal of the American Dietetic Association&quot;,&quot;container-title-short&quot;:&quot;J Am Diet Assoc&quot;,&quot;DOI&quot;:&quot;10.1016/j.jada.2008.08.016&quot;,&quot;ISSN&quot;:&quot;00028223&quot;,&quot;PMID&quot;:&quot;18954580&quot;,&quot;issued&quot;:{&quot;date-parts&quot;:[[2008,11]]},&quot;page&quot;:&quot;1896-1901&quot;,&quot;abstract&quot;:&quot;The Healthy Eating Index (HEI) is a measure of diet quality as specified by Federal dietary guidance, and publication of the Dietary Guidelines for Americans 2005 necessitated its revision. An interagency working group based the HEI-2005 on the food patterns found in MyPyramid. Diets that meet the least restrictive of the food-group recommendations, expressed on a per 1,000 calorie basis, receive maximum scores for the nine adequacy components of the index: total fruit (5 points), whole fruit (5 points), total vegetables (5 points), dark green and orange vegetables and legumes (5 points), total grains (5 points), whole grains (5 points), milk (10 points), meat and beans (10 points), and oils (10 points). Lesser amounts are prorated linearly. Population probability densities were examined when setting the standards for minimum and maximum scores for the three moderation components: saturated fat (10 points), sodium (10 points), and calories from solid fats, alcoholic beverages (ie, beer, wine, and distilled spirits), and added sugars (20 points). Calories from solid fats, alcoholic beverages, and added sugars is a proxy for the discretionary calorie allowance. The 2005 Dietary Guideline for saturated fat and the Adequate Intake and Tolerable Upper Intake Level for sodium, expressed per 1,000 calories, were used when setting the standards for those components. Intakes between the maximum and minimum standards are prorated. The HEI-2005 is a measure of diet quality as described by the key diet-related recommendations of the 2005 Dietary Guidelines. It has a variety of potential uses, including monitoring the diet quality of the US population and subpopulations, evaluation of interventions, and research.&quot;,&quot;issue&quot;:&quot;11&quot;,&quot;volume&quot;:&quot;108&quot;},&quot;isTemporary&quot;:false},{&quot;id&quot;:&quot;dde45721-1ab4-36ec-ad3f-fe35052b24bf&quot;,&quot;itemData&quot;:{&quot;type&quot;:&quot;article-journal&quot;,&quot;id&quot;:&quot;dde45721-1ab4-36ec-ad3f-fe35052b24bf&quot;,&quot;title&quot;:&quot;Update of the Healthy Eating Index: HEI-2010&quot;,&quot;author&quot;:[{&quot;family&quot;:&quot;Guenther&quot;,&quot;given&quot;:&quot;Patricia M.&quot;,&quot;parse-names&quot;:false,&quot;dropping-particle&quot;:&quot;&quot;,&quot;non-dropping-particle&quot;:&quot;&quot;},{&quot;family&quot;:&quot;Casavale&quot;,&quot;given&quot;:&quot;Kellie O.&quot;,&quot;parse-names&quot;:false,&quot;dropping-particle&quot;:&quot;&quot;,&quot;non-dropping-particle&quot;:&quot;&quot;},{&quot;family&quot;:&quot;Reedy&quot;,&quot;given&quot;:&quot;Jill&quot;,&quot;parse-names&quot;:false,&quot;dropping-particle&quot;:&quot;&quot;,&quot;non-dropping-particle&quot;:&quot;&quot;},{&quot;family&quot;:&quot;Kirkpatrick&quot;,&quot;given&quot;:&quot;Sharon I.&quot;,&quot;parse-names&quot;:false,&quot;dropping-particle&quot;:&quot;&quot;,&quot;non-dropping-particle&quot;:&quot;&quot;},{&quot;family&quot;:&quot;Hiza&quot;,&quot;given&quot;:&quot;Hazel A.B.&quot;,&quot;parse-names&quot;:false,&quot;dropping-particle&quot;:&quot;&quot;,&quot;non-dropping-particle&quot;:&quot;&quot;},{&quot;family&quot;:&quot;Kuczynski&quot;,&quot;given&quot;:&quot;Kevin J.&quot;,&quot;parse-names&quot;:false,&quot;dropping-particle&quot;:&quot;&quot;,&quot;non-dropping-particle&quot;:&quot;&quot;},{&quot;family&quot;:&quot;Kahle&quot;,&quot;given&quot;:&quot;Lisa L.&quot;,&quot;parse-names&quot;:false,&quot;dropping-particle&quot;:&quot;&quot;,&quot;non-dropping-particle&quot;:&quot;&quot;},{&quot;family&quot;:&quot;Krebs-Smith&quot;,&quot;given&quot;:&quot;Susan M.&quot;,&quot;parse-names&quot;:false,&quot;dropping-particle&quot;:&quot;&quot;,&quot;non-dropping-particle&quot;:&quot;&quot;}],&quot;container-title&quot;:&quot;Journal of the Academy of Nutrition and Dietetics&quot;,&quot;container-title-short&quot;:&quot;J Acad Nutr Diet&quot;,&quot;DOI&quot;:&quot;10.1016/j.jand.2012.12.016&quot;,&quot;ISSN&quot;:&quot;22122672&quot;,&quot;PMID&quot;:&quot;23415502&quot;,&quot;issued&quot;:{&quot;date-parts&quot;:[[2013,4]]},&quot;page&quot;:&quot;569-580&quot;,&quot;abstract&quot;:&quot;The Healthy Eating Index (HEI) is a measure of diet quality in terms of conformance with federal dietary guidance. Publication of the 2010 Dietary Guidelines for Americans prompted an interagency working group to update the HEI. The HEI-2010 retains several features of the 2005 version: (a) it has 12 components, many unchanged, including nine adequacy and three moderation components; (b) it uses a density approach to set standards, eg, per 1,000 calories or as a percentage of calories; and (c) it employs leastrestrictive standards; ie, those that are easiest to achieve among recommendations that vary by energy level, sex, and/or age. Changes to the index include: (a) the Greens and Beans component replaces Dark Green and Orange Vegetables and Legumes; (b) Seafood and Plant Proteins has been added to capture specific choices from the protein group; (c) Fatty Acids, a ratio of polyunsaturated and monounsaturated to saturated fatty acids, replaces Oils and Saturated Fat to acknowledge the recommendation to replace saturated fat with monounsaturated and polyunsaturated fatty acids; and (d) a moderation component, Refined Grains, replaces the adequacy component, Total Grains, to assess overconsumption. The HEI-2010 captures the key recommendations of the 2010 Dietary Guidelines and, like earlier versions, will be used to assess the diet quality of the US population and subpopulations, evaluate interventions, research dietary patterns, and evaluate various aspects of the food environment. © 2013 Academy of Nutrition and Dietetics.&quot;,&quot;issue&quot;:&quot;4&quot;,&quot;volume&quot;:&quot;113&quot;},&quot;isTemporary&quot;:false},{&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citationID&quot;:&quot;MENDELEY_CITATION_120fe47d-48cf-4a0b-b091-ea77b6c2d972&quot;,&quot;properties&quot;:{&quot;noteIndex&quot;:0},&quot;isEdited&quot;:false,&quot;manualOverride&quot;:{&quot;isManuallyOverridden&quot;:false,&quot;citeprocText&quot;:&quot;[14]&quot;,&quot;manualOverrideText&quot;:&quot;&quot;},&quot;citationTag&quot;:&quot;MENDELEY_CITATION_v3_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&quot;,&quot;citationItems&quot;:[{&quot;id&quot;:&quot;9b92d637-7c6d-3063-8bf3-1c81f101e032&quot;,&quot;itemData&quot;:{&quot;type&quot;:&quot;article-journal&quot;,&quot;id&quot;:&quot;9b92d637-7c6d-3063-8bf3-1c81f101e032&quot;,&quot;title&quot;:&quot;The Healthy Eating Index-2010 is a valid and reliable measure of diet quality according to the 2010 Dietary Guidelines for Americans.&quot;,&quot;author&quot;:[{&quot;family&quot;:&quot;Guenther&quot;,&quot;given&quot;:&quot;Patricia M&quot;,&quot;parse-names&quot;:false,&quot;dropping-particle&quot;:&quot;&quot;,&quot;non-dropping-particle&quot;:&quot;&quot;},{&quot;family&quot;:&quot;Kirkpatrick&quot;,&quot;given&quot;:&quot;Sharon I&quot;,&quot;parse-names&quot;:false,&quot;dropping-particle&quot;:&quot;&quot;,&quot;non-dropping-particle&quot;:&quot;&quot;},{&quot;family&quot;:&quot;Reedy&quot;,&quot;given&quot;:&quot;Jill&quot;,&quot;parse-names&quot;:false,&quot;dropping-particle&quot;:&quot;&quot;,&quot;non-dropping-particle&quot;:&quot;&quot;},{&quot;family&quot;:&quot;Krebs-Smith&quot;,&quot;given&quot;:&quot;Susan M&quot;,&quot;parse-names&quot;:false,&quot;dropping-particle&quot;:&quot;&quot;,&quot;non-dropping-particle&quot;:&quot;&quot;},{&quot;family&quot;:&quot;Buckman&quot;,&quot;given&quot;:&quot;Dennis W&quot;,&quot;parse-names&quot;:false,&quot;dropping-particle&quot;:&quot;&quot;,&quot;non-dropping-particle&quot;:&quot;&quot;},{&quot;family&quot;:&quot;Dodd&quot;,&quot;given&quot;:&quot;Kevin W&quot;,&quot;parse-names&quot;:false,&quot;dropping-particle&quot;:&quot;&quot;,&quot;non-dropping-particle&quot;:&quot;&quot;},{&quot;family&quot;:&quot;Casavale&quot;,&quot;given&quot;:&quot;Kellie O&quot;,&quot;parse-names&quot;:false,&quot;dropping-particle&quot;:&quot;&quot;,&quot;non-dropping-particle&quot;:&quot;&quot;},{&quot;family&quot;:&quot;Carroll&quot;,&quot;given&quot;:&quot;Raymond J&quot;,&quot;parse-names&quot;:false,&quot;dropping-particle&quot;:&quot;&quot;,&quot;non-dropping-particle&quot;:&quot;&quot;}],&quot;container-title&quot;:&quot;The Journal of nutrition&quot;,&quot;container-title-short&quot;:&quot;J Nutr&quot;,&quot;DOI&quot;:&quot;10.3945/jn.113.183079&quot;,&quot;ISSN&quot;:&quot;1541-6100&quot;,&quot;PMID&quot;:&quot;24453128&quot;,&quot;issued&quot;:{&quot;date-parts&quot;:[[2014,3]]},&quot;page&quot;:&quot;399-407&quot;,&quot;abstract&quot;:&quot;The Healthy Eating Index (HEI), a measure of diet quality, was updated to reflect the 2010 Dietary Guidelines for Americans and the accompanying USDA Food Patterns. To assess the validity and reliability of the HEI-2010, exemplary menus were scored and 2 24-h dietary recalls from individuals aged ≥2 y from the 2003-2004 NHANES were used to estimate multivariate usual intake distributions and assess whether the HEI-2010 1) has a distribution wide enough to detect meaningful differences in diet quality among individuals, 2) distinguishes between groups with known differences in diet quality by using t tests, 3) measures diet quality independently of energy intake by using Pearson correlation coefficients, 4) has &gt;1 underlying dimension by using principal components analysis (PCA), and 5) is internally consistent by calculating Cronbach's coefficient α. HEI-2010 scores were at or near the maximum levels for the exemplary menus. The distribution of scores among the population was wide (5th percentile = 31.7; 95th percentile = 70.4). As predicted, men's diet quality (mean HEI-2010 total score = 49.8) was poorer than women's (52.7), younger adults' diet quality (45.4) was poorer than older adults' (56.1), and smokers' diet quality (45.7) was poorer than nonsmokers' (53.3) (P &lt; 0.01). Low correlations with energy were observed for HEI-2010 total and component scores (|r| ≤ 0.21). Cronbach's coefficient α was 0.68, supporting the reliability of the HEI-2010 total score as an indicator of overall diet quality. Nonetheless, PCA indicated multiple underlying dimensions, highlighting the fact that the component scores are equally as important as the total. A comparable reevaluation of the HEI-2005 yielded similar results. This study supports the validity and the reliability of both versions of the HEI.&quot;,&quot;issue&quot;:&quot;3&quot;,&quot;volume&quot;:&quot;144&quot;},&quot;isTemporary&quot;:false,&quot;suppress-author&quot;:false,&quot;composite&quot;:false,&quot;author-only&quot;:false}]},{&quot;citationID&quot;:&quot;MENDELEY_CITATION_dd01faac-180d-43fc-9e89-aa7bf6cb8707&quot;,&quot;properties&quot;:{&quot;noteIndex&quot;:0},&quot;isEdited&quot;:false,&quot;manualOverride&quot;:{&quot;isManuallyOverridden&quot;:false,&quot;citeprocText&quot;:&quot;[15]&quot;,&quot;manualOverrideText&quot;:&quot;&quot;},&quot;citationTag&quot;:&quot;MENDELEY_CITATION_v3_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&quot;,&quot;citationItems&quot;:[{&quot;id&quot;:&quot;91783481-ae12-3281-9a5e-90a596e57029&quot;,&quot;itemData&quot;:{&quot;type&quot;:&quot;article-journal&quot;,&quot;id&quot;:&quot;91783481-ae12-3281-9a5e-90a596e57029&quot;,&quot;title&quot;:&quot;Evaluation of the reliability and validity of the Brazilian Healthy Eating Index Revised.&quot;,&quot;author&quot;:[{&quot;family&quot;:&quot;Andrade&quot;,&quot;given&quot;:&quot;Samantha Caesar&quot;,&quot;parse-names&quot;:false,&quot;dropping-particle&quot;:&quot;de&quot;,&quot;non-dropping-particle&quot;:&quot;&quot;},{&quot;family&quot;:&quot;Previdelli&quot;,&quot;given&quot;:&quot;Ágatha Nogueira&quot;,&quot;parse-names&quot;:false,&quot;dropping-particle&quot;:&quot;&quot;,&quot;non-dropping-particle&quot;:&quot;&quot;},{&quot;family&quot;:&quot;Marchioni&quot;,&quot;given&quot;:&quot;Dirce Maria Lobo&quot;,&quot;parse-names&quot;:false,&quot;dropping-particle&quot;:&quot;&quot;,&quot;non-dropping-particle&quot;:&quot;&quot;},{&quot;family&quot;:&quot;Fisberg&quot;,&quot;given&quot;:&quot;Regina Mara&quot;,&quot;parse-names&quot;:false,&quot;dropping-particle&quot;:&quot;&quot;,&quot;non-dropping-particle&quot;:&quot;&quot;}],&quot;container-title&quot;:&quot;Revista de saude publica&quot;,&quot;container-title-short&quot;:&quot;Rev Saude Publica&quot;,&quot;DOI&quot;:&quot;10.1590/S0034-8910.2013047004267&quot;,&quot;ISSN&quot;:&quot;1518-8787&quot;,&quot;PMID&quot;:&quot;24346677&quot;,&quot;issued&quot;:{&quot;date-parts&quot;:[[2013,8]]},&quot;page&quot;:&quot;675-83&quot;,&quot;abstract&quot;:&quot;OBJECTIVE Evaluate validity and reliability of the Brazilian Healthy Eating Index Revised according to the psychometric properties. METHODS Cross-sectional study of a random sample of 2,375 individuals of both sexes, aged 12 or older from the city of São Paulo, Southeastern Brazil, drawn from the Health Survey carried out in 2003. Information on the population characteristics was acquired using a questionnaire. Food intake was obtained using 24h Recall, used to calculate the Brazilian Healthy Eating Index Revised (BHEI-R). The following aspects were evaluated: (1) content validity, by comparing the components with the Dietary Guidelines for the Brazilian Population; (2) construct validity, factor analysis using principal components method and verifying whether the index can measure diet quality regardless of energy intake; (3) discriminating validity; and (4) the reliability of the BHEI-R by analyzing the internal consistency of the items using Cronbach's alpha coefficient. RESULTS The correlations between the component scores and energy intake were weak (r &lt; 0.30). Principal component analysis indicated the presence of four factors with eigenvalues &gt; 1 that represented 67% of the index variance. The discriminating validity of the BHEI-R was observed by comparing the individuals by sex and smoking habit, and identifying statistically significant differences between the means of the components of the BHEI-R and the final score. The Cronbach's alpha value (α = 0.7) indicated the presence of internal consistency between the components of the BHEI-R. The SoFAAS component followed by the total fruit component and whole fruit component presented greater correlation with the final index scores. CONCLUSIONS The Brazilian Healthy Eating Index Revised showed itself to be reliable and structurally valid when used to evaluate and monitor the diet quality of Brazilians.&quot;,&quot;issue&quot;:&quot;4&quot;,&quot;volume&quot;:&quot;47&quot;},&quot;isTemporary&quot;:false}]},{&quot;citationID&quot;:&quot;MENDELEY_CITATION_daa11fb4-0db1-4b63-88fe-1d6dad9b6503&quot;,&quot;properties&quot;:{&quot;noteIndex&quot;:0},&quot;isEdited&quot;:false,&quot;manualOverride&quot;:{&quot;isManuallyOverridden&quot;:false,&quot;citeprocText&quot;:&quot;[16]&quot;,&quot;manualOverrideText&quot;:&quot;&quot;},&quot;citationTag&quot;:&quot;MENDELEY_CITATION_v3_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&quot;,&quot;citationItems&quot;:[{&quot;id&quot;:&quot;fc1cf95a-f7a3-3de3-91a4-05c6fcb6429a&quot;,&quot;itemData&quot;:{&quot;type&quot;:&quot;article-journal&quot;,&quot;id&quot;:&quot;fc1cf95a-f7a3-3de3-91a4-05c6fcb6429a&quot;,&quot;title&quot;:&quot;The New Standardized Malaysian Healthy Eating Index&quot;,&quot;author&quot;:[{&quot;family&quot;:&quot;Jailani&quot;,&quot;given&quot;:&quot;Marhamah&quot;,&quot;parse-names&quot;:false,&quot;dropping-particle&quot;:&quot;&quot;,&quot;non-dropping-particle&quot;:&quot;&quot;},{&quot;family&quot;:&quot;Elias&quot;,&quot;given&quot;:&quot;Siti Masitah&quot;,&quot;parse-names&quot;:false,&quot;dropping-particle&quot;:&quot;&quot;,&quot;non-dropping-particle&quot;:&quot;&quot;},{&quot;family&quot;:&quot;Rajikan&quot;,&quot;given&quot;:&quot;Roslee&quot;,&quot;parse-names&quot;:false,&quot;dropping-particle&quot;:&quot;&quot;,&quot;non-dropping-particle&quot;:&quot;&quot;}],&quot;container-title&quot;:&quot;Nutrients&quot;,&quot;container-title-short&quot;:&quot;Nutrients&quot;,&quot;DOI&quot;:&quot;10.3390/nu13103474&quot;,&quot;ISSN&quot;:&quot;2072-6643&quot;,&quot;issued&quot;:{&quot;date-parts&quot;:[[2021,9,30]]},&quot;page&quot;:&quot;3474&quot;,&quot;abstract&quot;:&quot;&lt;p&gt;Healthy Eating Index (HEI) is a diet quality measure that assesses the population’s compliance towards dietary guidelines. In Malaysia, diet quality measure, though existing, has some limitations in terms of application and relevance. This study aims to develop a new standardized Malaysian Healthy Eating Index (S-MHEI) that can measure the diet quality of all Malaysians regardless of their energy requirement level. The Malaysian Dietary Guidelines (MDG) 2010 and MDG for Children and Adolescents (MDGCA) 2013 were used as main references in developing the index components. In addition, the latest Malaysian Adults Nutrition Survey (MANS) and Adolescent Nutrition Survey (ANS) were also referred to ensure the relevance of the components selected. For adequacy components, the least restrictive method was used in setting the standard for the scoring system. Meanwhile, the scoring system for moderation components was built based on the Recommended Nutrient Intake (RNI) 2017. The new S-MHEI comprises of 11 components with a maximum total score of 100. The least restrictive method allowed the index to be used across energy requirement levels. However, the index will not be sensitive towards adhering to the specific recommended amount of intake—which in effect, made the index focus on measuring diet quality rather than diet quantity.&lt;/p&gt;&quot;,&quot;issue&quot;:&quot;10&quot;,&quot;volume&quot;:&quot;13&quot;},&quot;isTemporary&quot;:false}]},{&quot;citationID&quot;:&quot;MENDELEY_CITATION_6b483aad-e20c-4aa1-aa4f-110057c63cb8&quot;,&quot;properties&quot;:{&quot;noteIndex&quot;:0},&quot;isEdited&quot;:false,&quot;manualOverride&quot;:{&quot;isManuallyOverridden&quot;:false,&quot;citeprocText&quot;:&quot;[17]&quot;,&quot;manualOverrideText&quot;:&quot;&quot;},&quot;citationTag&quot;:&quot;MENDELEY_CITATION_v3_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&quot;,&quot;citationItems&quot;:[{&quot;id&quot;:&quot;7a975c93-31fd-3214-a7e8-29ed9d942ffc&quot;,&quot;itemData&quot;:{&quot;type&quot;:&quot;article-journal&quot;,&quot;id&quot;:&quot;7a975c93-31fd-3214-a7e8-29ed9d942ffc&quot;,&quot;title&quot;:&quot;The development of a chinese healthy eating index and its application in the general population&quot;,&quot;author&quot;:[{&quot;family&quot;:&quot;Yuan&quot;,&quot;given&quot;:&quot;Ya Qun&quot;,&quot;parse-names&quot;:false,&quot;dropping-particle&quot;:&quot;&quot;,&quot;non-dropping-particle&quot;:&quot;&quot;},{&quot;family&quot;:&quot;Li&quot;,&quot;given&quot;:&quot;Fan&quot;,&quot;parse-names&quot;:false,&quot;dropping-particle&quot;:&quot;&quot;,&quot;non-dropping-particle&quot;:&quot;&quot;},{&quot;family&quot;:&quot;Dong&quot;,&quot;given&quot;:&quot;Rui Hua&quot;,&quot;parse-names&quot;:false,&quot;dropping-particle&quot;:&quot;&quot;,&quot;non-dropping-particle&quot;:&quot;&quot;},{&quot;family&quot;:&quot;Chen&quot;,&quot;given&quot;:&quot;Jing Si&quot;,&quot;parse-names&quot;:false,&quot;dropping-particle&quot;:&quot;&quot;,&quot;non-dropping-particle&quot;:&quot;&quot;},{&quot;family&quot;:&quot;He&quot;,&quot;given&quot;:&quot;Geng Sheng&quot;,&quot;parse-names&quot;:false,&quot;dropping-particle&quot;:&quot;&quot;,&quot;non-dropping-particle&quot;:&quot;&quot;},{&quot;family&quot;:&quot;Li&quot;,&quot;given&quot;:&quot;Shu Guang&quot;,&quot;parse-names&quot;:false,&quot;dropping-particle&quot;:&quot;&quot;,&quot;non-dropping-particle&quot;:&quot;&quot;},{&quot;family&quot;:&quot;Chen&quot;,&quot;given&quot;:&quot;Bo&quot;,&quot;parse-names&quot;:false,&quot;dropping-particle&quot;:&quot;&quot;,&quot;non-dropping-particle&quot;:&quot;&quot;}],&quot;container-title&quot;:&quot;Nutrients&quot;,&quot;container-title-short&quot;:&quot;Nutrients&quot;,&quot;DOI&quot;:&quot;10.3390/nu9090977&quot;,&quot;ISSN&quot;:&quot;20726643&quot;,&quot;PMID&quot;:&quot;28872591&quot;,&quot;issued&quot;:{&quot;date-parts&quot;:[[2017,9,1]]},&quot;page&quot;:&quot;1-18&quot;,&quot;abstract&quot;:&quot;The objective of this study was to develop a Chinese Healthy Eating Index (CHEI) based on the updated Dietary Guidelines for Chinese (DGC-2016) and to apply it in the 2011 China Health and Nutrition Survey (CHNS-2011) to assess diet quality and its association with typical sociodemographic/economic factors. Data from 14, 584 participants (≥2 years) from the CHNS-2011, including three 24-h dietary recalls and additional variables, were used to develop the CHEI. The standard portion size was applied to quantify food consumption. The CHEI was designed as a continuous scoring system, comprising 17 components; the maximum total score is 100. The mean, 1st and 99th percentiles of the CHEI score were 52.4, 27.6 and 78.3, respectively. Young and middle-aged adults scored better than the elderly. Diet insufficiency was chiefly manifested in fruits, dairy, whole grains and poultry; diet excess was mainly reflected in red meat, cooking oils and sodium. The CHEI was positively associated with education and urbanization levels; current smokers and unmarried people obtained relative low CHEI scores. Occupation and body mass index (BMI) were also related to the CHEI. Our findings indicate that the CHEI is capable of recognizing differences in diet quality among the Chinese, and it is sensitive to typical sociodemographic/economic factors.&quot;,&quot;publisher&quot;:&quot;MDPI AG&quot;,&quot;issue&quot;:&quot;9&quot;,&quot;volume&quot;:&quot;9&quot;},&quot;isTemporary&quot;:false}]},{&quot;citationID&quot;:&quot;MENDELEY_CITATION_b7c7733d-07e2-42d7-bef5-34bfdb20c702&quot;,&quot;properties&quot;:{&quot;noteIndex&quot;:0},&quot;isEdited&quot;:false,&quot;manualOverride&quot;:{&quot;isManuallyOverridden&quot;:false,&quot;citeprocText&quot;:&quot;[12]&quot;,&quot;manualOverrideText&quot;:&quot;&quot;},&quot;citationTag&quot;:&quot;MENDELEY_CITATION_v3_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&quot;,&quot;citationItems&quot;:[{&quot;id&quot;:&quot;56b55f8f-4319-3346-8ec9-8c98646e7332&quot;,&quot;itemData&quot;:{&quot;type&quot;:&quot;article-journal&quot;,&quot;id&quot;:&quot;56b55f8f-4319-3346-8ec9-8c98646e7332&quot;,&quot;title&quot;:&quot;Development of the Healthy Eating Index-2005&quot;,&quot;author&quot;:[{&quot;family&quot;:&quot;Guenther&quot;,&quot;given&quot;:&quot;Patricia M.&quot;,&quot;parse-names&quot;:false,&quot;dropping-particle&quot;:&quot;&quot;,&quot;non-dropping-particle&quot;:&quot;&quot;},{&quot;family&quot;:&quot;Reedy&quot;,&quot;given&quot;:&quot;Jill&quot;,&quot;parse-names&quot;:false,&quot;dropping-particle&quot;:&quot;&quot;,&quot;non-dropping-particle&quot;:&quot;&quot;},{&quot;family&quot;:&quot;Krebs-Smith&quot;,&quot;given&quot;:&quot;Susan M.&quot;,&quot;parse-names&quot;:false,&quot;dropping-particle&quot;:&quot;&quot;,&quot;non-dropping-particle&quot;:&quot;&quot;}],&quot;container-title&quot;:&quot;Journal of the American Dietetic Association&quot;,&quot;container-title-short&quot;:&quot;J Am Diet Assoc&quot;,&quot;DOI&quot;:&quot;10.1016/j.jada.2008.08.016&quot;,&quot;ISSN&quot;:&quot;00028223&quot;,&quot;PMID&quot;:&quot;18954580&quot;,&quot;issued&quot;:{&quot;date-parts&quot;:[[2008,11]]},&quot;page&quot;:&quot;1896-1901&quot;,&quot;abstract&quot;:&quot;The Healthy Eating Index (HEI) is a measure of diet quality as specified by Federal dietary guidance, and publication of the Dietary Guidelines for Americans 2005 necessitated its revision. An interagency working group based the HEI-2005 on the food patterns found in MyPyramid. Diets that meet the least restrictive of the food-group recommendations, expressed on a per 1,000 calorie basis, receive maximum scores for the nine adequacy components of the index: total fruit (5 points), whole fruit (5 points), total vegetables (5 points), dark green and orange vegetables and legumes (5 points), total grains (5 points), whole grains (5 points), milk (10 points), meat and beans (10 points), and oils (10 points). Lesser amounts are prorated linearly. Population probability densities were examined when setting the standards for minimum and maximum scores for the three moderation components: saturated fat (10 points), sodium (10 points), and calories from solid fats, alcoholic beverages (ie, beer, wine, and distilled spirits), and added sugars (20 points). Calories from solid fats, alcoholic beverages, and added sugars is a proxy for the discretionary calorie allowance. The 2005 Dietary Guideline for saturated fat and the Adequate Intake and Tolerable Upper Intake Level for sodium, expressed per 1,000 calories, were used when setting the standards for those components. Intakes between the maximum and minimum standards are prorated. The HEI-2005 is a measure of diet quality as described by the key diet-related recommendations of the 2005 Dietary Guidelines. It has a variety of potential uses, including monitoring the diet quality of the US population and subpopulations, evaluation of interventions, and research.&quot;,&quot;issue&quot;:&quot;11&quot;,&quot;volume&quot;:&quot;108&quot;},&quot;isTemporary&quot;:false}]},{&quot;citationID&quot;:&quot;MENDELEY_CITATION_93d0c022-435c-4641-a622-bc159ec5ff45&quot;,&quot;properties&quot;:{&quot;noteIndex&quot;:0},&quot;isEdited&quot;:false,&quot;manualOverride&quot;:{&quot;isManuallyOverridden&quot;:false,&quot;citeprocText&quot;:&quot;[18, 19]&quot;,&quot;manualOverrideText&quot;:&quot;&quot;},&quot;citationTag&quot;:&quot;MENDELEY_CITATION_v3_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&quot;,&quot;citationItems&quot;:[{&quot;id&quot;:&quot;add381bf-3a20-3891-a143-e3af96ff0f01&quot;,&quot;itemData&quot;:{&quot;type&quot;:&quot;webpage&quot;,&quot;id&quot;:&quot;add381bf-3a20-3891-a143-e3af96ff0f01&quot;,&quot;title&quot;:&quot;Dietary Guidelines for Saudis: The Healthy Food Palm&quot;,&quot;author&quot;:[{&quot;family&quot;:&quot;General Directorate of Nutrition in Saudi Ministry of Health&quot;,&quot;given&quot;:&quot;&quot;,&quot;parse-names&quot;:false,&quot;dropping-particle&quot;:&quot;&quot;,&quot;non-dropping-particle&quot;:&quot;&quot;}],&quot;container-title&quot;:&quot;Saudi Ministry of Health&quot;,&quot;accessed&quot;:{&quot;date-parts&quot;:[[2024,5,11]]},&quot;URL&quot;:&quot;https://www.moh.gov.sa/en/HealthAwareness/Pages/SaudihealthFoodGuide.aspx&quot;,&quot;issued&quot;:{&quot;date-parts&quot;:[[2012,8,10]]},&quot;publisher-place&quot;:&quot;Riyadh&quot;,&quot;container-title-short&quot;:&quot;&quot;},&quot;isTemporary&quot;:false},{&quot;id&quot;:&quot;0b8c3c58-cc5d-3aef-84e3-8e0489040b38&quot;,&quot;itemData&quot;:{&quot;type&quot;:&quot;article-journal&quot;,&quot;id&quot;:&quot;0b8c3c58-cc5d-3aef-84e3-8e0489040b38&quot;,&quot;title&quot;:&quot;Saudi Population's Adherence to the Healthy Food Palm: A Cross‐sectional Study&quot;,&quot;author&quot;:[{&quot;family&quot;:&quot;Halawani&quot;,&quot;given&quot;:&quot;Reham&quot;,&quot;parse-names&quot;:false,&quot;dropping-particle&quot;:&quot;&quot;,&quot;non-dropping-particle&quot;:&quot;&quot;},{&quot;family&quot;:&quot;Jaceldo‐Siegl&quot;,&quot;given&quot;:&quot;Karen&quot;,&quot;parse-names&quot;:false,&quot;dropping-particle&quot;:&quot;&quot;,&quot;non-dropping-particle&quot;:&quot;&quot;},{&quot;family&quot;:&quot;Heskey&quot;,&quot;given&quot;:&quot;Celine&quot;,&quot;parse-names&quot;:false,&quot;dropping-particle&quot;:&quot;&quot;,&quot;non-dropping-particle&quot;:&quot;&quot;},{&quot;family&quot;:&quot;Bahjri&quot;,&quot;given&quot;:&quot;Khaled&quot;,&quot;parse-names&quot;:false,&quot;dropping-particle&quot;:&quot;&quot;,&quot;non-dropping-particle&quot;:&quot;&quot;}],&quot;container-title&quot;:&quot;The FASEB Journal&quot;,&quot;DOI&quot;:&quot;10.1096/fasebj.2019.33.1_supplement.755.4&quot;,&quot;ISSN&quot;:&quot;0892-6638&quot;,&quot;issued&quot;:{&quot;date-parts&quot;:[[2019,4]]},&quot;issue&quot;:&quot;S1&quot;,&quot;volume&quot;:&quot;33&quot;,&quot;container-title-short&quot;:&quot;&quot;},&quot;isTemporary&quot;:false}]},{&quot;citationID&quot;:&quot;MENDELEY_CITATION_837c080a-def6-4a6e-930f-52cc3efe57c4&quot;,&quot;properties&quot;:{&quot;noteIndex&quot;:0},&quot;isEdited&quot;:false,&quot;manualOverride&quot;:{&quot;isManuallyOverridden&quot;:false,&quot;citeprocText&quot;:&quot;[19]&quot;,&quot;manualOverrideText&quot;:&quot;&quot;},&quot;citationTag&quot;:&quot;MENDELEY_CITATION_v3_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&quot;,&quot;citationItems&quot;:[{&quot;id&quot;:&quot;0b8c3c58-cc5d-3aef-84e3-8e0489040b38&quot;,&quot;itemData&quot;:{&quot;type&quot;:&quot;article-journal&quot;,&quot;id&quot;:&quot;0b8c3c58-cc5d-3aef-84e3-8e0489040b38&quot;,&quot;title&quot;:&quot;Saudi Population's Adherence to the Healthy Food Palm: A Cross‐sectional Study&quot;,&quot;author&quot;:[{&quot;family&quot;:&quot;Halawani&quot;,&quot;given&quot;:&quot;Reham&quot;,&quot;parse-names&quot;:false,&quot;dropping-particle&quot;:&quot;&quot;,&quot;non-dropping-particle&quot;:&quot;&quot;},{&quot;family&quot;:&quot;Jaceldo‐Siegl&quot;,&quot;given&quot;:&quot;Karen&quot;,&quot;parse-names&quot;:false,&quot;dropping-particle&quot;:&quot;&quot;,&quot;non-dropping-particle&quot;:&quot;&quot;},{&quot;family&quot;:&quot;Heskey&quot;,&quot;given&quot;:&quot;Celine&quot;,&quot;parse-names&quot;:false,&quot;dropping-particle&quot;:&quot;&quot;,&quot;non-dropping-particle&quot;:&quot;&quot;},{&quot;family&quot;:&quot;Bahjri&quot;,&quot;given&quot;:&quot;Khaled&quot;,&quot;parse-names&quot;:false,&quot;dropping-particle&quot;:&quot;&quot;,&quot;non-dropping-particle&quot;:&quot;&quot;}],&quot;container-title&quot;:&quot;The FASEB Journal&quot;,&quot;DOI&quot;:&quot;10.1096/fasebj.2019.33.1_supplement.755.4&quot;,&quot;ISSN&quot;:&quot;0892-6638&quot;,&quot;issued&quot;:{&quot;date-parts&quot;:[[2019,4]]},&quot;issue&quot;:&quot;S1&quot;,&quot;volume&quot;:&quot;33&quot;,&quot;container-title-short&quot;:&quot;&quot;},&quot;isTemporary&quot;:false}]},{&quot;citationID&quot;:&quot;MENDELEY_CITATION_b6ffdba7-e78d-4975-9ebc-27b6289ad051&quot;,&quot;properties&quot;:{&quot;noteIndex&quot;:0},&quot;isEdited&quot;:false,&quot;manualOverride&quot;:{&quot;isManuallyOverridden&quot;:false,&quot;citeprocText&quot;:&quot;[20]&quot;,&quot;manualOverrideText&quot;:&quot;&quot;},&quot;citationTag&quot;:&quot;MENDELEY_CITATION_v3_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&quot;,&quot;citationItems&quot;:[{&quot;id&quot;:&quot;fd718507-7d3b-3983-af56-1f3804a96e50&quot;,&quot;itemData&quot;:{&quot;type&quot;:&quot;article-journal&quot;,&quot;id&quot;:&quot;fd718507-7d3b-3983-af56-1f3804a96e50&quot;,&quot;title&quot;:&quot;Association of diet quality with serum high-sensitivity C-reactive protein level and the adherence to the Saudi dietary guidelines among female college students&quot;,&quot;author&quot;:[{&quot;family&quot;:&quot;Alfreeh&quot;,&quot;given&quot;:&quot;Leenah&quot;,&quot;parse-names&quot;:false,&quot;dropping-particle&quot;:&quot;&quot;,&quot;non-dropping-particle&quot;:&quot;&quot;},{&quot;family&quot;:&quot;Alomar&quot;,&quot;given&quot;:&quot;Suliman&quot;,&quot;parse-names&quot;:false,&quot;dropping-particle&quot;:&quot;&quot;,&quot;non-dropping-particle&quot;:&quot;&quot;},{&quot;family&quot;:&quot;Aljuraiban&quot;,&quot;given&quot;:&quot;Ghadeer S.&quot;,&quot;parse-names&quot;:false,&quot;dropping-particle&quot;:&quot;&quot;,&quot;non-dropping-particle&quot;:&quot;&quot;}],&quot;container-title&quot;:&quot;Journal of King Saud University - Science&quot;,&quot;container-title-short&quot;:&quot;J King Saud Univ Sci&quot;,&quot;DOI&quot;:&quot;10.1016/j.jksus.2021.101765&quot;,&quot;ISSN&quot;:&quot;10183647&quot;,&quot;issued&quot;:{&quot;date-parts&quot;:[[2022,2]]},&quot;page&quot;:&quot;101765&quot;,&quot;issue&quot;:&quot;2&quot;,&quot;volume&quot;:&quot;34&quot;},&quot;isTemporary&quot;:false}]},{&quot;citationID&quot;:&quot;MENDELEY_CITATION_a3025928-182f-435d-aef5-f17c94ff01e8&quot;,&quot;properties&quot;:{&quot;noteIndex&quot;:0},&quot;isEdited&quot;:false,&quot;manualOverride&quot;:{&quot;isManuallyOverridden&quot;:false,&quot;citeprocText&quot;:&quot;[21]&quot;,&quot;manualOverrideText&quot;:&quot;&quot;},&quot;citationTag&quot;:&quot;MENDELEY_CITATION_v3_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&quot;,&quot;citationItems&quot;:[{&quot;id&quot;:&quot;a8729283-e455-3227-87d7-ede9512bdbfd&quot;,&quot;itemData&quot;:{&quot;type&quot;:&quot;article-journal&quot;,&quot;id&quot;:&quot;a8729283-e455-3227-87d7-ede9512bdbfd&quot;,&quot;title&quot;:&quot;Dietary adherence of saudi males to the Saudi dietary guidelines and its relation to cardiovascular diseases: A preliminary cross-sectional study&quot;,&quot;author&quot;:[{&quot;family&quot;:&quot;Alkhaldy&quot;,&quot;given&quot;:&quot;Areej Ali&quot;,&quot;parse-names&quot;:false,&quot;dropping-particle&quot;:&quot;&quot;,&quot;non-dropping-particle&quot;:&quot;&quot;},{&quot;family&quot;:&quot;Alamri&quot;,&quot;given&quot;:&quot;Reem Saleh&quot;,&quot;parse-names&quot;:false,&quot;dropping-particle&quot;:&quot;&quot;,&quot;non-dropping-particle&quot;:&quot;&quot;},{&quot;family&quot;:&quot;Magadmi&quot;,&quot;given&quot;:&quot;Rozana Khalid&quot;,&quot;parse-names&quot;:false,&quot;dropping-particle&quot;:&quot;&quot;,&quot;non-dropping-particle&quot;:&quot;&quot;},{&quot;family&quot;:&quot;Elshini&quot;,&quot;given&quot;:&quot;Nrvana Yasser&quot;,&quot;parse-names&quot;:false,&quot;dropping-particle&quot;:&quot;&quot;,&quot;non-dropping-particle&quot;:&quot;&quot;},{&quot;family&quot;:&quot;Hussein&quot;,&quot;given&quot;:&quot;Rania Abd El Hamid&quot;,&quot;parse-names&quot;:false,&quot;dropping-particle&quot;:&quot;&quot;,&quot;non-dropping-particle&quot;:&quot;&quot;},{&quot;family&quot;:&quot;Alghalayini&quot;,&quot;given&quot;:&quot;Kamal Waheeb&quot;,&quot;parse-names&quot;:false,&quot;dropping-particle&quot;:&quot;&quot;,&quot;non-dropping-particle&quot;:&quot;&quot;}],&quot;container-title&quot;:&quot;Journal of Cardiovascular Development and Disease&quot;,&quot;container-title-short&quot;:&quot;J Cardiovasc Dev Dis&quot;,&quot;DOI&quot;:&quot;10.3390/jcdd6020017&quot;,&quot;ISSN&quot;:&quot;23083425&quot;,&quot;issued&quot;:{&quot;date-parts&quot;:[[2019,6,1]]},&quot;abstract&quot;:&quot;Cardiovascular disease (CVD) is a major public health problem in Saudi Arabia. Dietary intake plays a major role in CVD incidence; however, the dietary intake status in Saudi nationals with CVD is unknown. We aimed to investigate whether the dietary patterns of Saudi males, using the Saudi dietary guidelines adherence score, in parallel with the measurement of a selective number of cardiovascular disease-related biomarkers, are contributing factors to CVD risk. Demographics, dietary adherence score, and blood biomarker levels were collected for 40 CVD patients and forty non-CVD patients. Fasting blood glucose (p = 0.006) and high-density lipoprotein levels (p = 0.03) were significantly higher in CVD patients. The adherence score to the Saudi dietary guidelines was not significantly different between the CVD and non-CVD patients; however, the specific adherence scores of fruit (p = 0.02), olive oil (p = 0.01), and non-alcoholic beer (p = 0.02) were significantly higher in the non-CVD patients. The differences in CVD family history (p = 0.02) and adherence scores to specific groups/foods between the CVD and non-CVD patients may contribute to CVD risk in Saudi males. However, as the sample size of this study was small, further research is required to validate these findings.&quot;,&quot;publisher&quot;:&quot;MDPI&quot;,&quot;issue&quot;:&quot;2&quot;,&quot;volume&quot;:&quot;6&quot;},&quot;isTemporary&quot;:false}]},{&quot;citationID&quot;:&quot;MENDELEY_CITATION_2052931e-b5e3-44f2-bbcd-178d9aaf1870&quot;,&quot;properties&quot;:{&quot;noteIndex&quot;:0},&quot;isEdited&quot;:false,&quot;manualOverride&quot;:{&quot;isManuallyOverridden&quot;:false,&quot;citeprocText&quot;:&quot;[22]&quot;,&quot;manualOverrideText&quot;:&quot;&quot;},&quot;citationTag&quot;:&quot;MENDELEY_CITATION_v3_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&quot;,&quot;citationItems&quot;:[{&quot;id&quot;:&quot;f13ca104-b19a-3908-aa41-225e22ccc8f3&quot;,&quot;itemData&quot;:{&quot;type&quot;:&quot;article-journal&quot;,&quot;id&quot;:&quot;f13ca104-b19a-3908-aa41-225e22ccc8f3&quot;,&quot;title&quot;:&quot;Adherence to the Saudi dietary guidelines and its relation to colorectal polyps: A university hospital-based study&quot;,&quot;author&quot;:[{&quot;family&quot;:&quot;Alkhaldy&quot;,&quot;given&quot;:&quot;Areej A.&quot;,&quot;parse-names&quot;:false,&quot;dropping-particle&quot;:&quot;&quot;,&quot;non-dropping-particle&quot;:&quot;&quot;},{&quot;family&quot;:&quot;Aljahdli&quot;,&quot;given&quot;:&quot;Emad S.&quot;,&quot;parse-names&quot;:false,&quot;dropping-particle&quot;:&quot;&quot;,&quot;non-dropping-particle&quot;:&quot;&quot;},{&quot;family&quot;:&quot;Mosli&quot;,&quot;given&quot;:&quot;Mahmoud H.&quot;,&quot;parse-names&quot;:false,&quot;dropping-particle&quot;:&quot;&quot;,&quot;non-dropping-particle&quot;:&quot;&quot;},{&quot;family&quot;:&quot;Jawa&quot;,&quot;given&quot;:&quot;Hani A.&quot;,&quot;parse-names&quot;:false,&quot;dropping-particle&quot;:&quot;&quot;,&quot;non-dropping-particle&quot;:&quot;&quot;},{&quot;family&quot;:&quot;Alsahafi&quot;,&quot;given&quot;:&quot;Majid A.&quot;,&quot;parse-names&quot;:false,&quot;dropping-particle&quot;:&quot;&quot;,&quot;non-dropping-particle&quot;:&quot;&quot;},{&quot;family&quot;:&quot;Qari&quot;,&quot;given&quot;:&quot;Yousif A.&quot;,&quot;parse-names&quot;:false,&quot;dropping-particle&quot;:&quot;&quot;,&quot;non-dropping-particle&quot;:&quot;&quot;}],&quot;container-title&quot;:&quot;Journal of Taibah University Medical Sciences&quot;,&quot;container-title-short&quot;:&quot;J Taibah Univ Med Sci&quot;,&quot;DOI&quot;:&quot;10.1016/j.jtumed.2019.11.001&quot;,&quot;ISSN&quot;:&quot;16583612&quot;,&quot;issued&quot;:{&quot;date-parts&quot;:[[2020,2,1]]},&quot;page&quot;:&quot;25-31&quot;,&quot;abstract&quot;:&quot;Objectives: Colorectal polyps are a known precursor to colorectal cancer (CRC). Using the Saudi dietary guidelines adherence scores, this study evaluated whether dietary intake can lead to the development of colorectal polyps in a Saudi cohort. Methods: In a cross-sectional study, 101 patients of both sexes, aged 30–86 years (40 patients with colorectal polyps and 61 patients without polyps), were recruited from the endoscopy unit in a Saudi hospital. A questionnaire was administered to collect demographic data, anthropometric data, and information about dietary habits. Results: Patients with colorectal polyps were significantly older than those without polyps (p = 0.05). The mean body mass index in both patient groups was within the overweight range, with a value of 28.6 ± 6.7 kg/m2. We did not find significant differences between patients with and without colorectal polyps. Although there was no difference in the overall scores for adherence to the Saudi dietary guidelines between the two groups, the specific adherence score for vegetables was significantly higher in patients without colorectal polyps (5.0 ± 0.0 vs. 4.9 ± 0.3, p = 0.03). Conclusion: Ageing and lower vegetable intake, previously reported to be risk factors for CRC, were likewise identified in this study. However, a multi-centre study with a larger sample size, utilising data from this study, is needed.&quot;,&quot;publisher&quot;:&quot;Elsevier B.V.&quot;,&quot;issue&quot;:&quot;1&quot;,&quot;volume&quot;:&quot;15&quot;},&quot;isTemporary&quot;:false}]},{&quot;citationID&quot;:&quot;MENDELEY_CITATION_b1a3a521-71b3-4d5a-8798-37b918618271&quot;,&quot;properties&quot;:{&quot;noteIndex&quot;:0},&quot;isEdited&quot;:false,&quot;manualOverride&quot;:{&quot;isManuallyOverridden&quot;:false,&quot;citeprocText&quot;:&quot;[23]&quot;,&quot;manualOverrideText&quot;:&quot;&quot;},&quot;citationTag&quot;:&quot;MENDELEY_CITATION_v3_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&quot;,&quot;citationItems&quot;:[{&quot;id&quot;:&quot;240d4f28-9c59-3ad7-a10d-f0050e75cbeb&quot;,&quot;itemData&quot;:{&quot;type&quot;:&quot;webpage&quot;,&quot;id&quot;:&quot;240d4f28-9c59-3ad7-a10d-f0050e75cbeb&quot;,&quot;title&quot;:&quot;Saudi Healthy Plate Guide&quot;,&quot;author&quot;:[{&quot;family&quot;:&quot;Saudi Food and Drug Authority&quot;,&quot;given&quot;:&quot;&quot;,&quot;parse-names&quot;:false,&quot;dropping-particle&quot;:&quot;&quot;,&quot;non-dropping-particle&quot;:&quot;&quot;}],&quot;container-title&quot;:&quot;National Nutrition Committee&quot;,&quot;accessed&quot;:{&quot;date-parts&quot;:[[2024,5,11]]},&quot;URL&quot;:&quot;https://sfda.gov.sa/en/node/86211&quot;,&quot;issued&quot;:{&quot;date-parts&quot;:[[2020]]},&quot;publisher-place&quot;:&quot;Riyadh&quot;,&quot;container-title-short&quot;:&quot;&quot;},&quot;isTemporary&quot;:false}]},{&quot;citationID&quot;:&quot;MENDELEY_CITATION_452b8d8c-24d3-48b5-9fa9-dc6ff1258a47&quot;,&quot;properties&quot;:{&quot;noteIndex&quot;:0},&quot;isEdited&quot;:false,&quot;manualOverride&quot;:{&quot;isManuallyOverridden&quot;:false,&quot;citeprocText&quot;:&quot;[24]&quot;,&quot;manualOverrideText&quot;:&quot;&quot;},&quot;citationTag&quot;:&quot;MENDELEY_CITATION_v3_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&quot;,&quot;citationItems&quot;:[{&quot;id&quot;:&quot;0e38ed24-ef98-3f6c-955a-57c2c07b9bf8&quot;,&quot;itemData&quot;:{&quot;type&quot;:&quot;webpage&quot;,&quot;id&quot;:&quot;0e38ed24-ef98-3f6c-955a-57c2c07b9bf8&quot;,&quot;title&quot;:&quot;Saudi Healthy Plate Guide, Second Version&quot;,&quot;author&quot;:[{&quot;family&quot;:&quot;Saudi Food and Drug Authority&quot;,&quot;given&quot;:&quot;&quot;,&quot;parse-names&quot;:false,&quot;dropping-particle&quot;:&quot;&quot;,&quot;non-dropping-particle&quot;:&quot;&quot;}],&quot;container-title&quot;:&quot;National Nutrition Committee&quot;,&quot;accessed&quot;:{&quot;date-parts&quot;:[[2024,5,11]]},&quot;URL&quot;:&quot;https://sfda.gov.sa/en/node/93352&quot;,&quot;issued&quot;:{&quot;date-parts&quot;:[[2024]]},&quot;publisher-place&quot;:&quot;Riyadh&quot;,&quot;container-title-short&quot;:&quot;&quot;},&quot;isTemporary&quot;:false}]},{&quot;citationID&quot;:&quot;MENDELEY_CITATION_4d1af682-6e50-47a1-9722-ad70f75b78f5&quot;,&quot;properties&quot;:{&quot;noteIndex&quot;:0},&quot;isEdited&quot;:false,&quot;manualOverride&quot;:{&quot;isManuallyOverridden&quot;:false,&quot;citeprocText&quot;:&quot;[25]&quot;,&quot;manualOverrideText&quot;:&quot;&quot;},&quot;citationTag&quot;:&quot;MENDELEY_CITATION_v3_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&quot;,&quot;citationItems&quot;:[{&quot;id&quot;:&quot;c5ce3d30-8946-392a-95f7-ccf2e19797ed&quot;,&quot;itemData&quot;:{&quot;type&quot;:&quot;article-journal&quot;,&quot;id&quot;:&quot;c5ce3d30-8946-392a-95f7-ccf2e19797ed&quot;,&quot;title&quot;:&quot;The Eatwell Guide refreshed&quot;,&quot;author&quot;:[{&quot;family&quot;:&quot;Buttriss&quot;,&quot;given&quot;:&quot;J. L.&quot;,&quot;parse-names&quot;:false,&quot;dropping-particle&quot;:&quot;&quot;,&quot;non-dropping-particle&quot;:&quot;&quot;}],&quot;container-title&quot;:&quot;Nutrition Bulletin&quot;,&quot;container-title-short&quot;:&quot;Nutr Bull&quot;,&quot;DOI&quot;:&quot;10.1111/nbu.12211&quot;,&quot;ISSN&quot;:&quot;1471-9827&quot;,&quot;issued&quot;:{&quot;date-parts&quot;:[[2016,6,10]]},&quot;page&quot;:&quot;135-141&quot;,&quot;abstract&quot;:&quot;&lt;p&gt; This article provides a brief history about UK food‐based dietary guidelines as a prelude to discussion about new the &lt;italic&gt;Eatwell Guide&lt;/italic&gt; and changes to 5 A DAY messaging launched in March 2016. Included is a summary of the main changes made and the methodology used to steer the development of the new &lt;italic&gt;Eatwell Guide&lt;/italic&gt; (linear programming). Brief reference is also made to the principal differences between the new UK guide and food‐based guidelines used in other parts of the world. &lt;/p&gt;&quot;,&quot;issue&quot;:&quot;2&quot;,&quot;volume&quot;:&quot;41&quot;},&quot;isTemporary&quot;:false}]},{&quot;citationID&quot;:&quot;MENDELEY_CITATION_e277563f-898a-46a7-922c-e8fe6c6a1e99&quot;,&quot;properties&quot;:{&quot;noteIndex&quot;:0},&quot;isEdited&quot;:false,&quot;manualOverride&quot;:{&quot;isManuallyOverridden&quot;:false,&quot;citeprocText&quot;:&quot;[23, 24]&quot;,&quot;manualOverrideText&quot;:&quot;&quot;},&quot;citationTag&quot;:&quot;MENDELEY_CITATION_v3_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&quot;,&quot;citationItems&quot;:[{&quot;id&quot;:&quot;240d4f28-9c59-3ad7-a10d-f0050e75cbeb&quot;,&quot;itemData&quot;:{&quot;type&quot;:&quot;webpage&quot;,&quot;id&quot;:&quot;240d4f28-9c59-3ad7-a10d-f0050e75cbeb&quot;,&quot;title&quot;:&quot;Saudi Healthy Plate Guide&quot;,&quot;author&quot;:[{&quot;family&quot;:&quot;Saudi Food and Drug Authority&quot;,&quot;given&quot;:&quot;&quot;,&quot;parse-names&quot;:false,&quot;dropping-particle&quot;:&quot;&quot;,&quot;non-dropping-particle&quot;:&quot;&quot;}],&quot;container-title&quot;:&quot;National Nutrition Committee&quot;,&quot;accessed&quot;:{&quot;date-parts&quot;:[[2024,5,11]]},&quot;URL&quot;:&quot;https://sfda.gov.sa/en/node/86211&quot;,&quot;issued&quot;:{&quot;date-parts&quot;:[[2020]]},&quot;publisher-place&quot;:&quot;Riyadh&quot;,&quot;container-title-short&quot;:&quot;&quot;},&quot;isTemporary&quot;:false},{&quot;id&quot;:&quot;0e38ed24-ef98-3f6c-955a-57c2c07b9bf8&quot;,&quot;itemData&quot;:{&quot;type&quot;:&quot;webpage&quot;,&quot;id&quot;:&quot;0e38ed24-ef98-3f6c-955a-57c2c07b9bf8&quot;,&quot;title&quot;:&quot;Saudi Healthy Plate Guide, Second Version&quot;,&quot;author&quot;:[{&quot;family&quot;:&quot;Saudi Food and Drug Authority&quot;,&quot;given&quot;:&quot;&quot;,&quot;parse-names&quot;:false,&quot;dropping-particle&quot;:&quot;&quot;,&quot;non-dropping-particle&quot;:&quot;&quot;}],&quot;container-title&quot;:&quot;National Nutrition Committee&quot;,&quot;accessed&quot;:{&quot;date-parts&quot;:[[2024,5,11]]},&quot;URL&quot;:&quot;https://sfda.gov.sa/en/node/93352&quot;,&quot;issued&quot;:{&quot;date-parts&quot;:[[2024]]},&quot;publisher-place&quot;:&quot;Riyadh&quot;,&quot;container-title-short&quot;:&quot;&quot;},&quot;isTemporary&quot;:false}]},{&quot;citationID&quot;:&quot;MENDELEY_CITATION_43c514f4-edc4-4002-a754-ba4e68a304ce&quot;,&quot;properties&quot;:{&quot;noteIndex&quot;:0},&quot;isEdited&quot;:false,&quot;manualOverride&quot;:{&quot;isManuallyOverridden&quot;:false,&quot;citeprocText&quot;:&quot;[26, 27]&quot;,&quot;manualOverrideText&quot;:&quot;&quot;},&quot;citationTag&quot;:&quot;MENDELEY_CITATION_v3_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&quot;,&quot;citationItems&quot;:[{&quot;id&quot;:&quot;9ca49e74-a0a1-3a4e-85ae-8ba2f8587154&quot;,&quot;itemData&quot;:{&quot;type&quot;:&quot;webpage&quot;,&quot;id&quot;:&quot;9ca49e74-a0a1-3a4e-85ae-8ba2f8587154&quot;,&quot;title&quot;:&quot;Obesity and overweight&quot;,&quot;author&quot;:[{&quot;family&quot;:&quot;World Health Organization: WHO&quot;,&quot;given&quot;:&quot;&quot;,&quot;parse-names&quot;:false,&quot;dropping-particle&quot;:&quot;&quot;,&quot;non-dropping-particle&quot;:&quot;&quot;}],&quot;accessed&quot;:{&quot;date-parts&quot;:[[2024,2,24]]},&quot;URL&quot;:&quot;https://www.who.int/news-room/fact-sheets/detail/obesity-and-overweight&quot;,&quot;issued&quot;:{&quot;date-parts&quot;:[[2021]]},&quot;container-title-short&quot;:&quot;&quot;},&quot;isTemporary&quot;:false},{&quot;id&quot;:&quot;d3604531-57dd-3b7e-90d4-c0c7aba8c343&quot;,&quot;itemData&quot;:{&quot;type&quot;:&quot;article-journal&quot;,&quot;id&quot;:&quot;d3604531-57dd-3b7e-90d4-c0c7aba8c343&quot;,&quot;title&quot;:&quot;Obesity and Associated Factors — Kingdom of Saudi Arabia, 2013&quot;,&quot;author&quot;:[{&quot;family&quot;:&quot;Memish&quot;,&quot;given&quot;:&quot;Ziad A.&quot;,&quot;parse-names&quot;:false,&quot;dropping-particle&quot;:&quot;&quot;,&quot;non-dropping-particle&quot;:&quot;&quot;},{&quot;family&quot;:&quot;Bcheraoui&quot;,&quot;given&quot;:&quot;Charbel&quot;,&quot;parse-names&quot;:false,&quot;dropping-particle&quot;:&quot;&quot;,&quot;non-dropping-particle&quot;:&quot;El&quot;},{&quot;family&quot;:&quot;Tuffaha&quot;,&quot;given&quot;:&quot;Marwa&quot;,&quot;parse-names&quot;:false,&quot;dropping-particle&quot;:&quot;&quot;,&quot;non-dropping-particle&quot;:&quot;&quot;},{&quot;family&quot;:&quot;Robinson&quot;,&quot;given&quot;:&quot;Margaret&quot;,&quot;parse-names&quot;:false,&quot;dropping-particle&quot;:&quot;&quot;,&quot;non-dropping-particle&quot;:&quot;&quot;},{&quot;family&quot;:&quot;Daoud&quot;,&quot;given&quot;:&quot;Farah&quot;,&quot;parse-names&quot;:false,&quot;dropping-particle&quot;:&quot;&quot;,&quot;non-dropping-particle&quot;:&quot;&quot;},{&quot;family&quot;:&quot;Jaber&quot;,&quot;given&quot;:&quot;Sara&quot;,&quot;parse-names&quot;:false,&quot;dropping-particle&quot;:&quot;&quot;,&quot;non-dropping-particle&quot;:&quot;&quot;},{&quot;family&quot;:&quot;Mikhitarian&quot;,&quot;given&quot;:&quot;Sarah&quot;,&quot;parse-names&quot;:false,&quot;dropping-particle&quot;:&quot;&quot;,&quot;non-dropping-particle&quot;:&quot;&quot;},{&quot;family&quot;:&quot;Saeedi&quot;,&quot;given&quot;:&quot;Mohammed&quot;,&quot;parse-names&quot;:false,&quot;dropping-particle&quot;:&quot;&quot;,&quot;non-dropping-particle&quot;:&quot;Al&quot;},{&quot;family&quot;:&quot;AlMazroa&quot;,&quot;given&quot;:&quot;Mohammad A.&quot;,&quot;parse-names&quot;:false,&quot;dropping-particle&quot;:&quot;&quot;,&quot;non-dropping-particle&quot;:&quot;&quot;},{&quot;family&quot;:&quot;Mokdad&quot;,&quot;given&quot;:&quot;Ali H.&quot;,&quot;parse-names&quot;:false,&quot;dropping-particle&quot;:&quot;&quot;,&quot;non-dropping-particle&quot;:&quot;&quot;},{&quot;family&quot;:&quot;Rabeeah&quot;,&quot;given&quot;:&quot;Abdullah A.&quot;,&quot;parse-names&quot;:false,&quot;dropping-particle&quot;:&quot;&quot;,&quot;non-dropping-particle&quot;:&quot;Al&quot;}],&quot;container-title&quot;:&quot;Preventing Chronic Disease&quot;,&quot;container-title-short&quot;:&quot;Prev Chronic Dis&quot;,&quot;DOI&quot;:&quot;10.5888/pcd11.140236&quot;,&quot;ISSN&quot;:&quot;1545-1151&quot;,&quot;issued&quot;:{&quot;date-parts&quot;:[[2014,10,9]]},&quot;page&quot;:&quot;140236&quot;,&quot;volume&quot;:&quot;11&quot;},&quot;isTemporary&quot;:false}]},{&quot;citationID&quot;:&quot;MENDELEY_CITATION_28c041f2-2cfc-4df2-92ad-3dca9068c1a7&quot;,&quot;properties&quot;:{&quot;noteIndex&quot;:0},&quot;isEdited&quot;:false,&quot;manualOverride&quot;:{&quot;isManuallyOverridden&quot;:false,&quot;citeprocText&quot;:&quot;[28]&quot;,&quot;manualOverrideText&quot;:&quot;&quot;},&quot;citationTag&quot;:&quot;MENDELEY_CITATION_v3_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&quot;,&quot;citationItems&quot;:[{&quot;id&quot;:&quot;23c4ea22-5c13-3a0a-a19d-c3926f0f1251&quot;,&quot;itemData&quot;:{&quot;type&quot;:&quot;article-journal&quot;,&quot;id&quot;:&quot;23c4ea22-5c13-3a0a-a19d-c3926f0f1251&quot;,&quot;title&quot;:&quot;Diet in Saudi Arabia: findings from a nationally representative survey&quot;,&quot;author&quot;:[{&quot;family&quot;:&quot;Moradi-Lakeh&quot;,&quot;given&quot;:&quot;Maziar&quot;,&quot;parse-names&quot;:false,&quot;dropping-particle&quot;:&quot;&quot;,&quot;non-dropping-particle&quot;:&quot;&quot;},{&quot;family&quot;:&quot;Bcheraoui&quot;,&quot;given&quot;:&quot;Charbel&quot;,&quot;parse-names&quot;:false,&quot;dropping-particle&quot;:&quot;&quot;,&quot;non-dropping-particle&quot;:&quot;El&quot;},{&quot;family&quot;:&quot;Afshin&quot;,&quot;given&quot;:&quot;Ashkan&quot;,&quot;parse-names&quot;:false,&quot;dropping-particle&quot;:&quot;&quot;,&quot;non-dropping-particle&quot;:&quot;&quot;},{&quot;family&quot;:&quot;Daoud&quot;,&quot;given&quot;:&quot;Farah&quot;,&quot;parse-names&quot;:false,&quot;dropping-particle&quot;:&quot;&quot;,&quot;non-dropping-particle&quot;:&quot;&quot;},{&quot;family&quot;:&quot;AlMazroa&quot;,&quot;given&quot;:&quot;Mohammad A&quot;,&quot;parse-names&quot;:false,&quot;dropping-particle&quot;:&quot;&quot;,&quot;non-dropping-particle&quot;:&quot;&quot;},{&quot;family&quot;:&quot;Saeedi&quot;,&quot;given&quot;:&quot;Mohammad&quot;,&quot;parse-names&quot;:false,&quot;dropping-particle&quot;:&quot;&quot;,&quot;non-dropping-particle&quot;:&quot;Al&quot;},{&quot;family&quot;:&quot;Basulaiman&quot;,&quot;given&quot;:&quot;Mohammed&quot;,&quot;parse-names&quot;:false,&quot;dropping-particle&quot;:&quot;&quot;,&quot;non-dropping-particle&quot;:&quot;&quot;},{&quot;family&quot;:&quot;Memish&quot;,&quot;given&quot;:&quot;Ziad A&quot;,&quot;parse-names&quot;:false,&quot;dropping-particle&quot;:&quot;&quot;,&quot;non-dropping-particle&quot;:&quot;&quot;},{&quot;family&quot;:&quot;Rabeeah&quot;,&quot;given&quot;:&quot;Abdullah A&quot;,&quot;parse-names&quot;:false,&quot;dropping-particle&quot;:&quot;&quot;,&quot;non-dropping-particle&quot;:&quot;Al&quot;},{&quot;family&quot;:&quot;Mokdad&quot;,&quot;given&quot;:&quot;Ali H&quot;,&quot;parse-names&quot;:false,&quot;dropping-particle&quot;:&quot;&quot;,&quot;non-dropping-particle&quot;:&quot;&quot;}],&quot;container-title&quot;:&quot;Public Health Nutrition&quot;,&quot;container-title-short&quot;:&quot;Public Health Nutr&quot;,&quot;DOI&quot;:&quot;10.1017/S1368980016003141&quot;,&quot;ISSN&quot;:&quot;1368-9800&quot;,&quot;issued&quot;:{&quot;date-parts&quot;:[[2017,4,15]]},&quot;page&quot;:&quot;1075-1081&quot;,&quot;issue&quot;:&quot;6&quot;,&quot;volume&quot;:&quot;20&quot;},&quot;isTemporary&quot;:false}]},{&quot;citationID&quot;:&quot;MENDELEY_CITATION_dbb8287d-ae2f-43e8-9773-8815841a5391&quot;,&quot;properties&quot;:{&quot;noteIndex&quot;:0},&quot;isEdited&quot;:false,&quot;manualOverride&quot;:{&quot;isManuallyOverridden&quot;:false,&quot;citeprocText&quot;:&quot;[24]&quot;,&quot;manualOverrideText&quot;:&quot;&quot;},&quot;citationTag&quot;:&quot;MENDELEY_CITATION_v3_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&quot;,&quot;citationItems&quot;:[{&quot;id&quot;:&quot;0e38ed24-ef98-3f6c-955a-57c2c07b9bf8&quot;,&quot;itemData&quot;:{&quot;type&quot;:&quot;webpage&quot;,&quot;id&quot;:&quot;0e38ed24-ef98-3f6c-955a-57c2c07b9bf8&quot;,&quot;title&quot;:&quot;Saudi Healthy Plate Guide, Second Version&quot;,&quot;author&quot;:[{&quot;family&quot;:&quot;Saudi Food and Drug Authority&quot;,&quot;given&quot;:&quot;&quot;,&quot;parse-names&quot;:false,&quot;dropping-particle&quot;:&quot;&quot;,&quot;non-dropping-particle&quot;:&quot;&quot;}],&quot;container-title&quot;:&quot;National Nutrition Committee&quot;,&quot;accessed&quot;:{&quot;date-parts&quot;:[[2024,5,11]]},&quot;URL&quot;:&quot;https://sfda.gov.sa/en/node/93352&quot;,&quot;issued&quot;:{&quot;date-parts&quot;:[[2024]]},&quot;publisher-place&quot;:&quot;Riyadh&quot;,&quot;container-title-short&quot;:&quot;&quot;},&quot;isTemporary&quot;:false}]},{&quot;citationID&quot;:&quot;MENDELEY_CITATION_8300bc27-3a3d-402f-bf85-85b50dadd458&quot;,&quot;properties&quot;:{&quot;noteIndex&quot;:0},&quot;isEdited&quot;:false,&quot;manualOverride&quot;:{&quot;isManuallyOverridden&quot;:false,&quot;citeprocText&quot;:&quot;[12]&quot;,&quot;manualOverrideText&quot;:&quot;&quot;},&quot;citationTag&quot;:&quot;MENDELEY_CITATION_v3_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&quot;,&quot;citationItems&quot;:[{&quot;id&quot;:&quot;56b55f8f-4319-3346-8ec9-8c98646e7332&quot;,&quot;itemData&quot;:{&quot;type&quot;:&quot;article-journal&quot;,&quot;id&quot;:&quot;56b55f8f-4319-3346-8ec9-8c98646e7332&quot;,&quot;title&quot;:&quot;Development of the Healthy Eating Index-2005&quot;,&quot;author&quot;:[{&quot;family&quot;:&quot;Guenther&quot;,&quot;given&quot;:&quot;Patricia M.&quot;,&quot;parse-names&quot;:false,&quot;dropping-particle&quot;:&quot;&quot;,&quot;non-dropping-particle&quot;:&quot;&quot;},{&quot;family&quot;:&quot;Reedy&quot;,&quot;given&quot;:&quot;Jill&quot;,&quot;parse-names&quot;:false,&quot;dropping-particle&quot;:&quot;&quot;,&quot;non-dropping-particle&quot;:&quot;&quot;},{&quot;family&quot;:&quot;Krebs-Smith&quot;,&quot;given&quot;:&quot;Susan M.&quot;,&quot;parse-names&quot;:false,&quot;dropping-particle&quot;:&quot;&quot;,&quot;non-dropping-particle&quot;:&quot;&quot;}],&quot;container-title&quot;:&quot;Journal of the American Dietetic Association&quot;,&quot;container-title-short&quot;:&quot;J Am Diet Assoc&quot;,&quot;DOI&quot;:&quot;10.1016/j.jada.2008.08.016&quot;,&quot;ISSN&quot;:&quot;00028223&quot;,&quot;PMID&quot;:&quot;18954580&quot;,&quot;issued&quot;:{&quot;date-parts&quot;:[[2008,11]]},&quot;page&quot;:&quot;1896-1901&quot;,&quot;abstract&quot;:&quot;The Healthy Eating Index (HEI) is a measure of diet quality as specified by Federal dietary guidance, and publication of the Dietary Guidelines for Americans 2005 necessitated its revision. An interagency working group based the HEI-2005 on the food patterns found in MyPyramid. Diets that meet the least restrictive of the food-group recommendations, expressed on a per 1,000 calorie basis, receive maximum scores for the nine adequacy components of the index: total fruit (5 points), whole fruit (5 points), total vegetables (5 points), dark green and orange vegetables and legumes (5 points), total grains (5 points), whole grains (5 points), milk (10 points), meat and beans (10 points), and oils (10 points). Lesser amounts are prorated linearly. Population probability densities were examined when setting the standards for minimum and maximum scores for the three moderation components: saturated fat (10 points), sodium (10 points), and calories from solid fats, alcoholic beverages (ie, beer, wine, and distilled spirits), and added sugars (20 points). Calories from solid fats, alcoholic beverages, and added sugars is a proxy for the discretionary calorie allowance. The 2005 Dietary Guideline for saturated fat and the Adequate Intake and Tolerable Upper Intake Level for sodium, expressed per 1,000 calories, were used when setting the standards for those components. Intakes between the maximum and minimum standards are prorated. The HEI-2005 is a measure of diet quality as described by the key diet-related recommendations of the 2005 Dietary Guidelines. It has a variety of potential uses, including monitoring the diet quality of the US population and subpopulations, evaluation of interventions, and research.&quot;,&quot;issue&quot;:&quot;11&quot;,&quot;volume&quot;:&quot;108&quot;},&quot;isTemporary&quot;:false}]},{&quot;citationID&quot;:&quot;MENDELEY_CITATION_4ba01c2a-1477-49cd-8389-5eb59e605612&quot;,&quot;properties&quot;:{&quot;noteIndex&quot;:0},&quot;isEdited&quot;:false,&quot;manualOverride&quot;:{&quot;isManuallyOverridden&quot;:false,&quot;citeprocText&quot;:&quot;[29]&quot;,&quot;manualOverrideText&quot;:&quot;&quot;},&quot;citationTag&quot;:&quot;MENDELEY_CITATION_v3_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&quot;,&quot;citationItems&quot;:[{&quot;id&quot;:&quot;6676e181-7b15-3dc6-83fc-3569aceac9ba&quot;,&quot;itemData&quot;:{&quot;type&quot;:&quot;book&quot;,&quot;id&quot;:&quot;6676e181-7b15-3dc6-83fc-3569aceac9ba&quot;,&quot;title&quot;:&quot;Dietary Reference Intakes for Energy, Carbohydrate, Fiber, Fat, Fatty Acids, Cholesterol, Protein, and Amino Acids&quot;,&quot;author&quot;:[{&quot;family&quot;:&quot;Institute of Medicine&quot;,&quot;given&quot;:&quot;&quot;,&quot;parse-names&quot;:false,&quot;dropping-particle&quot;:&quot;&quot;,&quot;non-dropping-particle&quot;:&quot;&quot;}],&quot;issued&quot;:{&quot;date-parts&quot;:[[2002]]},&quot;publisher-place&quot;:&quot;Washington (DC)&quot;,&quot;publisher&quot;:&quot;The National Academies Press&quot;,&quot;container-title-short&quot;:&quot;&quot;},&quot;isTemporary&quot;:false}]},{&quot;citationID&quot;:&quot;MENDELEY_CITATION_7e92047a-1131-4774-80ff-223c4b40834e&quot;,&quot;properties&quot;:{&quot;noteIndex&quot;:0},&quot;isEdited&quot;:false,&quot;manualOverride&quot;:{&quot;isManuallyOverridden&quot;:false,&quot;citeprocText&quot;:&quot;[30]&quot;,&quot;manualOverrideText&quot;:&quot;&quot;},&quot;citationTag&quot;:&quot;MENDELEY_CITATION_v3_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&quot;,&quot;citationItems&quot;:[{&quot;id&quot;:&quot;23f126bc-bd20-38ec-a193-d9c3b9eb7606&quot;,&quot;itemData&quot;:{&quot;type&quot;:&quot;report&quot;,&quot;id&quot;:&quot;23f126bc-bd20-38ec-a193-d9c3b9eb7606&quot;,&quot;title&quot;:&quot;Guideline: Sodium intake for adults and children&quot;,&quot;author&quot;:[{&quot;family&quot;:&quot;World Health Organization&quot;,&quot;given&quot;:&quot;&quot;,&quot;parse-names&quot;:false,&quot;dropping-particle&quot;:&quot;&quot;,&quot;non-dropping-particle&quot;:&quot;&quot;}],&quot;issued&quot;:{&quot;date-parts&quot;:[[2012]]},&quot;publisher-place&quot;:&quot;Geneva&quot;,&quot;container-title-short&quot;:&quot;&quot;},&quot;isTemporary&quot;:false}]},{&quot;citationID&quot;:&quot;MENDELEY_CITATION_4a058575-194c-4cfe-b684-66785bdd0988&quot;,&quot;properties&quot;:{&quot;noteIndex&quot;:0},&quot;isEdited&quot;:false,&quot;manualOverride&quot;:{&quot;isManuallyOverridden&quot;:false,&quot;citeprocText&quot;:&quot;[16]&quot;,&quot;manualOverrideText&quot;:&quot;&quot;},&quot;citationTag&quot;:&quot;MENDELEY_CITATION_v3_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&quot;,&quot;citationItems&quot;:[{&quot;id&quot;:&quot;fc1cf95a-f7a3-3de3-91a4-05c6fcb6429a&quot;,&quot;itemData&quot;:{&quot;type&quot;:&quot;article-journal&quot;,&quot;id&quot;:&quot;fc1cf95a-f7a3-3de3-91a4-05c6fcb6429a&quot;,&quot;title&quot;:&quot;The New Standardized Malaysian Healthy Eating Index&quot;,&quot;author&quot;:[{&quot;family&quot;:&quot;Jailani&quot;,&quot;given&quot;:&quot;Marhamah&quot;,&quot;parse-names&quot;:false,&quot;dropping-particle&quot;:&quot;&quot;,&quot;non-dropping-particle&quot;:&quot;&quot;},{&quot;family&quot;:&quot;Elias&quot;,&quot;given&quot;:&quot;Siti Masitah&quot;,&quot;parse-names&quot;:false,&quot;dropping-particle&quot;:&quot;&quot;,&quot;non-dropping-particle&quot;:&quot;&quot;},{&quot;family&quot;:&quot;Rajikan&quot;,&quot;given&quot;:&quot;Roslee&quot;,&quot;parse-names&quot;:false,&quot;dropping-particle&quot;:&quot;&quot;,&quot;non-dropping-particle&quot;:&quot;&quot;}],&quot;container-title&quot;:&quot;Nutrients&quot;,&quot;container-title-short&quot;:&quot;Nutrients&quot;,&quot;DOI&quot;:&quot;10.3390/nu13103474&quot;,&quot;ISSN&quot;:&quot;2072-6643&quot;,&quot;issued&quot;:{&quot;date-parts&quot;:[[2021,9,30]]},&quot;page&quot;:&quot;3474&quot;,&quot;abstract&quot;:&quot;&lt;p&gt;Healthy Eating Index (HEI) is a diet quality measure that assesses the population’s compliance towards dietary guidelines. In Malaysia, diet quality measure, though existing, has some limitations in terms of application and relevance. This study aims to develop a new standardized Malaysian Healthy Eating Index (S-MHEI) that can measure the diet quality of all Malaysians regardless of their energy requirement level. The Malaysian Dietary Guidelines (MDG) 2010 and MDG for Children and Adolescents (MDGCA) 2013 were used as main references in developing the index components. In addition, the latest Malaysian Adults Nutrition Survey (MANS) and Adolescent Nutrition Survey (ANS) were also referred to ensure the relevance of the components selected. For adequacy components, the least restrictive method was used in setting the standard for the scoring system. Meanwhile, the scoring system for moderation components was built based on the Recommended Nutrient Intake (RNI) 2017. The new S-MHEI comprises of 11 components with a maximum total score of 100. The least restrictive method allowed the index to be used across energy requirement levels. However, the index will not be sensitive towards adhering to the specific recommended amount of intake—which in effect, made the index focus on measuring diet quality rather than diet quantity.&lt;/p&gt;&quot;,&quot;issue&quot;:&quot;10&quot;,&quot;volume&quot;:&quot;13&quot;},&quot;isTemporary&quot;:false}]},{&quot;citationID&quot;:&quot;MENDELEY_CITATION_e1c5aae0-9f5f-41ec-89b7-0f99658fc720&quot;,&quot;properties&quot;:{&quot;noteIndex&quot;:0},&quot;isEdited&quot;:false,&quot;manualOverride&quot;:{&quot;isManuallyOverridden&quot;:false,&quot;citeprocText&quot;:&quot;[12]&quot;,&quot;manualOverrideText&quot;:&quot;&quot;},&quot;citationTag&quot;:&quot;MENDELEY_CITATION_v3_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&quot;,&quot;citationItems&quot;:[{&quot;id&quot;:&quot;56b55f8f-4319-3346-8ec9-8c98646e7332&quot;,&quot;itemData&quot;:{&quot;type&quot;:&quot;article-journal&quot;,&quot;id&quot;:&quot;56b55f8f-4319-3346-8ec9-8c98646e7332&quot;,&quot;title&quot;:&quot;Development of the Healthy Eating Index-2005&quot;,&quot;author&quot;:[{&quot;family&quot;:&quot;Guenther&quot;,&quot;given&quot;:&quot;Patricia M.&quot;,&quot;parse-names&quot;:false,&quot;dropping-particle&quot;:&quot;&quot;,&quot;non-dropping-particle&quot;:&quot;&quot;},{&quot;family&quot;:&quot;Reedy&quot;,&quot;given&quot;:&quot;Jill&quot;,&quot;parse-names&quot;:false,&quot;dropping-particle&quot;:&quot;&quot;,&quot;non-dropping-particle&quot;:&quot;&quot;},{&quot;family&quot;:&quot;Krebs-Smith&quot;,&quot;given&quot;:&quot;Susan M.&quot;,&quot;parse-names&quot;:false,&quot;dropping-particle&quot;:&quot;&quot;,&quot;non-dropping-particle&quot;:&quot;&quot;}],&quot;container-title&quot;:&quot;Journal of the American Dietetic Association&quot;,&quot;container-title-short&quot;:&quot;J Am Diet Assoc&quot;,&quot;DOI&quot;:&quot;10.1016/j.jada.2008.08.016&quot;,&quot;ISSN&quot;:&quot;00028223&quot;,&quot;PMID&quot;:&quot;18954580&quot;,&quot;issued&quot;:{&quot;date-parts&quot;:[[2008,11]]},&quot;page&quot;:&quot;1896-1901&quot;,&quot;abstract&quot;:&quot;The Healthy Eating Index (HEI) is a measure of diet quality as specified by Federal dietary guidance, and publication of the Dietary Guidelines for Americans 2005 necessitated its revision. An interagency working group based the HEI-2005 on the food patterns found in MyPyramid. Diets that meet the least restrictive of the food-group recommendations, expressed on a per 1,000 calorie basis, receive maximum scores for the nine adequacy components of the index: total fruit (5 points), whole fruit (5 points), total vegetables (5 points), dark green and orange vegetables and legumes (5 points), total grains (5 points), whole grains (5 points), milk (10 points), meat and beans (10 points), and oils (10 points). Lesser amounts are prorated linearly. Population probability densities were examined when setting the standards for minimum and maximum scores for the three moderation components: saturated fat (10 points), sodium (10 points), and calories from solid fats, alcoholic beverages (ie, beer, wine, and distilled spirits), and added sugars (20 points). Calories from solid fats, alcoholic beverages, and added sugars is a proxy for the discretionary calorie allowance. The 2005 Dietary Guideline for saturated fat and the Adequate Intake and Tolerable Upper Intake Level for sodium, expressed per 1,000 calories, were used when setting the standards for those components. Intakes between the maximum and minimum standards are prorated. The HEI-2005 is a measure of diet quality as described by the key diet-related recommendations of the 2005 Dietary Guidelines. It has a variety of potential uses, including monitoring the diet quality of the US population and subpopulations, evaluation of interventions, and research.&quot;,&quot;issue&quot;:&quot;11&quot;,&quot;volume&quot;:&quot;108&quot;},&quot;isTemporary&quot;:false}]},{&quot;citationID&quot;:&quot;MENDELEY_CITATION_a1c272ef-73b0-434b-8bd7-d52b71b73f57&quot;,&quot;properties&quot;:{&quot;noteIndex&quot;:0},&quot;isEdited&quot;:false,&quot;manualOverride&quot;:{&quot;isManuallyOverridden&quot;:false,&quot;citeprocText&quot;:&quot;[9, 16, 17, 31]&quot;,&quot;manualOverrideText&quot;:&quot;&quot;},&quot;citationTag&quot;:&quot;MENDELEY_CITATION_v3_eyJjaXRhdGlvbklEIjoiTUVOREVMRVlfQ0lUQVRJT05fYTFjMjcyZWYtNzNiMC00MzRiLThiZDctZDUyYjcxYjczZjU3IiwicHJvcGVydGllcyI6eyJub3RlSW5kZXgiOjB9LCJpc0VkaXRlZCI6ZmFsc2UsIm1hbnVhbE92ZXJyaWRlIjp7ImlzTWFudWFsbHlPdmVycmlkZGVuIjpmYWxzZSwiY2l0ZXByb2NUZXh0IjoiWzksIDE2LCAxNywgMzF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&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id&quot;:&quot;fc1cf95a-f7a3-3de3-91a4-05c6fcb6429a&quot;,&quot;itemData&quot;:{&quot;type&quot;:&quot;article-journal&quot;,&quot;id&quot;:&quot;fc1cf95a-f7a3-3de3-91a4-05c6fcb6429a&quot;,&quot;title&quot;:&quot;The New Standardized Malaysian Healthy Eating Index&quot;,&quot;author&quot;:[{&quot;family&quot;:&quot;Jailani&quot;,&quot;given&quot;:&quot;Marhamah&quot;,&quot;parse-names&quot;:false,&quot;dropping-particle&quot;:&quot;&quot;,&quot;non-dropping-particle&quot;:&quot;&quot;},{&quot;family&quot;:&quot;Elias&quot;,&quot;given&quot;:&quot;Siti Masitah&quot;,&quot;parse-names&quot;:false,&quot;dropping-particle&quot;:&quot;&quot;,&quot;non-dropping-particle&quot;:&quot;&quot;},{&quot;family&quot;:&quot;Rajikan&quot;,&quot;given&quot;:&quot;Roslee&quot;,&quot;parse-names&quot;:false,&quot;dropping-particle&quot;:&quot;&quot;,&quot;non-dropping-particle&quot;:&quot;&quot;}],&quot;container-title&quot;:&quot;Nutrients&quot;,&quot;container-title-short&quot;:&quot;Nutrients&quot;,&quot;DOI&quot;:&quot;10.3390/nu13103474&quot;,&quot;ISSN&quot;:&quot;2072-6643&quot;,&quot;issued&quot;:{&quot;date-parts&quot;:[[2021,9,30]]},&quot;page&quot;:&quot;3474&quot;,&quot;abstract&quot;:&quot;&lt;p&gt;Healthy Eating Index (HEI) is a diet quality measure that assesses the population’s compliance towards dietary guidelines. In Malaysia, diet quality measure, though existing, has some limitations in terms of application and relevance. This study aims to develop a new standardized Malaysian Healthy Eating Index (S-MHEI) that can measure the diet quality of all Malaysians regardless of their energy requirement level. The Malaysian Dietary Guidelines (MDG) 2010 and MDG for Children and Adolescents (MDGCA) 2013 were used as main references in developing the index components. In addition, the latest Malaysian Adults Nutrition Survey (MANS) and Adolescent Nutrition Survey (ANS) were also referred to ensure the relevance of the components selected. For adequacy components, the least restrictive method was used in setting the standard for the scoring system. Meanwhile, the scoring system for moderation components was built based on the Recommended Nutrient Intake (RNI) 2017. The new S-MHEI comprises of 11 components with a maximum total score of 100. The least restrictive method allowed the index to be used across energy requirement levels. However, the index will not be sensitive towards adhering to the specific recommended amount of intake—which in effect, made the index focus on measuring diet quality rather than diet quantity.&lt;/p&gt;&quot;,&quot;issue&quot;:&quot;10&quot;,&quot;volume&quot;:&quot;13&quot;},&quot;isTemporary&quot;:false},{&quot;id&quot;:&quot;5432e0f4-2628-3665-b85e-5b65df481189&quot;,&quot;itemData&quot;:{&quot;type&quot;:&quot;article-journal&quot;,&quot;id&quot;:&quot;5432e0f4-2628-3665-b85e-5b65df481189&quot;,&quot;title&quot;:&quot;Development of the Healthy Eating Food Index (HEFI)-2019 measuring adherence to Canada’s Food Guide 2019 recommendations on healthy food choices1&quot;,&quot;author&quot;:[{&quot;family&quot;:&quot;Brassard&quot;,&quot;given&quot;:&quot;Didier&quot;,&quot;parse-names&quot;:false,&quot;dropping-particle&quot;:&quot;&quot;,&quot;non-dropping-particle&quot;:&quot;&quot;},{&quot;family&quot;:&quot;Munene&quot;,&quot;given&quot;:&quot;Lisa Anne Elvidge&quot;,&quot;parse-names&quot;:false,&quot;dropping-particle&quot;:&quot;&quot;,&quot;non-dropping-particle&quot;:&quot;&quot;},{&quot;family&quot;:&quot;St-Pierre&quot;,&quot;given&quot;:&quot;Sylvie&quot;,&quot;parse-names&quot;:false,&quot;dropping-particle&quot;:&quot;&quot;,&quot;non-dropping-particle&quot;:&quot;&quot;},{&quot;family&quot;:&quot;Guenther&quot;,&quot;given&quot;:&quot;Patricia M.&quot;,&quot;parse-names&quot;:false,&quot;dropping-particle&quot;:&quot;&quot;,&quot;non-dropping-particle&quot;:&quot;&quot;},{&quot;family&quot;:&quot;Kirkpatrick&quot;,&quot;given&quot;:&quot;Sharon I.&quot;,&quot;parse-names&quot;:false,&quot;dropping-particle&quot;:&quot;&quot;,&quot;non-dropping-particle&quot;:&quot;&quot;},{&quot;family&quot;:&quot;Slater&quot;,&quot;given&quot;:&quot;Joyce&quot;,&quot;parse-names&quot;:false,&quot;dropping-particle&quot;:&quot;&quot;,&quot;non-dropping-particle&quot;:&quot;&quot;},{&quot;family&quot;:&quot;Lemieux&quot;,&quot;given&quot;:&quot;Simone&quot;,&quot;parse-names&quot;:false,&quot;dropping-particle&quot;:&quot;&quot;,&quot;non-dropping-particle&quot;:&quot;&quot;},{&quot;family&quot;:&quot;Jessri&quot;,&quot;given&quot;:&quot;Mahsa&quot;,&quot;parse-names&quot;:false,&quot;dropping-particle&quot;:&quot;&quot;,&quot;non-dropping-particle&quot;:&quot;&quot;},{&quot;family&quot;:&quot;Haines&quot;,&quot;given&quot;:&quot;Jess&quot;,&quot;parse-names&quot;:false,&quot;dropping-particle&quot;:&quot;&quot;,&quot;non-dropping-particle&quot;:&quot;&quot;},{&quot;family&quot;:&quot;Prowse&quot;,&quot;given&quot;:&quot;Rachel&quot;,&quot;parse-names&quot;:false,&quot;dropping-particle&quot;:&quot;&quot;,&quot;non-dropping-particle&quot;:&quot;&quot;},{&quot;family&quot;:&quot;Olstad&quot;,&quot;given&quot;:&quot;Dana Lee&quot;,&quot;parse-names&quot;:false,&quot;dropping-particle&quot;:&quot;&quot;,&quot;non-dropping-particle&quot;:&quot;&quot;},{&quot;family&quot;:&quot;Garriguet&quot;,&quot;given&quot;:&quot;Didier&quot;,&quot;parse-names&quot;:false,&quot;dropping-particle&quot;:&quot;&quot;,&quot;non-dropping-particle&quot;:&quot;&quot;},{&quot;family&quot;:&quot;Vena&quot;,&quot;given&quot;:&quot;Jennifer&quot;,&quot;parse-names&quot;:false,&quot;dropping-particle&quot;:&quot;&quot;,&quot;non-dropping-particle&quot;:&quot;&quot;},{&quot;family&quot;:&quot;Vatanpatast&quot;,&quot;given&quot;:&quot;Hassan&quot;,&quot;parse-names&quot;:false,&quot;dropping-particle&quot;:&quot;&quot;,&quot;non-dropping-particle&quot;:&quot;&quot;},{&quot;family&quot;:&quot;L’abbe&quot;,&quot;given&quot;:&quot;Mary R.&quot;,&quot;parse-names&quot;:false,&quot;dropping-particle&quot;:&quot;&quot;,&quot;non-dropping-particle&quot;:&quot;&quot;},{&quot;family&quot;:&quot;Lamarche&quot;,&quot;given&quot;:&quot;Benoît&quot;,&quot;parse-names&quot;:false,&quot;dropping-particle&quot;:&quot;&quot;,&quot;non-dropping-particle&quot;:&quot;&quot;}],&quot;container-title&quot;:&quot;Applied Physiology, Nutrition and Metabolism&quot;,&quot;DOI&quot;:&quot;10.1139/apnm-2021-0415&quot;,&quot;ISSN&quot;:&quot;17155320&quot;,&quot;PMID&quot;:&quot;35030038&quot;,&quot;issued&quot;:{&quot;date-parts&quot;:[[2022]]},&quot;page&quot;:&quot;595-610&quot;,&quot;abstract&quot;:&quot;The release of Canada’s Food Guide (CFG) in 2019 by Health Canada prompted the development of indices to measure adherence to these updated dietary recommendations for Canadians. This study describes the development and scoring standards of the Healthy Eating Food Index (HEFI-2019), which is intended to measure alignment of eating patterns with CFG-2019 recommendations on food choices among Canadians aged 2 years and older. Alignment with the intent of each key recommendation in the CFG-2019 was the primary principle guiding the development of the HEFI-2019. Additional considerations included previously published indices, data on Canadians’ dietary intakes from the 2015 Canadian Community Health Survey-Nutrition, and expert judgement. The HEFI-2019 includes 10 components: Vegetables and fruits (20 points), Whole-grain foods (5 points), Grain foods ratio (5 points), Protein foods (5 points), Plant-based protein foods (5 points), Beverages (10 points), Fatty acids ratio (5 points), Saturated fats (5 points), Free sugars (10 points), and Sodium (10 points). All components are expressed as ratios (e.g., proportions of total foods, total beverages, or total energy). The HEFI-2019 score has a maximum of 80 points. Potential uses of the HEFI-2019 include research as well as monitoring and surveillance of food choices in population-based surveys. Novelty: • The Healthy Eating Food Index-2019 was developed to measure adherence to the 2019 Canada’s Food Guide recommendations on healthy food choices. • The HEFI-2019 includes 10 components, of which 5 are based on foods, 1 on beverages and 4 on nutrients, for a total of 80 points.&quot;,&quot;publisher&quot;:&quot;Canadian Science Publishing&quot;,&quot;issue&quot;:&quot;5&quot;,&quot;volume&quot;:&quot;47&quot;,&quot;container-title-short&quot;:&quot;&quot;},&quot;isTemporary&quot;:false},{&quot;id&quot;:&quot;7a975c93-31fd-3214-a7e8-29ed9d942ffc&quot;,&quot;itemData&quot;:{&quot;type&quot;:&quot;article-journal&quot;,&quot;id&quot;:&quot;7a975c93-31fd-3214-a7e8-29ed9d942ffc&quot;,&quot;title&quot;:&quot;The development of a chinese healthy eating index and its application in the general population&quot;,&quot;author&quot;:[{&quot;family&quot;:&quot;Yuan&quot;,&quot;given&quot;:&quot;Ya Qun&quot;,&quot;parse-names&quot;:false,&quot;dropping-particle&quot;:&quot;&quot;,&quot;non-dropping-particle&quot;:&quot;&quot;},{&quot;family&quot;:&quot;Li&quot;,&quot;given&quot;:&quot;Fan&quot;,&quot;parse-names&quot;:false,&quot;dropping-particle&quot;:&quot;&quot;,&quot;non-dropping-particle&quot;:&quot;&quot;},{&quot;family&quot;:&quot;Dong&quot;,&quot;given&quot;:&quot;Rui Hua&quot;,&quot;parse-names&quot;:false,&quot;dropping-particle&quot;:&quot;&quot;,&quot;non-dropping-particle&quot;:&quot;&quot;},{&quot;family&quot;:&quot;Chen&quot;,&quot;given&quot;:&quot;Jing Si&quot;,&quot;parse-names&quot;:false,&quot;dropping-particle&quot;:&quot;&quot;,&quot;non-dropping-particle&quot;:&quot;&quot;},{&quot;family&quot;:&quot;He&quot;,&quot;given&quot;:&quot;Geng Sheng&quot;,&quot;parse-names&quot;:false,&quot;dropping-particle&quot;:&quot;&quot;,&quot;non-dropping-particle&quot;:&quot;&quot;},{&quot;family&quot;:&quot;Li&quot;,&quot;given&quot;:&quot;Shu Guang&quot;,&quot;parse-names&quot;:false,&quot;dropping-particle&quot;:&quot;&quot;,&quot;non-dropping-particle&quot;:&quot;&quot;},{&quot;family&quot;:&quot;Chen&quot;,&quot;given&quot;:&quot;Bo&quot;,&quot;parse-names&quot;:false,&quot;dropping-particle&quot;:&quot;&quot;,&quot;non-dropping-particle&quot;:&quot;&quot;}],&quot;container-title&quot;:&quot;Nutrients&quot;,&quot;container-title-short&quot;:&quot;Nutrients&quot;,&quot;DOI&quot;:&quot;10.3390/nu9090977&quot;,&quot;ISSN&quot;:&quot;20726643&quot;,&quot;PMID&quot;:&quot;28872591&quot;,&quot;issued&quot;:{&quot;date-parts&quot;:[[2017,9,1]]},&quot;page&quot;:&quot;1-18&quot;,&quot;abstract&quot;:&quot;The objective of this study was to develop a Chinese Healthy Eating Index (CHEI) based on the updated Dietary Guidelines for Chinese (DGC-2016) and to apply it in the 2011 China Health and Nutrition Survey (CHNS-2011) to assess diet quality and its association with typical sociodemographic/economic factors. Data from 14, 584 participants (≥2 years) from the CHNS-2011, including three 24-h dietary recalls and additional variables, were used to develop the CHEI. The standard portion size was applied to quantify food consumption. The CHEI was designed as a continuous scoring system, comprising 17 components; the maximum total score is 100. The mean, 1st and 99th percentiles of the CHEI score were 52.4, 27.6 and 78.3, respectively. Young and middle-aged adults scored better than the elderly. Diet insufficiency was chiefly manifested in fruits, dairy, whole grains and poultry; diet excess was mainly reflected in red meat, cooking oils and sodium. The CHEI was positively associated with education and urbanization levels; current smokers and unmarried people obtained relative low CHEI scores. Occupation and body mass index (BMI) were also related to the CHEI. Our findings indicate that the CHEI is capable of recognizing differences in diet quality among the Chinese, and it is sensitive to typical sociodemographic/economic factors.&quot;,&quot;publisher&quot;:&quot;MDPI AG&quot;,&quot;issue&quot;:&quot;9&quot;,&quot;volume&quot;:&quot;9&quot;},&quot;isTemporary&quot;:false}]},{&quot;citationID&quot;:&quot;MENDELEY_CITATION_54703fe3-be02-418d-bc29-7838aee7fadc&quot;,&quot;properties&quot;:{&quot;noteIndex&quot;:0},&quot;isEdited&quot;:false,&quot;manualOverride&quot;:{&quot;isManuallyOverridden&quot;:false,&quot;citeprocText&quot;:&quot;[16]&quot;,&quot;manualOverrideText&quot;:&quot;&quot;},&quot;citationTag&quot;:&quot;MENDELEY_CITATION_v3_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&quot;,&quot;citationItems&quot;:[{&quot;id&quot;:&quot;fc1cf95a-f7a3-3de3-91a4-05c6fcb6429a&quot;,&quot;itemData&quot;:{&quot;type&quot;:&quot;article-journal&quot;,&quot;id&quot;:&quot;fc1cf95a-f7a3-3de3-91a4-05c6fcb6429a&quot;,&quot;title&quot;:&quot;The New Standardized Malaysian Healthy Eating Index&quot;,&quot;author&quot;:[{&quot;family&quot;:&quot;Jailani&quot;,&quot;given&quot;:&quot;Marhamah&quot;,&quot;parse-names&quot;:false,&quot;dropping-particle&quot;:&quot;&quot;,&quot;non-dropping-particle&quot;:&quot;&quot;},{&quot;family&quot;:&quot;Elias&quot;,&quot;given&quot;:&quot;Siti Masitah&quot;,&quot;parse-names&quot;:false,&quot;dropping-particle&quot;:&quot;&quot;,&quot;non-dropping-particle&quot;:&quot;&quot;},{&quot;family&quot;:&quot;Rajikan&quot;,&quot;given&quot;:&quot;Roslee&quot;,&quot;parse-names&quot;:false,&quot;dropping-particle&quot;:&quot;&quot;,&quot;non-dropping-particle&quot;:&quot;&quot;}],&quot;container-title&quot;:&quot;Nutrients&quot;,&quot;container-title-short&quot;:&quot;Nutrients&quot;,&quot;DOI&quot;:&quot;10.3390/nu13103474&quot;,&quot;ISSN&quot;:&quot;2072-6643&quot;,&quot;issued&quot;:{&quot;date-parts&quot;:[[2021,9,30]]},&quot;page&quot;:&quot;3474&quot;,&quot;abstract&quot;:&quot;&lt;p&gt;Healthy Eating Index (HEI) is a diet quality measure that assesses the population’s compliance towards dietary guidelines. In Malaysia, diet quality measure, though existing, has some limitations in terms of application and relevance. This study aims to develop a new standardized Malaysian Healthy Eating Index (S-MHEI) that can measure the diet quality of all Malaysians regardless of their energy requirement level. The Malaysian Dietary Guidelines (MDG) 2010 and MDG for Children and Adolescents (MDGCA) 2013 were used as main references in developing the index components. In addition, the latest Malaysian Adults Nutrition Survey (MANS) and Adolescent Nutrition Survey (ANS) were also referred to ensure the relevance of the components selected. For adequacy components, the least restrictive method was used in setting the standard for the scoring system. Meanwhile, the scoring system for moderation components was built based on the Recommended Nutrient Intake (RNI) 2017. The new S-MHEI comprises of 11 components with a maximum total score of 100. The least restrictive method allowed the index to be used across energy requirement levels. However, the index will not be sensitive towards adhering to the specific recommended amount of intake—which in effect, made the index focus on measuring diet quality rather than diet quantity.&lt;/p&gt;&quot;,&quot;issue&quot;:&quot;10&quot;,&quot;volume&quot;:&quot;13&quot;},&quot;isTemporary&quot;:false}]},{&quot;citationID&quot;:&quot;MENDELEY_CITATION_b45cc693-fcb3-4ca3-ab2b-21e87ee41886&quot;,&quot;properties&quot;:{&quot;noteIndex&quot;:0},&quot;isEdited&quot;:false,&quot;manualOverride&quot;:{&quot;isManuallyOverridden&quot;:false,&quot;citeprocText&quot;:&quot;[31]&quot;,&quot;manualOverrideText&quot;:&quot;&quot;},&quot;citationTag&quot;:&quot;MENDELEY_CITATION_v3_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&quot;,&quot;citationItems&quot;:[{&quot;id&quot;:&quot;5432e0f4-2628-3665-b85e-5b65df481189&quot;,&quot;itemData&quot;:{&quot;type&quot;:&quot;article-journal&quot;,&quot;id&quot;:&quot;5432e0f4-2628-3665-b85e-5b65df481189&quot;,&quot;title&quot;:&quot;Development of the Healthy Eating Food Index (HEFI)-2019 measuring adherence to Canada’s Food Guide 2019 recommendations on healthy food choices1&quot;,&quot;author&quot;:[{&quot;family&quot;:&quot;Brassard&quot;,&quot;given&quot;:&quot;Didier&quot;,&quot;parse-names&quot;:false,&quot;dropping-particle&quot;:&quot;&quot;,&quot;non-dropping-particle&quot;:&quot;&quot;},{&quot;family&quot;:&quot;Munene&quot;,&quot;given&quot;:&quot;Lisa Anne Elvidge&quot;,&quot;parse-names&quot;:false,&quot;dropping-particle&quot;:&quot;&quot;,&quot;non-dropping-particle&quot;:&quot;&quot;},{&quot;family&quot;:&quot;St-Pierre&quot;,&quot;given&quot;:&quot;Sylvie&quot;,&quot;parse-names&quot;:false,&quot;dropping-particle&quot;:&quot;&quot;,&quot;non-dropping-particle&quot;:&quot;&quot;},{&quot;family&quot;:&quot;Guenther&quot;,&quot;given&quot;:&quot;Patricia M.&quot;,&quot;parse-names&quot;:false,&quot;dropping-particle&quot;:&quot;&quot;,&quot;non-dropping-particle&quot;:&quot;&quot;},{&quot;family&quot;:&quot;Kirkpatrick&quot;,&quot;given&quot;:&quot;Sharon I.&quot;,&quot;parse-names&quot;:false,&quot;dropping-particle&quot;:&quot;&quot;,&quot;non-dropping-particle&quot;:&quot;&quot;},{&quot;family&quot;:&quot;Slater&quot;,&quot;given&quot;:&quot;Joyce&quot;,&quot;parse-names&quot;:false,&quot;dropping-particle&quot;:&quot;&quot;,&quot;non-dropping-particle&quot;:&quot;&quot;},{&quot;family&quot;:&quot;Lemieux&quot;,&quot;given&quot;:&quot;Simone&quot;,&quot;parse-names&quot;:false,&quot;dropping-particle&quot;:&quot;&quot;,&quot;non-dropping-particle&quot;:&quot;&quot;},{&quot;family&quot;:&quot;Jessri&quot;,&quot;given&quot;:&quot;Mahsa&quot;,&quot;parse-names&quot;:false,&quot;dropping-particle&quot;:&quot;&quot;,&quot;non-dropping-particle&quot;:&quot;&quot;},{&quot;family&quot;:&quot;Haines&quot;,&quot;given&quot;:&quot;Jess&quot;,&quot;parse-names&quot;:false,&quot;dropping-particle&quot;:&quot;&quot;,&quot;non-dropping-particle&quot;:&quot;&quot;},{&quot;family&quot;:&quot;Prowse&quot;,&quot;given&quot;:&quot;Rachel&quot;,&quot;parse-names&quot;:false,&quot;dropping-particle&quot;:&quot;&quot;,&quot;non-dropping-particle&quot;:&quot;&quot;},{&quot;family&quot;:&quot;Olstad&quot;,&quot;given&quot;:&quot;Dana Lee&quot;,&quot;parse-names&quot;:false,&quot;dropping-particle&quot;:&quot;&quot;,&quot;non-dropping-particle&quot;:&quot;&quot;},{&quot;family&quot;:&quot;Garriguet&quot;,&quot;given&quot;:&quot;Didier&quot;,&quot;parse-names&quot;:false,&quot;dropping-particle&quot;:&quot;&quot;,&quot;non-dropping-particle&quot;:&quot;&quot;},{&quot;family&quot;:&quot;Vena&quot;,&quot;given&quot;:&quot;Jennifer&quot;,&quot;parse-names&quot;:false,&quot;dropping-particle&quot;:&quot;&quot;,&quot;non-dropping-particle&quot;:&quot;&quot;},{&quot;family&quot;:&quot;Vatanpatast&quot;,&quot;given&quot;:&quot;Hassan&quot;,&quot;parse-names&quot;:false,&quot;dropping-particle&quot;:&quot;&quot;,&quot;non-dropping-particle&quot;:&quot;&quot;},{&quot;family&quot;:&quot;L’abbe&quot;,&quot;given&quot;:&quot;Mary R.&quot;,&quot;parse-names&quot;:false,&quot;dropping-particle&quot;:&quot;&quot;,&quot;non-dropping-particle&quot;:&quot;&quot;},{&quot;family&quot;:&quot;Lamarche&quot;,&quot;given&quot;:&quot;Benoît&quot;,&quot;parse-names&quot;:false,&quot;dropping-particle&quot;:&quot;&quot;,&quot;non-dropping-particle&quot;:&quot;&quot;}],&quot;container-title&quot;:&quot;Applied Physiology, Nutrition and Metabolism&quot;,&quot;DOI&quot;:&quot;10.1139/apnm-2021-0415&quot;,&quot;ISSN&quot;:&quot;17155320&quot;,&quot;PMID&quot;:&quot;35030038&quot;,&quot;issued&quot;:{&quot;date-parts&quot;:[[2022]]},&quot;page&quot;:&quot;595-610&quot;,&quot;abstract&quot;:&quot;The release of Canada’s Food Guide (CFG) in 2019 by Health Canada prompted the development of indices to measure adherence to these updated dietary recommendations for Canadians. This study describes the development and scoring standards of the Healthy Eating Food Index (HEFI-2019), which is intended to measure alignment of eating patterns with CFG-2019 recommendations on food choices among Canadians aged 2 years and older. Alignment with the intent of each key recommendation in the CFG-2019 was the primary principle guiding the development of the HEFI-2019. Additional considerations included previously published indices, data on Canadians’ dietary intakes from the 2015 Canadian Community Health Survey-Nutrition, and expert judgement. The HEFI-2019 includes 10 components: Vegetables and fruits (20 points), Whole-grain foods (5 points), Grain foods ratio (5 points), Protein foods (5 points), Plant-based protein foods (5 points), Beverages (10 points), Fatty acids ratio (5 points), Saturated fats (5 points), Free sugars (10 points), and Sodium (10 points). All components are expressed as ratios (e.g., proportions of total foods, total beverages, or total energy). The HEFI-2019 score has a maximum of 80 points. Potential uses of the HEFI-2019 include research as well as monitoring and surveillance of food choices in population-based surveys. Novelty: • The Healthy Eating Food Index-2019 was developed to measure adherence to the 2019 Canada’s Food Guide recommendations on healthy food choices. • The HEFI-2019 includes 10 components, of which 5 are based on foods, 1 on beverages and 4 on nutrients, for a total of 80 points.&quot;,&quot;publisher&quot;:&quot;Canadian Science Publishing&quot;,&quot;issue&quot;:&quot;5&quot;,&quot;volume&quot;:&quot;47&quot;,&quot;container-title-short&quot;:&quot;&quot;},&quot;isTemporary&quot;:false}]},{&quot;citationID&quot;:&quot;MENDELEY_CITATION_a28d3f34-3f37-4251-b9ae-8eaf48a8feca&quot;,&quot;properties&quot;:{&quot;noteIndex&quot;:0},&quot;isEdited&quot;:false,&quot;manualOverride&quot;:{&quot;isManuallyOverridden&quot;:false,&quot;citeprocText&quot;:&quot;[9]&quot;,&quot;manualOverrideText&quot;:&quot;&quot;},&quot;citationTag&quot;:&quot;MENDELEY_CITATION_v3_eyJjaXRhdGlvbklEIjoiTUVOREVMRVlfQ0lUQVRJT05fYTI4ZDNmMzQtM2YzNy00MjUxLWI5YWUtOGVhZjQ4YThmZWNhIiwicHJvcGVydGllcyI6eyJub3RlSW5kZXgiOjB9LCJpc0VkaXRlZCI6ZmFsc2UsIm1hbnVhbE92ZXJyaWRlIjp7ImlzTWFudWFsbHlPdmVycmlkZGVuIjpmYWxzZSwiY2l0ZXByb2NUZXh0IjoiWzl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citationID&quot;:&quot;MENDELEY_CITATION_cb9150fc-2f2c-40b2-bcb5-eb61b2c61cb8&quot;,&quot;properties&quot;:{&quot;noteIndex&quot;:0},&quot;isEdited&quot;:false,&quot;manualOverride&quot;:{&quot;isManuallyOverridden&quot;:false,&quot;citeprocText&quot;:&quot;[32]&quot;,&quot;manualOverrideText&quot;:&quot;&quot;},&quot;citationTag&quot;:&quot;MENDELEY_CITATION_v3_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&quot;,&quot;citationItems&quot;:[{&quot;id&quot;:&quot;0bb519ac-0a66-35f5-9584-ad21333e270b&quot;,&quot;itemData&quot;:{&quot;type&quot;:&quot;article-journal&quot;,&quot;id&quot;:&quot;0bb519ac-0a66-35f5-9584-ad21333e270b&quot;,&quot;title&quot;:&quot;Prevalence of vegan/vegetarian diet and eating behavior among Saudi adults and its correlation with body mass index: A cross-sectional study&quot;,&quot;author&quot;:[{&quot;family&quot;:&quot;AL-Mohaithef&quot;,&quot;given&quot;:&quot;Mohammed&quot;,&quot;parse-names&quot;:false,&quot;dropping-particle&quot;:&quot;&quot;,&quot;non-dropping-particle&quot;:&quot;&quot;}],&quot;container-title&quot;:&quot;Frontiers in nutrition&quot;,&quot;container-title-short&quot;:&quot;Front Nutr&quot;,&quot;accessed&quot;:{&quot;date-parts&quot;:[[2023,9,11]]},&quot;DOI&quot;:&quot;10.3389/FNUT.2022.966629&quot;,&quot;ISSN&quot;:&quot;2296-861X&quot;,&quot;PMID&quot;:&quot;36185674&quot;,&quot;URL&quot;:&quot;https://pubmed.ncbi.nlm.nih.gov/36185674/&quot;,&quot;issued&quot;:{&quot;date-parts&quot;:[[2022,9,15]]},&quot;abstract&quot;:&quot;Background: Globalization has steered the spread of vegetarianism around the world. Vegetarianism has achieved increased acceptance by different populations. Objective: The present study aims to assess vegetarian diet, and eating behavior prevalence among Saudi adults and their association with demographics and body mass index. Method: A cross-sectional study conducted on 1,143 Saudi adults [418 (36.6%) males and 725 (63.4%) females]. An online survey questionnaire containing questions on demographics, type of diet, eating behavior and physical activity was provided to participants for self-administration. Statistical analysis was performed to associate demographic and eating behavior variables with the type of diet using Pearson's Chi-square test and Spearman's partial correlation test was used to correlate BMI and eating behavior. Results: Prevalence of veganism was 4.7% (n = 54/1,143) and vegetarianism was 7.8% (89/1,143). A significantly higher prevalence of vegan diet was observed in females than males (79.6% vs. 20.4%, p &lt; 0.0001). A significantly higher proportion of participants on vegetarian diet selected “Always” as response for eating breakfast, vegetables and fruits as well as for eating or drinking dairy foods, and for eating canned food than participants on non-vegetarian diet (p &lt; 0.0001). A significantly higher proportion of participants on vegan diet selected ‘Never' for eating fast-food and fried food as well as for drinking fizzy or soft drinks (p &lt; 0.0001). A positive moderate correlation was found between BMI and eating fast-food and fried food [r(1, 140) = 0.529, p &lt; 0.0001], drinking fizzy or soft drinks with meals [r(1, 140) = 0.495, p = 0.001], and eating canned food [r(1, 140) = 0.510, p &lt; 0.0001]. Conclusion: Our study shows that vegan and vegetarian diet have gained access into the lifestyle of Saudi adults with a prevalence of 4.7 and 7.8%, respectively. Participants on vegetarian diet showed better lifestyle like higher physical activity level, higher consumption of fruits, vegetables, dairy products and low intake of fast-foods and fizzy beverages.&quot;,&quot;publisher&quot;:&quot;Front Nutr&quot;,&quot;volume&quot;:&quot;9&quot;},&quot;isTemporary&quot;:false}]},{&quot;citationID&quot;:&quot;MENDELEY_CITATION_5beecc94-bb92-4a05-b2f0-0e787aa18545&quot;,&quot;properties&quot;:{&quot;noteIndex&quot;:0},&quot;isEdited&quot;:false,&quot;manualOverride&quot;:{&quot;isManuallyOverridden&quot;:false,&quot;citeprocText&quot;:&quot;[33]&quot;,&quot;manualOverrideText&quot;:&quot;&quot;},&quot;citationTag&quot;:&quot;MENDELEY_CITATION_v3_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&quot;,&quot;citationItems&quot;:[{&quot;id&quot;:&quot;073ae328-7e44-356d-95d9-51cc9ef0e1c7&quot;,&quot;itemData&quot;:{&quot;type&quot;:&quot;article-journal&quot;,&quot;id&quot;:&quot;073ae328-7e44-356d-95d9-51cc9ef0e1c7&quot;,&quot;title&quot;:&quot;Proposed Nutrient Standards for Plant-Based Beverages Intended as Milk Alternatives&quot;,&quot;author&quot;:[{&quot;family&quot;:&quot;Drewnowski&quot;,&quot;given&quot;:&quot;Adam&quot;,&quot;parse-names&quot;:false,&quot;dropping-particle&quot;:&quot;&quot;,&quot;non-dropping-particle&quot;:&quot;&quot;},{&quot;family&quot;:&quot;Henry&quot;,&quot;given&quot;:&quot;Christiani Jeyakumar&quot;,&quot;parse-names&quot;:false,&quot;dropping-particle&quot;:&quot;&quot;,&quot;non-dropping-particle&quot;:&quot;&quot;},{&quot;family&quot;:&quot;Dwyer&quot;,&quot;given&quot;:&quot;Johanna T.&quot;,&quot;parse-names&quot;:false,&quot;dropping-particle&quot;:&quot;&quot;,&quot;non-dropping-particle&quot;:&quot;&quot;}],&quot;container-title&quot;:&quot;Frontiers in Nutrition&quot;,&quot;container-title-short&quot;:&quot;Front Nutr&quot;,&quot;accessed&quot;:{&quot;date-parts&quot;:[[2023,9,11]]},&quot;DOI&quot;:&quot;10.3389/FNUT.2021.761442&quot;,&quot;ISSN&quot;:&quot;2296861X&quot;,&quot;PMID&quot;:&quot;34746213&quot;,&quot;URL&quot;:&quot;/pmc/articles/PMC8564006/&quot;,&quot;issued&quot;:{&quot;date-parts&quot;:[[2021,10,20]]},&quot;page&quot;:&quot;761442&quot;,&quot;abstract&quot;:&quot;Background: Plant-based beverages (PBB) that are marketed as alternatives to cow milk are gaining in popularity worldwide. Nutrient quality of PBB can be highly variable. Objective: To develop a set of voluntary or mandatory nutrient standards for the PBB product category in order to assist innovation and guide product development and reformulation. Methods: The present goal was to develop standards for PBB energy content, minimum protein content and quality, maximum content for added fat, sugar, and salt, and to suggest fortification levels for selected vitamins and minerals. The standards were based on dietary recommendations and guidelines and current practices of federal agencies in the US. Results: The proposed energy and nutrient content for PBB milk alternatives are maximum 85–100 kcal energy per 100 g; a minimum for 2.2/100 g of high-quality protein, low content of saturated fat (&lt;0.75/100 g) and added sugar (5.3–6.25/100 g) and consistent fortification with calcium, vitamins A, D, B-2, and B-12 at levels comparable to those found in cow milk (1%). Ideally, the protein content ought to be increased (2.8/100 g) and added sugar content reduced even further (2.7–3.1/100 g) for “best of class” products. These proposed standards were applied to the 641 existing PBB products listed in the 2018 version of the USDA Branded Food Products Database (BFPDB). The standards were met by &lt;5% of the PBB on the US market. Conclusion: Often viewed as equivalent to milk in nutritional value, many PBB are often low in protein and are fortified with varying amounts of calcium, and vitamins A and D. Nutrient standards for this category should be adopted by the food industry, by public health regulatory authorities, and by standardization bodies such as the Codex Alimentarius.&quot;,&quot;publisher&quot;:&quot;Frontiers Media SA&quot;,&quot;volume&quot;:&quot;8&quot;},&quot;isTemporary&quot;:false}]},{&quot;citationID&quot;:&quot;MENDELEY_CITATION_543b4632-cdbe-46a8-99c7-d206511c1140&quot;,&quot;properties&quot;:{&quot;noteIndex&quot;:0},&quot;isEdited&quot;:false,&quot;manualOverride&quot;:{&quot;isManuallyOverridden&quot;:false,&quot;citeprocText&quot;:&quot;[34]&quot;,&quot;manualOverrideText&quot;:&quot;&quot;},&quot;citationTag&quot;:&quot;MENDELEY_CITATION_v3_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&quot;,&quot;citationItems&quot;:[{&quot;id&quot;:&quot;2e763311-02ed-3092-822e-630d306f8af3&quot;,&quot;itemData&quot;:{&quot;type&quot;:&quot;report&quot;,&quot;id&quot;:&quot;2e763311-02ed-3092-822e-630d306f8af3&quot;,&quot;title&quot;:&quot;Health effects of the use of non-sugar sweeteners: a systematic review and meta-analysis&quot;,&quot;author&quot;:[{&quot;family&quot;:&quot;World Health Organization&quot;,&quot;given&quot;:&quot;&quot;,&quot;parse-names&quot;:false,&quot;dropping-particle&quot;:&quot;&quot;,&quot;non-dropping-particle&quot;:&quot;&quot;},{&quot;family&quot;:&quot;Magali Rios-Leyvraz&quot;,&quot;given&quot;:&quot;&quot;,&quot;parse-names&quot;:false,&quot;dropping-particle&quot;:&quot;&quot;,&quot;non-dropping-particle&quot;:&quot;&quot;},{&quot;family&quot;:&quot;Jason Montez&quot;,&quot;given&quot;:&quot;&quot;,&quot;parse-names&quot;:false,&quot;dropping-particle&quot;:&quot;&quot;,&quot;non-dropping-particle&quot;:&quot;&quot;}],&quot;issued&quot;:{&quot;date-parts&quot;:[[2022]]},&quot;container-title-short&quot;:&quot;&quot;},&quot;isTemporary&quot;:false}]},{&quot;citationID&quot;:&quot;MENDELEY_CITATION_5133895c-adb6-42b8-a3d6-00352dfa1494&quot;,&quot;properties&quot;:{&quot;noteIndex&quot;:0},&quot;isEdited&quot;:false,&quot;manualOverride&quot;:{&quot;isManuallyOverridden&quot;:false,&quot;citeprocText&quot;:&quot;[9]&quot;,&quot;manualOverrideText&quot;:&quot;&quot;},&quot;citationTag&quot;:&quot;MENDELEY_CITATION_v3_eyJjaXRhdGlvbklEIjoiTUVOREVMRVlfQ0lUQVRJT05fNTEzMzg5NWMtYWRiNi00MmI4LWEzZDYtMDAzNTJkZmExNDk0IiwicHJvcGVydGllcyI6eyJub3RlSW5kZXgiOjB9LCJpc0VkaXRlZCI6ZmFsc2UsIm1hbnVhbE92ZXJyaWRlIjp7ImlzTWFudWFsbHlPdmVycmlkZGVuIjpmYWxzZSwiY2l0ZXByb2NUZXh0IjoiWzl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citationID&quot;:&quot;MENDELEY_CITATION_bff2ee0c-0d04-4dc0-b94e-c44278b7aa1e&quot;,&quot;properties&quot;:{&quot;noteIndex&quot;:0},&quot;isEdited&quot;:false,&quot;manualOverride&quot;:{&quot;isManuallyOverridden&quot;:false,&quot;citeprocText&quot;:&quot;[9]&quot;,&quot;manualOverrideText&quot;:&quot;&quot;},&quot;citationTag&quot;:&quot;MENDELEY_CITATION_v3_eyJjaXRhdGlvbklEIjoiTUVOREVMRVlfQ0lUQVRJT05fYmZmMmVlMGMtMGQwNC00ZGMwLWI5NGUtYzQ0Mjc4YjdhYTFlIiwicHJvcGVydGllcyI6eyJub3RlSW5kZXgiOjB9LCJpc0VkaXRlZCI6ZmFsc2UsIm1hbnVhbE92ZXJyaWRlIjp7ImlzTWFudWFsbHlPdmVycmlkZGVuIjpmYWxzZSwiY2l0ZXByb2NUZXh0IjoiWzl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citationID&quot;:&quot;MENDELEY_CITATION_2007d1d4-b4a2-4ca9-99c8-1ec20a8b63f2&quot;,&quot;properties&quot;:{&quot;noteIndex&quot;:0},&quot;isEdited&quot;:false,&quot;manualOverride&quot;:{&quot;isManuallyOverridden&quot;:false,&quot;citeprocText&quot;:&quot;[9]&quot;,&quot;manualOverrideText&quot;:&quot;&quot;},&quot;citationTag&quot;:&quot;MENDELEY_CITATION_v3_eyJjaXRhdGlvbklEIjoiTUVOREVMRVlfQ0lUQVRJT05fMjAwN2QxZDQtYjRhMi00Y2E5LTk5YzgtMWVjMjBhOGI2M2YyIiwicHJvcGVydGllcyI6eyJub3RlSW5kZXgiOjB9LCJpc0VkaXRlZCI6ZmFsc2UsIm1hbnVhbE92ZXJyaWRlIjp7ImlzTWFudWFsbHlPdmVycmlkZGVuIjpmYWxzZSwiY2l0ZXByb2NUZXh0IjoiWzl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citationID&quot;:&quot;MENDELEY_CITATION_863febcd-c521-4cf8-a6b5-fcad92b1c722&quot;,&quot;properties&quot;:{&quot;noteIndex&quot;:0},&quot;isEdited&quot;:false,&quot;manualOverride&quot;:{&quot;isManuallyOverridden&quot;:false,&quot;citeprocText&quot;:&quot;[9]&quot;,&quot;manualOverrideText&quot;:&quot;&quot;},&quot;citationTag&quot;:&quot;MENDELEY_CITATION_v3_eyJjaXRhdGlvbklEIjoiTUVOREVMRVlfQ0lUQVRJT05fODYzZmViY2QtYzUyMS00Y2Y4LWE2YjUtZmNhZDkyYjFjNzIyIiwicHJvcGVydGllcyI6eyJub3RlSW5kZXgiOjB9LCJpc0VkaXRlZCI6ZmFsc2UsIm1hbnVhbE92ZXJyaWRlIjp7ImlzTWFudWFsbHlPdmVycmlkZGVuIjpmYWxzZSwiY2l0ZXByb2NUZXh0IjoiWzl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citationID&quot;:&quot;MENDELEY_CITATION_816c3259-d9e5-48b9-942c-9bec1a18dbea&quot;,&quot;properties&quot;:{&quot;noteIndex&quot;:0},&quot;isEdited&quot;:false,&quot;manualOverride&quot;:{&quot;isManuallyOverridden&quot;:false,&quot;citeprocText&quot;:&quot;[35]&quot;,&quot;manualOverrideText&quot;:&quot;&quot;},&quot;citationTag&quot;:&quot;MENDELEY_CITATION_v3_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&quot;,&quot;citationItems&quot;:[{&quot;id&quot;:&quot;44f01c0b-150e-3f84-a82c-16dd7f19c1f6&quot;,&quot;itemData&quot;:{&quot;type&quot;:&quot;report&quot;,&quot;id&quot;:&quot;44f01c0b-150e-3f84-a82c-16dd7f19c1f6&quot;,&quot;title&quot;:&quot;Guideline: Sugars intake for adults and children. &quot;,&quot;author&quot;:[{&quot;family&quot;:&quot;World Health Organization&quot;,&quot;given&quot;:&quot;&quot;,&quot;parse-names&quot;:false,&quot;dropping-particle&quot;:&quot;&quot;,&quot;non-dropping-particle&quot;:&quot;&quot;}],&quot;issued&quot;:{&quot;date-parts&quot;:[[2015]]},&quot;publisher-place&quot;:&quot;Geneva&quot;,&quot;container-title-short&quot;:&quot;&quot;},&quot;isTemporary&quot;:false}]},{&quot;citationID&quot;:&quot;MENDELEY_CITATION_bc2183ff-865c-4b4b-a48f-340494027438&quot;,&quot;properties&quot;:{&quot;noteIndex&quot;:0},&quot;isEdited&quot;:false,&quot;manualOverride&quot;:{&quot;isManuallyOverridden&quot;:false,&quot;citeprocText&quot;:&quot;[9]&quot;,&quot;manualOverrideText&quot;:&quot;&quot;},&quot;citationTag&quot;:&quot;MENDELEY_CITATION_v3_eyJjaXRhdGlvbklEIjoiTUVOREVMRVlfQ0lUQVRJT05fYmMyMTgzZmYtODY1Yy00YjRiLWE0OGYtMzQwNDk0MDI3NDM4IiwicHJvcGVydGllcyI6eyJub3RlSW5kZXgiOjB9LCJpc0VkaXRlZCI6ZmFsc2UsIm1hbnVhbE92ZXJyaWRlIjp7ImlzTWFudWFsbHlPdmVycmlkZGVuIjpmYWxzZSwiY2l0ZXByb2NUZXh0IjoiWzl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citationID&quot;:&quot;MENDELEY_CITATION_75bdac23-882b-4e1f-ae26-af44a3142354&quot;,&quot;properties&quot;:{&quot;noteIndex&quot;:0},&quot;isEdited&quot;:false,&quot;manualOverride&quot;:{&quot;isManuallyOverridden&quot;:false,&quot;citeprocText&quot;:&quot;[30]&quot;,&quot;manualOverrideText&quot;:&quot;&quot;},&quot;citationTag&quot;:&quot;MENDELEY_CITATION_v3_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&quot;,&quot;citationItems&quot;:[{&quot;id&quot;:&quot;23f126bc-bd20-38ec-a193-d9c3b9eb7606&quot;,&quot;itemData&quot;:{&quot;type&quot;:&quot;report&quot;,&quot;id&quot;:&quot;23f126bc-bd20-38ec-a193-d9c3b9eb7606&quot;,&quot;title&quot;:&quot;Guideline: Sodium intake for adults and children&quot;,&quot;author&quot;:[{&quot;family&quot;:&quot;World Health Organization&quot;,&quot;given&quot;:&quot;&quot;,&quot;parse-names&quot;:false,&quot;dropping-particle&quot;:&quot;&quot;,&quot;non-dropping-particle&quot;:&quot;&quot;}],&quot;issued&quot;:{&quot;date-parts&quot;:[[2012]]},&quot;publisher-place&quot;:&quot;Geneva&quot;,&quot;container-title-short&quot;:&quot;&quot;},&quot;isTemporary&quot;:false}]},{&quot;citationID&quot;:&quot;MENDELEY_CITATION_6c6003bb-dfdf-470a-94d3-6da2c651d8d6&quot;,&quot;properties&quot;:{&quot;noteIndex&quot;:0},&quot;isEdited&quot;:false,&quot;manualOverride&quot;:{&quot;isManuallyOverridden&quot;:false,&quot;citeprocText&quot;:&quot;[12]&quot;,&quot;manualOverrideText&quot;:&quot;&quot;},&quot;citationTag&quot;:&quot;MENDELEY_CITATION_v3_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&quot;,&quot;citationItems&quot;:[{&quot;id&quot;:&quot;56b55f8f-4319-3346-8ec9-8c98646e7332&quot;,&quot;itemData&quot;:{&quot;type&quot;:&quot;article-journal&quot;,&quot;id&quot;:&quot;56b55f8f-4319-3346-8ec9-8c98646e7332&quot;,&quot;title&quot;:&quot;Development of the Healthy Eating Index-2005&quot;,&quot;author&quot;:[{&quot;family&quot;:&quot;Guenther&quot;,&quot;given&quot;:&quot;Patricia M.&quot;,&quot;parse-names&quot;:false,&quot;dropping-particle&quot;:&quot;&quot;,&quot;non-dropping-particle&quot;:&quot;&quot;},{&quot;family&quot;:&quot;Reedy&quot;,&quot;given&quot;:&quot;Jill&quot;,&quot;parse-names&quot;:false,&quot;dropping-particle&quot;:&quot;&quot;,&quot;non-dropping-particle&quot;:&quot;&quot;},{&quot;family&quot;:&quot;Krebs-Smith&quot;,&quot;given&quot;:&quot;Susan M.&quot;,&quot;parse-names&quot;:false,&quot;dropping-particle&quot;:&quot;&quot;,&quot;non-dropping-particle&quot;:&quot;&quot;}],&quot;container-title&quot;:&quot;Journal of the American Dietetic Association&quot;,&quot;container-title-short&quot;:&quot;J Am Diet Assoc&quot;,&quot;DOI&quot;:&quot;10.1016/j.jada.2008.08.016&quot;,&quot;ISSN&quot;:&quot;00028223&quot;,&quot;PMID&quot;:&quot;18954580&quot;,&quot;issued&quot;:{&quot;date-parts&quot;:[[2008,11]]},&quot;page&quot;:&quot;1896-1901&quot;,&quot;abstract&quot;:&quot;The Healthy Eating Index (HEI) is a measure of diet quality as specified by Federal dietary guidance, and publication of the Dietary Guidelines for Americans 2005 necessitated its revision. An interagency working group based the HEI-2005 on the food patterns found in MyPyramid. Diets that meet the least restrictive of the food-group recommendations, expressed on a per 1,000 calorie basis, receive maximum scores for the nine adequacy components of the index: total fruit (5 points), whole fruit (5 points), total vegetables (5 points), dark green and orange vegetables and legumes (5 points), total grains (5 points), whole grains (5 points), milk (10 points), meat and beans (10 points), and oils (10 points). Lesser amounts are prorated linearly. Population probability densities were examined when setting the standards for minimum and maximum scores for the three moderation components: saturated fat (10 points), sodium (10 points), and calories from solid fats, alcoholic beverages (ie, beer, wine, and distilled spirits), and added sugars (20 points). Calories from solid fats, alcoholic beverages, and added sugars is a proxy for the discretionary calorie allowance. The 2005 Dietary Guideline for saturated fat and the Adequate Intake and Tolerable Upper Intake Level for sodium, expressed per 1,000 calories, were used when setting the standards for those components. Intakes between the maximum and minimum standards are prorated. The HEI-2005 is a measure of diet quality as described by the key diet-related recommendations of the 2005 Dietary Guidelines. It has a variety of potential uses, including monitoring the diet quality of the US population and subpopulations, evaluation of interventions, and research.&quot;,&quot;issue&quot;:&quot;11&quot;,&quot;volume&quot;:&quot;108&quot;},&quot;isTemporary&quot;:false}]},{&quot;citationID&quot;:&quot;MENDELEY_CITATION_8273136c-7a48-4954-b52d-644e23fc7e33&quot;,&quot;properties&quot;:{&quot;noteIndex&quot;:0},&quot;isEdited&quot;:false,&quot;manualOverride&quot;:{&quot;isManuallyOverridden&quot;:false,&quot;citeprocText&quot;:&quot;[17]&quot;,&quot;manualOverrideText&quot;:&quot;&quot;},&quot;citationTag&quot;:&quot;MENDELEY_CITATION_v3_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&quot;,&quot;citationItems&quot;:[{&quot;id&quot;:&quot;7a975c93-31fd-3214-a7e8-29ed9d942ffc&quot;,&quot;itemData&quot;:{&quot;type&quot;:&quot;article-journal&quot;,&quot;id&quot;:&quot;7a975c93-31fd-3214-a7e8-29ed9d942ffc&quot;,&quot;title&quot;:&quot;The development of a chinese healthy eating index and its application in the general population&quot;,&quot;author&quot;:[{&quot;family&quot;:&quot;Yuan&quot;,&quot;given&quot;:&quot;Ya Qun&quot;,&quot;parse-names&quot;:false,&quot;dropping-particle&quot;:&quot;&quot;,&quot;non-dropping-particle&quot;:&quot;&quot;},{&quot;family&quot;:&quot;Li&quot;,&quot;given&quot;:&quot;Fan&quot;,&quot;parse-names&quot;:false,&quot;dropping-particle&quot;:&quot;&quot;,&quot;non-dropping-particle&quot;:&quot;&quot;},{&quot;family&quot;:&quot;Dong&quot;,&quot;given&quot;:&quot;Rui Hua&quot;,&quot;parse-names&quot;:false,&quot;dropping-particle&quot;:&quot;&quot;,&quot;non-dropping-particle&quot;:&quot;&quot;},{&quot;family&quot;:&quot;Chen&quot;,&quot;given&quot;:&quot;Jing Si&quot;,&quot;parse-names&quot;:false,&quot;dropping-particle&quot;:&quot;&quot;,&quot;non-dropping-particle&quot;:&quot;&quot;},{&quot;family&quot;:&quot;He&quot;,&quot;given&quot;:&quot;Geng Sheng&quot;,&quot;parse-names&quot;:false,&quot;dropping-particle&quot;:&quot;&quot;,&quot;non-dropping-particle&quot;:&quot;&quot;},{&quot;family&quot;:&quot;Li&quot;,&quot;given&quot;:&quot;Shu Guang&quot;,&quot;parse-names&quot;:false,&quot;dropping-particle&quot;:&quot;&quot;,&quot;non-dropping-particle&quot;:&quot;&quot;},{&quot;family&quot;:&quot;Chen&quot;,&quot;given&quot;:&quot;Bo&quot;,&quot;parse-names&quot;:false,&quot;dropping-particle&quot;:&quot;&quot;,&quot;non-dropping-particle&quot;:&quot;&quot;}],&quot;container-title&quot;:&quot;Nutrients&quot;,&quot;container-title-short&quot;:&quot;Nutrients&quot;,&quot;DOI&quot;:&quot;10.3390/nu9090977&quot;,&quot;ISSN&quot;:&quot;20726643&quot;,&quot;PMID&quot;:&quot;28872591&quot;,&quot;issued&quot;:{&quot;date-parts&quot;:[[2017,9,1]]},&quot;page&quot;:&quot;1-18&quot;,&quot;abstract&quot;:&quot;The objective of this study was to develop a Chinese Healthy Eating Index (CHEI) based on the updated Dietary Guidelines for Chinese (DGC-2016) and to apply it in the 2011 China Health and Nutrition Survey (CHNS-2011) to assess diet quality and its association with typical sociodemographic/economic factors. Data from 14, 584 participants (≥2 years) from the CHNS-2011, including three 24-h dietary recalls and additional variables, were used to develop the CHEI. The standard portion size was applied to quantify food consumption. The CHEI was designed as a continuous scoring system, comprising 17 components; the maximum total score is 100. The mean, 1st and 99th percentiles of the CHEI score were 52.4, 27.6 and 78.3, respectively. Young and middle-aged adults scored better than the elderly. Diet insufficiency was chiefly manifested in fruits, dairy, whole grains and poultry; diet excess was mainly reflected in red meat, cooking oils and sodium. The CHEI was positively associated with education and urbanization levels; current smokers and unmarried people obtained relative low CHEI scores. Occupation and body mass index (BMI) were also related to the CHEI. Our findings indicate that the CHEI is capable of recognizing differences in diet quality among the Chinese, and it is sensitive to typical sociodemographic/economic factors.&quot;,&quot;publisher&quot;:&quot;MDPI AG&quot;,&quot;issue&quot;:&quot;9&quot;,&quot;volume&quot;:&quot;9&quot;},&quot;isTemporary&quot;:false}]},{&quot;citationID&quot;:&quot;MENDELEY_CITATION_af5fe846-d7c9-4a64-9e5e-3c0f6a7c40d1&quot;,&quot;properties&quot;:{&quot;noteIndex&quot;:0},&quot;isEdited&quot;:false,&quot;manualOverride&quot;:{&quot;isManuallyOverridden&quot;:false,&quot;citeprocText&quot;:&quot;[36]&quot;,&quot;manualOverrideText&quot;:&quot;&quot;},&quot;citationTag&quot;:&quot;MENDELEY_CITATION_v3_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&quot;,&quot;citationItems&quot;:[{&quot;id&quot;:&quot;12d91c37-5790-32f1-bc9d-59773a4b35bd&quot;,&quot;itemData&quot;:{&quot;type&quot;:&quot;article-journal&quot;,&quot;id&quot;:&quot;12d91c37-5790-32f1-bc9d-59773a4b35bd&quot;,&quot;title&quot;:&quot;Diet quality indices for research in low- and middle-income countries: a systematic review&quot;,&quot;author&quot;:[{&quot;family&quot;:&quot;Trijsburg&quot;,&quot;given&quot;:&quot;Laura&quot;,&quot;parse-names&quot;:false,&quot;dropping-particle&quot;:&quot;&quot;,&quot;non-dropping-particle&quot;:&quot;&quot;},{&quot;family&quot;:&quot;Talsma&quot;,&quot;given&quot;:&quot;Elise F&quot;,&quot;parse-names&quot;:false,&quot;dropping-particle&quot;:&quot;&quot;,&quot;non-dropping-particle&quot;:&quot;&quot;},{&quot;family&quot;:&quot;Vries&quot;,&quot;given&quot;:&quot;Jeanne H M&quot;,&quot;parse-names&quot;:false,&quot;dropping-particle&quot;:&quot;&quot;,&quot;non-dropping-particle&quot;:&quot;de&quot;},{&quot;family&quot;:&quot;Kennedy&quot;,&quot;given&quot;:&quot;Gina&quot;,&quot;parse-names&quot;:false,&quot;dropping-particle&quot;:&quot;&quot;,&quot;non-dropping-particle&quot;:&quot;&quot;},{&quot;family&quot;:&quot;Kuijsten&quot;,&quot;given&quot;:&quot;Anneleen&quot;,&quot;parse-names&quot;:false,&quot;dropping-particle&quot;:&quot;&quot;,&quot;non-dropping-particle&quot;:&quot;&quot;},{&quot;family&quot;:&quot;Brouwer&quot;,&quot;given&quot;:&quot;Inge D&quot;,&quot;parse-names&quot;:false,&quot;dropping-particle&quot;:&quot;&quot;,&quot;non-dropping-particle&quot;:&quot;&quot;}],&quot;container-title&quot;:&quot;Nutrition Reviews&quot;,&quot;container-title-short&quot;:&quot;Nutr Rev&quot;,&quot;DOI&quot;:&quot;10.1093/nutrit/nuz017&quot;,&quot;ISSN&quot;:&quot;0029-6643&quot;,&quot;issued&quot;:{&quot;date-parts&quot;:[[2019,8,1]]},&quot;page&quot;:&quot;515-540&quot;,&quot;issue&quot;:&quot;8&quot;,&quot;volume&quot;:&quot;77&quot;},&quot;isTemporary&quot;:false}]},{&quot;citationID&quot;:&quot;MENDELEY_CITATION_daecde0e-7a3c-4cc1-9e11-6fdccd08b409&quot;,&quot;properties&quot;:{&quot;noteIndex&quot;:0},&quot;isEdited&quot;:false,&quot;manualOverride&quot;:{&quot;isManuallyOverridden&quot;:false,&quot;citeprocText&quot;:&quot;[16, 31, 37, 38]&quot;,&quot;manualOverrideText&quot;:&quot;&quot;},&quot;citationTag&quot;:&quot;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&quot;,&quot;citationItems&quot;:[{&quot;id&quot;:&quot;5432e0f4-2628-3665-b85e-5b65df481189&quot;,&quot;itemData&quot;:{&quot;type&quot;:&quot;article-journal&quot;,&quot;id&quot;:&quot;5432e0f4-2628-3665-b85e-5b65df481189&quot;,&quot;title&quot;:&quot;Development of the Healthy Eating Food Index (HEFI)-2019 measuring adherence to Canada’s Food Guide 2019 recommendations on healthy food choices1&quot;,&quot;author&quot;:[{&quot;family&quot;:&quot;Brassard&quot;,&quot;given&quot;:&quot;Didier&quot;,&quot;parse-names&quot;:false,&quot;dropping-particle&quot;:&quot;&quot;,&quot;non-dropping-particle&quot;:&quot;&quot;},{&quot;family&quot;:&quot;Munene&quot;,&quot;given&quot;:&quot;Lisa Anne Elvidge&quot;,&quot;parse-names&quot;:false,&quot;dropping-particle&quot;:&quot;&quot;,&quot;non-dropping-particle&quot;:&quot;&quot;},{&quot;family&quot;:&quot;St-Pierre&quot;,&quot;given&quot;:&quot;Sylvie&quot;,&quot;parse-names&quot;:false,&quot;dropping-particle&quot;:&quot;&quot;,&quot;non-dropping-particle&quot;:&quot;&quot;},{&quot;family&quot;:&quot;Guenther&quot;,&quot;given&quot;:&quot;Patricia M.&quot;,&quot;parse-names&quot;:false,&quot;dropping-particle&quot;:&quot;&quot;,&quot;non-dropping-particle&quot;:&quot;&quot;},{&quot;family&quot;:&quot;Kirkpatrick&quot;,&quot;given&quot;:&quot;Sharon I.&quot;,&quot;parse-names&quot;:false,&quot;dropping-particle&quot;:&quot;&quot;,&quot;non-dropping-particle&quot;:&quot;&quot;},{&quot;family&quot;:&quot;Slater&quot;,&quot;given&quot;:&quot;Joyce&quot;,&quot;parse-names&quot;:false,&quot;dropping-particle&quot;:&quot;&quot;,&quot;non-dropping-particle&quot;:&quot;&quot;},{&quot;family&quot;:&quot;Lemieux&quot;,&quot;given&quot;:&quot;Simone&quot;,&quot;parse-names&quot;:false,&quot;dropping-particle&quot;:&quot;&quot;,&quot;non-dropping-particle&quot;:&quot;&quot;},{&quot;family&quot;:&quot;Jessri&quot;,&quot;given&quot;:&quot;Mahsa&quot;,&quot;parse-names&quot;:false,&quot;dropping-particle&quot;:&quot;&quot;,&quot;non-dropping-particle&quot;:&quot;&quot;},{&quot;family&quot;:&quot;Haines&quot;,&quot;given&quot;:&quot;Jess&quot;,&quot;parse-names&quot;:false,&quot;dropping-particle&quot;:&quot;&quot;,&quot;non-dropping-particle&quot;:&quot;&quot;},{&quot;family&quot;:&quot;Prowse&quot;,&quot;given&quot;:&quot;Rachel&quot;,&quot;parse-names&quot;:false,&quot;dropping-particle&quot;:&quot;&quot;,&quot;non-dropping-particle&quot;:&quot;&quot;},{&quot;family&quot;:&quot;Olstad&quot;,&quot;given&quot;:&quot;Dana Lee&quot;,&quot;parse-names&quot;:false,&quot;dropping-particle&quot;:&quot;&quot;,&quot;non-dropping-particle&quot;:&quot;&quot;},{&quot;family&quot;:&quot;Garriguet&quot;,&quot;given&quot;:&quot;Didier&quot;,&quot;parse-names&quot;:false,&quot;dropping-particle&quot;:&quot;&quot;,&quot;non-dropping-particle&quot;:&quot;&quot;},{&quot;family&quot;:&quot;Vena&quot;,&quot;given&quot;:&quot;Jennifer&quot;,&quot;parse-names&quot;:false,&quot;dropping-particle&quot;:&quot;&quot;,&quot;non-dropping-particle&quot;:&quot;&quot;},{&quot;family&quot;:&quot;Vatanpatast&quot;,&quot;given&quot;:&quot;Hassan&quot;,&quot;parse-names&quot;:false,&quot;dropping-particle&quot;:&quot;&quot;,&quot;non-dropping-particle&quot;:&quot;&quot;},{&quot;family&quot;:&quot;L’abbe&quot;,&quot;given&quot;:&quot;Mary R.&quot;,&quot;parse-names&quot;:false,&quot;dropping-particle&quot;:&quot;&quot;,&quot;non-dropping-particle&quot;:&quot;&quot;},{&quot;family&quot;:&quot;Lamarche&quot;,&quot;given&quot;:&quot;Benoît&quot;,&quot;parse-names&quot;:false,&quot;dropping-particle&quot;:&quot;&quot;,&quot;non-dropping-particle&quot;:&quot;&quot;}],&quot;container-title&quot;:&quot;Applied Physiology, Nutrition and Metabolism&quot;,&quot;DOI&quot;:&quot;10.1139/apnm-2021-0415&quot;,&quot;ISSN&quot;:&quot;17155320&quot;,&quot;PMID&quot;:&quot;35030038&quot;,&quot;issued&quot;:{&quot;date-parts&quot;:[[2022]]},&quot;page&quot;:&quot;595-610&quot;,&quot;abstract&quot;:&quot;The release of Canada’s Food Guide (CFG) in 2019 by Health Canada prompted the development of indices to measure adherence to these updated dietary recommendations for Canadians. This study describes the development and scoring standards of the Healthy Eating Food Index (HEFI-2019), which is intended to measure alignment of eating patterns with CFG-2019 recommendations on food choices among Canadians aged 2 years and older. Alignment with the intent of each key recommendation in the CFG-2019 was the primary principle guiding the development of the HEFI-2019. Additional considerations included previously published indices, data on Canadians’ dietary intakes from the 2015 Canadian Community Health Survey-Nutrition, and expert judgement. The HEFI-2019 includes 10 components: Vegetables and fruits (20 points), Whole-grain foods (5 points), Grain foods ratio (5 points), Protein foods (5 points), Plant-based protein foods (5 points), Beverages (10 points), Fatty acids ratio (5 points), Saturated fats (5 points), Free sugars (10 points), and Sodium (10 points). All components are expressed as ratios (e.g., proportions of total foods, total beverages, or total energy). The HEFI-2019 score has a maximum of 80 points. Potential uses of the HEFI-2019 include research as well as monitoring and surveillance of food choices in population-based surveys. Novelty: • The Healthy Eating Food Index-2019 was developed to measure adherence to the 2019 Canada’s Food Guide recommendations on healthy food choices. • The HEFI-2019 includes 10 components, of which 5 are based on foods, 1 on beverages and 4 on nutrients, for a total of 80 points.&quot;,&quot;publisher&quot;:&quot;Canadian Science Publishing&quot;,&quot;issue&quot;:&quot;5&quot;,&quot;volume&quot;:&quot;47&quot;,&quot;container-title-short&quot;:&quot;&quot;},&quot;isTemporary&quot;:false},{&quot;id&quot;:&quot;d8f3ba54-f864-3485-82bc-7681b8c41440&quot;,&quot;itemData&quot;:{&quot;type&quot;:&quot;article-journal&quot;,&quot;id&quot;:&quot;d8f3ba54-f864-3485-82bc-7681b8c41440&quot;,&quot;title&quot;:&quot;Quality of diet and mortality among Japanese men and women: Japan Public Health Center based prospective study&quot;,&quot;author&quot;:[{&quot;family&quot;:&quot;Kurotani&quot;,&quot;given&quot;:&quot;Kayo&quot;,&quot;parse-names&quot;:false,&quot;dropping-particle&quot;:&quot;&quot;,&quot;non-dropping-particle&quot;:&quot;&quot;},{&quot;family&quot;:&quot;Akter&quot;,&quot;given&quot;:&quot;Shamima&quot;,&quot;parse-names&quot;:false,&quot;dropping-particle&quot;:&quot;&quot;,&quot;non-dropping-particle&quot;:&quot;&quot;},{&quot;family&quot;:&quot;Kashino&quot;,&quot;given&quot;:&quot;Ikuko&quot;,&quot;parse-names&quot;:false,&quot;dropping-particle&quot;:&quot;&quot;,&quot;non-dropping-particle&quot;:&quot;&quot;},{&quot;family&quot;:&quot;Goto&quot;,&quot;given&quot;:&quot;Atsushi&quot;,&quot;parse-names&quot;:false,&quot;dropping-particle&quot;:&quot;&quot;,&quot;non-dropping-particle&quot;:&quot;&quot;},{&quot;family&quot;:&quot;Mizoue&quot;,&quot;given&quot;:&quot;Tetsuya&quot;,&quot;parse-names&quot;:false,&quot;dropping-particle&quot;:&quot;&quot;,&quot;non-dropping-particle&quot;:&quot;&quot;},{&quot;family&quot;:&quot;Noda&quot;,&quot;given&quot;:&quot;Mitsuhiko&quot;,&quot;parse-names&quot;:false,&quot;dropping-particle&quot;:&quot;&quot;,&quot;non-dropping-particle&quot;:&quot;&quot;},{&quot;family&quot;:&quot;Sasazuki&quot;,&quot;given&quot;:&quot;Shizuka&quot;,&quot;parse-names&quot;:false,&quot;dropping-particle&quot;:&quot;&quot;,&quot;non-dropping-particle&quot;:&quot;&quot;},{&quot;family&quot;:&quot;Sawada&quot;,&quot;given&quot;:&quot;Norie&quot;,&quot;parse-names&quot;:false,&quot;dropping-particle&quot;:&quot;&quot;,&quot;non-dropping-particle&quot;:&quot;&quot;},{&quot;family&quot;:&quot;Tsugane&quot;,&quot;given&quot;:&quot;Shoichiro&quot;,&quot;parse-names&quot;:false,&quot;dropping-particle&quot;:&quot;&quot;,&quot;non-dropping-particle&quot;:&quot;&quot;}],&quot;container-title&quot;:&quot;BMJ&quot;,&quot;DOI&quot;:&quot;10.1136/bmj.i1209&quot;,&quot;ISSN&quot;:&quot;1756-1833&quot;,&quot;issued&quot;:{&quot;date-parts&quot;:[[2016,3,22]]},&quot;page&quot;:&quot;i1209&quot;,&quot;container-title-short&quot;:&quot;&quot;},&quot;isTemporary&quot;:false},{&quot;id&quot;:&quot;fc1cf95a-f7a3-3de3-91a4-05c6fcb6429a&quot;,&quot;itemData&quot;:{&quot;type&quot;:&quot;article-journal&quot;,&quot;id&quot;:&quot;fc1cf95a-f7a3-3de3-91a4-05c6fcb6429a&quot;,&quot;title&quot;:&quot;The New Standardized Malaysian Healthy Eating Index&quot;,&quot;author&quot;:[{&quot;family&quot;:&quot;Jailani&quot;,&quot;given&quot;:&quot;Marhamah&quot;,&quot;parse-names&quot;:false,&quot;dropping-particle&quot;:&quot;&quot;,&quot;non-dropping-particle&quot;:&quot;&quot;},{&quot;family&quot;:&quot;Elias&quot;,&quot;given&quot;:&quot;Siti Masitah&quot;,&quot;parse-names&quot;:false,&quot;dropping-particle&quot;:&quot;&quot;,&quot;non-dropping-particle&quot;:&quot;&quot;},{&quot;family&quot;:&quot;Rajikan&quot;,&quot;given&quot;:&quot;Roslee&quot;,&quot;parse-names&quot;:false,&quot;dropping-particle&quot;:&quot;&quot;,&quot;non-dropping-particle&quot;:&quot;&quot;}],&quot;container-title&quot;:&quot;Nutrients&quot;,&quot;container-title-short&quot;:&quot;Nutrients&quot;,&quot;DOI&quot;:&quot;10.3390/nu13103474&quot;,&quot;ISSN&quot;:&quot;2072-6643&quot;,&quot;issued&quot;:{&quot;date-parts&quot;:[[2021,9,30]]},&quot;page&quot;:&quot;3474&quot;,&quot;abstract&quot;:&quot;&lt;p&gt;Healthy Eating Index (HEI) is a diet quality measure that assesses the population’s compliance towards dietary guidelines. In Malaysia, diet quality measure, though existing, has some limitations in terms of application and relevance. This study aims to develop a new standardized Malaysian Healthy Eating Index (S-MHEI) that can measure the diet quality of all Malaysians regardless of their energy requirement level. The Malaysian Dietary Guidelines (MDG) 2010 and MDG for Children and Adolescents (MDGCA) 2013 were used as main references in developing the index components. In addition, the latest Malaysian Adults Nutrition Survey (MANS) and Adolescent Nutrition Survey (ANS) were also referred to ensure the relevance of the components selected. For adequacy components, the least restrictive method was used in setting the standard for the scoring system. Meanwhile, the scoring system for moderation components was built based on the Recommended Nutrient Intake (RNI) 2017. The new S-MHEI comprises of 11 components with a maximum total score of 100. The least restrictive method allowed the index to be used across energy requirement levels. However, the index will not be sensitive towards adhering to the specific recommended amount of intake—which in effect, made the index focus on measuring diet quality rather than diet quantity.&lt;/p&gt;&quot;,&quot;issue&quot;:&quot;10&quot;,&quot;volume&quot;:&quot;13&quot;},&quot;isTemporary&quot;:false},{&quot;id&quot;:&quot;7fdc3b14-8d8f-3291-b731-0d04858c4d03&quot;,&quot;itemData&quot;:{&quot;type&quot;:&quot;article-journal&quot;,&quot;id&quot;:&quot;7fdc3b14-8d8f-3291-b731-0d04858c4d03&quot;,&quot;title&quot;:&quot;Development of the Ethiopian Healthy Eating Index (Et-HEI) and evaluation in women of reproductive age&quot;,&quot;author&quot;:[{&quot;family&quot;:&quot;Bekele&quot;,&quot;given&quot;:&quot;Tesfaye Hailu&quot;,&quot;parse-names&quot;:false,&quot;dropping-particle&quot;:&quot;&quot;,&quot;non-dropping-particle&quot;:&quot;&quot;},{&quot;family&quot;:&quot;Vries&quot;,&quot;given&quot;:&quot;Jeanne H. M.&quot;,&quot;parse-names&quot;:false,&quot;dropping-particle&quot;:&quot;&quot;,&quot;non-dropping-particle&quot;:&quot;de&quot;},{&quot;family&quot;:&quot;Feskens&quot;,&quot;given&quot;:&quot;Edith J. M.&quot;,&quot;parse-names&quot;:false,&quot;dropping-particle&quot;:&quot;&quot;,&quot;non-dropping-particle&quot;:&quot;&quot;},{&quot;family&quot;:&quot;Weijer&quot;,&quot;given&quot;:&quot;Anneloes&quot;,&quot;parse-names&quot;:false,&quot;dropping-particle&quot;:&quot;&quot;,&quot;non-dropping-particle&quot;:&quot;de&quot;},{&quot;family&quot;:&quot;Brouwer&quot;,&quot;given&quot;:&quot;Inge D.&quot;,&quot;parse-names&quot;:false,&quot;dropping-particle&quot;:&quot;&quot;,&quot;non-dropping-particle&quot;:&quot;&quot;},{&quot;family&quot;:&quot;Covic&quot;,&quot;given&quot;:&quot;Namukolo&quot;,&quot;parse-names&quot;:false,&quot;dropping-particle&quot;:&quot;&quot;,&quot;non-dropping-particle&quot;:&quot;&quot;},{&quot;family&quot;:&quot;Trijsburg&quot;,&quot;given&quot;:&quot;Laura&quot;,&quot;parse-names&quot;:false,&quot;dropping-particle&quot;:&quot;&quot;,&quot;non-dropping-particle&quot;:&quot;&quot;}],&quot;container-title&quot;:&quot;Journal of Nutritional Science&quot;,&quot;container-title-short&quot;:&quot;J Nutr Sci&quot;,&quot;DOI&quot;:&quot;10.1017/jns.2022.120&quot;,&quot;ISSN&quot;:&quot;2048-6790&quot;,&quot;issued&quot;:{&quot;date-parts&quot;:[[2023,1,23]]},&quot;page&quot;:&quot;e9&quot;,&quot;abstract&quot;:&quot;&lt;p&gt;Ethiopia announced its first food-based dietary guidelines (FBDGs) on 15 March 2022. The present study aims to develop and evaluate the Ethiopian Healthy Eating Index (Et-HEI) based on the FBDG. Data were collected from 494 Ethiopian women of reproductive age sampled from households in five different regions. The Et-HEI consists of eleven components, and each component was scored between 0 and 10 points, the total score ranging from 0 to 110, with maximum adherence to the FBDG. The Et-HEI score was evaluated against the Minimum Dietary Diversity for Women (MDD-W) and the probability of nutrient adequacy. The average Et-HEI score for women of reproductive age was 49 out of 110. Adherence to the recommendations for grains, vegetables, legumes, fat and oils, salt, sugar and alcohol contributed the most to this score. Most women had low scores for fruits, nuts and seeds, and animal-sourced foods, indicating low intake. The Cronbach's alpha coefficient, indicating the reliability of the Et-HEI to assess its diet quality, was 0⋅53. The low mean Et-HEI score agreed with a low mean score of the MDD-W (3⋅5 out of 10). Also, low nutrient adequacies confirmed poor adherence to nutrient-dense components of the FBDG. The Et-HEI was not associated with the intake of vitamin B12, vitamin C and calcium in this study population. Women who completed secondary school and above had relatively lower Et-HEI scores. The newly developed Et-HEI is able to estimate nutrient adequacy while also assessing adherence to the Ethiopian FBDG though there is room for improvement.&lt;/p&gt;&quot;,&quot;volume&quot;:&quot;12&quot;},&quot;isTemporary&quot;:false}]},{&quot;citationID&quot;:&quot;MENDELEY_CITATION_2b255e6b-e455-4bba-8d43-607b9578f168&quot;,&quot;properties&quot;:{&quot;noteIndex&quot;:0},&quot;isEdited&quot;:false,&quot;manualOverride&quot;:{&quot;isManuallyOverridden&quot;:false,&quot;citeprocText&quot;:&quot;[17]&quot;,&quot;manualOverrideText&quot;:&quot;&quot;},&quot;citationTag&quot;:&quot;MENDELEY_CITATION_v3_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&quot;,&quot;citationItems&quot;:[{&quot;id&quot;:&quot;7a975c93-31fd-3214-a7e8-29ed9d942ffc&quot;,&quot;itemData&quot;:{&quot;type&quot;:&quot;article-journal&quot;,&quot;id&quot;:&quot;7a975c93-31fd-3214-a7e8-29ed9d942ffc&quot;,&quot;title&quot;:&quot;The development of a chinese healthy eating index and its application in the general population&quot;,&quot;author&quot;:[{&quot;family&quot;:&quot;Yuan&quot;,&quot;given&quot;:&quot;Ya Qun&quot;,&quot;parse-names&quot;:false,&quot;dropping-particle&quot;:&quot;&quot;,&quot;non-dropping-particle&quot;:&quot;&quot;},{&quot;family&quot;:&quot;Li&quot;,&quot;given&quot;:&quot;Fan&quot;,&quot;parse-names&quot;:false,&quot;dropping-particle&quot;:&quot;&quot;,&quot;non-dropping-particle&quot;:&quot;&quot;},{&quot;family&quot;:&quot;Dong&quot;,&quot;given&quot;:&quot;Rui Hua&quot;,&quot;parse-names&quot;:false,&quot;dropping-particle&quot;:&quot;&quot;,&quot;non-dropping-particle&quot;:&quot;&quot;},{&quot;family&quot;:&quot;Chen&quot;,&quot;given&quot;:&quot;Jing Si&quot;,&quot;parse-names&quot;:false,&quot;dropping-particle&quot;:&quot;&quot;,&quot;non-dropping-particle&quot;:&quot;&quot;},{&quot;family&quot;:&quot;He&quot;,&quot;given&quot;:&quot;Geng Sheng&quot;,&quot;parse-names&quot;:false,&quot;dropping-particle&quot;:&quot;&quot;,&quot;non-dropping-particle&quot;:&quot;&quot;},{&quot;family&quot;:&quot;Li&quot;,&quot;given&quot;:&quot;Shu Guang&quot;,&quot;parse-names&quot;:false,&quot;dropping-particle&quot;:&quot;&quot;,&quot;non-dropping-particle&quot;:&quot;&quot;},{&quot;family&quot;:&quot;Chen&quot;,&quot;given&quot;:&quot;Bo&quot;,&quot;parse-names&quot;:false,&quot;dropping-particle&quot;:&quot;&quot;,&quot;non-dropping-particle&quot;:&quot;&quot;}],&quot;container-title&quot;:&quot;Nutrients&quot;,&quot;container-title-short&quot;:&quot;Nutrients&quot;,&quot;DOI&quot;:&quot;10.3390/nu9090977&quot;,&quot;ISSN&quot;:&quot;20726643&quot;,&quot;PMID&quot;:&quot;28872591&quot;,&quot;issued&quot;:{&quot;date-parts&quot;:[[2017,9,1]]},&quot;page&quot;:&quot;1-18&quot;,&quot;abstract&quot;:&quot;The objective of this study was to develop a Chinese Healthy Eating Index (CHEI) based on the updated Dietary Guidelines for Chinese (DGC-2016) and to apply it in the 2011 China Health and Nutrition Survey (CHNS-2011) to assess diet quality and its association with typical sociodemographic/economic factors. Data from 14, 584 participants (≥2 years) from the CHNS-2011, including three 24-h dietary recalls and additional variables, were used to develop the CHEI. The standard portion size was applied to quantify food consumption. The CHEI was designed as a continuous scoring system, comprising 17 components; the maximum total score is 100. The mean, 1st and 99th percentiles of the CHEI score were 52.4, 27.6 and 78.3, respectively. Young and middle-aged adults scored better than the elderly. Diet insufficiency was chiefly manifested in fruits, dairy, whole grains and poultry; diet excess was mainly reflected in red meat, cooking oils and sodium. The CHEI was positively associated with education and urbanization levels; current smokers and unmarried people obtained relative low CHEI scores. Occupation and body mass index (BMI) were also related to the CHEI. Our findings indicate that the CHEI is capable of recognizing differences in diet quality among the Chinese, and it is sensitive to typical sociodemographic/economic factors.&quot;,&quot;publisher&quot;:&quot;MDPI AG&quot;,&quot;issue&quot;:&quot;9&quot;,&quot;volume&quot;:&quot;9&quot;},&quot;isTemporary&quot;:false}]},{&quot;citationID&quot;:&quot;MENDELEY_CITATION_d724443a-fef5-444b-a3bf-8dff10c35af0&quot;,&quot;properties&quot;:{&quot;noteIndex&quot;:0},&quot;isEdited&quot;:false,&quot;manualOverride&quot;:{&quot;isManuallyOverridden&quot;:false,&quot;citeprocText&quot;:&quot;[39]&quot;,&quot;manualOverrideText&quot;:&quot;&quot;},&quot;citationTag&quot;:&quot;MENDELEY_CITATION_v3_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&quot;,&quot;citationItems&quot;:[{&quot;id&quot;:&quot;fbeb83bc-3acf-344a-861d-164adc2ebd80&quot;,&quot;itemData&quot;:{&quot;type&quot;:&quot;article-journal&quot;,&quot;id&quot;:&quot;fbeb83bc-3acf-344a-861d-164adc2ebd80&quot;,&quot;title&quot;:&quot;Healthy Eating Index: Evidence from India&quot;,&quot;author&quot;:[{&quot;family&quot;:&quot;Das&quot;,&quot;given&quot;:&quot;Mousumi&quot;,&quot;parse-names&quot;:false,&quot;dropping-particle&quot;:&quot;&quot;,&quot;non-dropping-particle&quot;:&quot;&quot;}],&quot;container-title&quot;:&quot;SSRN Electronic Journal&quot;,&quot;DOI&quot;:&quot;10.2139/ssrn.2571173&quot;,&quot;ISSN&quot;:&quot;1556-5068&quot;,&quot;issued&quot;:{&quot;date-parts&quot;:[[2015]]},&quot;container-title-short&quot;:&quot;&quot;},&quot;isTemporary&quot;:false}]},{&quot;citationID&quot;:&quot;MENDELEY_CITATION_2acb5054-fc50-4145-8092-07c992adc78c&quot;,&quot;properties&quot;:{&quot;noteIndex&quot;:0},&quot;isEdited&quot;:false,&quot;manualOverride&quot;:{&quot;isManuallyOverridden&quot;:false,&quot;citeprocText&quot;:&quot;[15, 17, 40]&quot;,&quot;manualOverrideText&quot;:&quot;&quot;},&quot;citationTag&quot;:&quot;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&quot;,&quot;citationItems&quot;:[{&quot;id&quot;:&quot;91783481-ae12-3281-9a5e-90a596e57029&quot;,&quot;itemData&quot;:{&quot;type&quot;:&quot;article-journal&quot;,&quot;id&quot;:&quot;91783481-ae12-3281-9a5e-90a596e57029&quot;,&quot;title&quot;:&quot;Evaluation of the reliability and validity of the Brazilian Healthy Eating Index Revised.&quot;,&quot;author&quot;:[{&quot;family&quot;:&quot;Andrade&quot;,&quot;given&quot;:&quot;Samantha Caesar&quot;,&quot;parse-names&quot;:false,&quot;dropping-particle&quot;:&quot;de&quot;,&quot;non-dropping-particle&quot;:&quot;&quot;},{&quot;family&quot;:&quot;Previdelli&quot;,&quot;given&quot;:&quot;Ágatha Nogueira&quot;,&quot;parse-names&quot;:false,&quot;dropping-particle&quot;:&quot;&quot;,&quot;non-dropping-particle&quot;:&quot;&quot;},{&quot;family&quot;:&quot;Marchioni&quot;,&quot;given&quot;:&quot;Dirce Maria Lobo&quot;,&quot;parse-names&quot;:false,&quot;dropping-particle&quot;:&quot;&quot;,&quot;non-dropping-particle&quot;:&quot;&quot;},{&quot;family&quot;:&quot;Fisberg&quot;,&quot;given&quot;:&quot;Regina Mara&quot;,&quot;parse-names&quot;:false,&quot;dropping-particle&quot;:&quot;&quot;,&quot;non-dropping-particle&quot;:&quot;&quot;}],&quot;container-title&quot;:&quot;Revista de saude publica&quot;,&quot;container-title-short&quot;:&quot;Rev Saude Publica&quot;,&quot;DOI&quot;:&quot;10.1590/S0034-8910.2013047004267&quot;,&quot;ISSN&quot;:&quot;1518-8787&quot;,&quot;PMID&quot;:&quot;24346677&quot;,&quot;issued&quot;:{&quot;date-parts&quot;:[[2013,8]]},&quot;page&quot;:&quot;675-83&quot;,&quot;abstract&quot;:&quot;OBJECTIVE Evaluate validity and reliability of the Brazilian Healthy Eating Index Revised according to the psychometric properties. METHODS Cross-sectional study of a random sample of 2,375 individuals of both sexes, aged 12 or older from the city of São Paulo, Southeastern Brazil, drawn from the Health Survey carried out in 2003. Information on the population characteristics was acquired using a questionnaire. Food intake was obtained using 24h Recall, used to calculate the Brazilian Healthy Eating Index Revised (BHEI-R). The following aspects were evaluated: (1) content validity, by comparing the components with the Dietary Guidelines for the Brazilian Population; (2) construct validity, factor analysis using principal components method and verifying whether the index can measure diet quality regardless of energy intake; (3) discriminating validity; and (4) the reliability of the BHEI-R by analyzing the internal consistency of the items using Cronbach's alpha coefficient. RESULTS The correlations between the component scores and energy intake were weak (r &lt; 0.30). Principal component analysis indicated the presence of four factors with eigenvalues &gt; 1 that represented 67% of the index variance. The discriminating validity of the BHEI-R was observed by comparing the individuals by sex and smoking habit, and identifying statistically significant differences between the means of the components of the BHEI-R and the final score. The Cronbach's alpha value (α = 0.7) indicated the presence of internal consistency between the components of the BHEI-R. The SoFAAS component followed by the total fruit component and whole fruit component presented greater correlation with the final index scores. CONCLUSIONS The Brazilian Healthy Eating Index Revised showed itself to be reliable and structurally valid when used to evaluate and monitor the diet quality of Brazilians.&quot;,&quot;issue&quot;:&quot;4&quot;,&quot;volume&quot;:&quot;47&quot;},&quot;isTemporary&quot;:false},{&quot;id&quot;:&quot;86ea692a-6cf9-36f7-b4a6-7559cc6ac38b&quot;,&quot;itemData&quot;:{&quot;type&quot;:&quot;article-journal&quot;,&quot;id&quot;:&quot;86ea692a-6cf9-36f7-b4a6-7559cc6ac38b&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 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9,1]]},&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publisher&quot;:&quot;Elsevier B.V.&quot;,&quot;issue&quot;:&quot;9&quot;,&quot;volume&quot;:&quot;118&quot;},&quot;isTemporary&quot;:false},{&quot;id&quot;:&quot;7a975c93-31fd-3214-a7e8-29ed9d942ffc&quot;,&quot;itemData&quot;:{&quot;type&quot;:&quot;article-journal&quot;,&quot;id&quot;:&quot;7a975c93-31fd-3214-a7e8-29ed9d942ffc&quot;,&quot;title&quot;:&quot;The development of a chinese healthy eating index and its application in the general population&quot;,&quot;author&quot;:[{&quot;family&quot;:&quot;Yuan&quot;,&quot;given&quot;:&quot;Ya Qun&quot;,&quot;parse-names&quot;:false,&quot;dropping-particle&quot;:&quot;&quot;,&quot;non-dropping-particle&quot;:&quot;&quot;},{&quot;family&quot;:&quot;Li&quot;,&quot;given&quot;:&quot;Fan&quot;,&quot;parse-names&quot;:false,&quot;dropping-particle&quot;:&quot;&quot;,&quot;non-dropping-particle&quot;:&quot;&quot;},{&quot;family&quot;:&quot;Dong&quot;,&quot;given&quot;:&quot;Rui Hua&quot;,&quot;parse-names&quot;:false,&quot;dropping-particle&quot;:&quot;&quot;,&quot;non-dropping-particle&quot;:&quot;&quot;},{&quot;family&quot;:&quot;Chen&quot;,&quot;given&quot;:&quot;Jing Si&quot;,&quot;parse-names&quot;:false,&quot;dropping-particle&quot;:&quot;&quot;,&quot;non-dropping-particle&quot;:&quot;&quot;},{&quot;family&quot;:&quot;He&quot;,&quot;given&quot;:&quot;Geng Sheng&quot;,&quot;parse-names&quot;:false,&quot;dropping-particle&quot;:&quot;&quot;,&quot;non-dropping-particle&quot;:&quot;&quot;},{&quot;family&quot;:&quot;Li&quot;,&quot;given&quot;:&quot;Shu Guang&quot;,&quot;parse-names&quot;:false,&quot;dropping-particle&quot;:&quot;&quot;,&quot;non-dropping-particle&quot;:&quot;&quot;},{&quot;family&quot;:&quot;Chen&quot;,&quot;given&quot;:&quot;Bo&quot;,&quot;parse-names&quot;:false,&quot;dropping-particle&quot;:&quot;&quot;,&quot;non-dropping-particle&quot;:&quot;&quot;}],&quot;container-title&quot;:&quot;Nutrients&quot;,&quot;container-title-short&quot;:&quot;Nutrients&quot;,&quot;DOI&quot;:&quot;10.3390/nu9090977&quot;,&quot;ISSN&quot;:&quot;20726643&quot;,&quot;PMID&quot;:&quot;28872591&quot;,&quot;issued&quot;:{&quot;date-parts&quot;:[[2017,9,1]]},&quot;page&quot;:&quot;1-18&quot;,&quot;abstract&quot;:&quot;The objective of this study was to develop a Chinese Healthy Eating Index (CHEI) based on the updated Dietary Guidelines for Chinese (DGC-2016) and to apply it in the 2011 China Health and Nutrition Survey (CHNS-2011) to assess diet quality and its association with typical sociodemographic/economic factors. Data from 14, 584 participants (≥2 years) from the CHNS-2011, including three 24-h dietary recalls and additional variables, were used to develop the CHEI. The standard portion size was applied to quantify food consumption. The CHEI was designed as a continuous scoring system, comprising 17 components; the maximum total score is 100. The mean, 1st and 99th percentiles of the CHEI score were 52.4, 27.6 and 78.3, respectively. Young and middle-aged adults scored better than the elderly. Diet insufficiency was chiefly manifested in fruits, dairy, whole grains and poultry; diet excess was mainly reflected in red meat, cooking oils and sodium. The CHEI was positively associated with education and urbanization levels; current smokers and unmarried people obtained relative low CHEI scores. Occupation and body mass index (BMI) were also related to the CHEI. Our findings indicate that the CHEI is capable of recognizing differences in diet quality among the Chinese, and it is sensitive to typical sociodemographic/economic factors.&quot;,&quot;publisher&quot;:&quot;MDPI AG&quot;,&quot;issue&quot;:&quot;9&quot;,&quot;volume&quot;:&quot;9&quot;},&quot;isTemporary&quot;:false}]},{&quot;citationID&quot;:&quot;MENDELEY_CITATION_f9d8ea2e-7ff0-4b34-802a-2bfd617ca1df&quot;,&quot;properties&quot;:{&quot;noteIndex&quot;:0},&quot;isEdited&quot;:false,&quot;manualOverride&quot;:{&quot;isManuallyOverridden&quot;:false,&quot;citeprocText&quot;:&quot;[16, 17, 39, 41]&quot;,&quot;manualOverrideText&quot;:&quot;&quot;},&quot;citationTag&quot;:&quot;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&quot;,&quot;citationItems&quot;:[{&quot;id&quot;:&quot;7a975c93-31fd-3214-a7e8-29ed9d942ffc&quot;,&quot;itemData&quot;:{&quot;type&quot;:&quot;article-journal&quot;,&quot;id&quot;:&quot;7a975c93-31fd-3214-a7e8-29ed9d942ffc&quot;,&quot;title&quot;:&quot;The development of a chinese healthy eating index and its application in the general population&quot;,&quot;author&quot;:[{&quot;family&quot;:&quot;Yuan&quot;,&quot;given&quot;:&quot;Ya Qun&quot;,&quot;parse-names&quot;:false,&quot;dropping-particle&quot;:&quot;&quot;,&quot;non-dropping-particle&quot;:&quot;&quot;},{&quot;family&quot;:&quot;Li&quot;,&quot;given&quot;:&quot;Fan&quot;,&quot;parse-names&quot;:false,&quot;dropping-particle&quot;:&quot;&quot;,&quot;non-dropping-particle&quot;:&quot;&quot;},{&quot;family&quot;:&quot;Dong&quot;,&quot;given&quot;:&quot;Rui Hua&quot;,&quot;parse-names&quot;:false,&quot;dropping-particle&quot;:&quot;&quot;,&quot;non-dropping-particle&quot;:&quot;&quot;},{&quot;family&quot;:&quot;Chen&quot;,&quot;given&quot;:&quot;Jing Si&quot;,&quot;parse-names&quot;:false,&quot;dropping-particle&quot;:&quot;&quot;,&quot;non-dropping-particle&quot;:&quot;&quot;},{&quot;family&quot;:&quot;He&quot;,&quot;given&quot;:&quot;Geng Sheng&quot;,&quot;parse-names&quot;:false,&quot;dropping-particle&quot;:&quot;&quot;,&quot;non-dropping-particle&quot;:&quot;&quot;},{&quot;family&quot;:&quot;Li&quot;,&quot;given&quot;:&quot;Shu Guang&quot;,&quot;parse-names&quot;:false,&quot;dropping-particle&quot;:&quot;&quot;,&quot;non-dropping-particle&quot;:&quot;&quot;},{&quot;family&quot;:&quot;Chen&quot;,&quot;given&quot;:&quot;Bo&quot;,&quot;parse-names&quot;:false,&quot;dropping-particle&quot;:&quot;&quot;,&quot;non-dropping-particle&quot;:&quot;&quot;}],&quot;container-title&quot;:&quot;Nutrients&quot;,&quot;container-title-short&quot;:&quot;Nutrients&quot;,&quot;DOI&quot;:&quot;10.3390/nu9090977&quot;,&quot;ISSN&quot;:&quot;20726643&quot;,&quot;PMID&quot;:&quot;28872591&quot;,&quot;issued&quot;:{&quot;date-parts&quot;:[[2017,9,1]]},&quot;page&quot;:&quot;1-18&quot;,&quot;abstract&quot;:&quot;The objective of this study was to develop a Chinese Healthy Eating Index (CHEI) based on the updated Dietary Guidelines for Chinese (DGC-2016) and to apply it in the 2011 China Health and Nutrition Survey (CHNS-2011) to assess diet quality and its association with typical sociodemographic/economic factors. Data from 14, 584 participants (≥2 years) from the CHNS-2011, including three 24-h dietary recalls and additional variables, were used to develop the CHEI. The standard portion size was applied to quantify food consumption. The CHEI was designed as a continuous scoring system, comprising 17 components; the maximum total score is 100. The mean, 1st and 99th percentiles of the CHEI score were 52.4, 27.6 and 78.3, respectively. Young and middle-aged adults scored better than the elderly. Diet insufficiency was chiefly manifested in fruits, dairy, whole grains and poultry; diet excess was mainly reflected in red meat, cooking oils and sodium. The CHEI was positively associated with education and urbanization levels; current smokers and unmarried people obtained relative low CHEI scores. Occupation and body mass index (BMI) were also related to the CHEI. Our findings indicate that the CHEI is capable of recognizing differences in diet quality among the Chinese, and it is sensitive to typical sociodemographic/economic factors.&quot;,&quot;publisher&quot;:&quot;MDPI AG&quot;,&quot;issue&quot;:&quot;9&quot;,&quot;volume&quot;:&quot;9&quot;},&quot;isTemporary&quot;:false},{&quot;id&quot;:&quot;fc1cf95a-f7a3-3de3-91a4-05c6fcb6429a&quot;,&quot;itemData&quot;:{&quot;type&quot;:&quot;article-journal&quot;,&quot;id&quot;:&quot;fc1cf95a-f7a3-3de3-91a4-05c6fcb6429a&quot;,&quot;title&quot;:&quot;The New Standardized Malaysian Healthy Eating Index&quot;,&quot;author&quot;:[{&quot;family&quot;:&quot;Jailani&quot;,&quot;given&quot;:&quot;Marhamah&quot;,&quot;parse-names&quot;:false,&quot;dropping-particle&quot;:&quot;&quot;,&quot;non-dropping-particle&quot;:&quot;&quot;},{&quot;family&quot;:&quot;Elias&quot;,&quot;given&quot;:&quot;Siti Masitah&quot;,&quot;parse-names&quot;:false,&quot;dropping-particle&quot;:&quot;&quot;,&quot;non-dropping-particle&quot;:&quot;&quot;},{&quot;family&quot;:&quot;Rajikan&quot;,&quot;given&quot;:&quot;Roslee&quot;,&quot;parse-names&quot;:false,&quot;dropping-particle&quot;:&quot;&quot;,&quot;non-dropping-particle&quot;:&quot;&quot;}],&quot;container-title&quot;:&quot;Nutrients&quot;,&quot;container-title-short&quot;:&quot;Nutrients&quot;,&quot;DOI&quot;:&quot;10.3390/nu13103474&quot;,&quot;ISSN&quot;:&quot;2072-6643&quot;,&quot;issued&quot;:{&quot;date-parts&quot;:[[2021,9,30]]},&quot;page&quot;:&quot;3474&quot;,&quot;abstract&quot;:&quot;&lt;p&gt;Healthy Eating Index (HEI) is a diet quality measure that assesses the population’s compliance towards dietary guidelines. In Malaysia, diet quality measure, though existing, has some limitations in terms of application and relevance. This study aims to develop a new standardized Malaysian Healthy Eating Index (S-MHEI) that can measure the diet quality of all Malaysians regardless of their energy requirement level. The Malaysian Dietary Guidelines (MDG) 2010 and MDG for Children and Adolescents (MDGCA) 2013 were used as main references in developing the index components. In addition, the latest Malaysian Adults Nutrition Survey (MANS) and Adolescent Nutrition Survey (ANS) were also referred to ensure the relevance of the components selected. For adequacy components, the least restrictive method was used in setting the standard for the scoring system. Meanwhile, the scoring system for moderation components was built based on the Recommended Nutrient Intake (RNI) 2017. The new S-MHEI comprises of 11 components with a maximum total score of 100. The least restrictive method allowed the index to be used across energy requirement levels. However, the index will not be sensitive towards adhering to the specific recommended amount of intake—which in effect, made the index focus on measuring diet quality rather than diet quantity.&lt;/p&gt;&quot;,&quot;issue&quot;:&quot;10&quot;,&quot;volume&quot;:&quot;13&quot;},&quot;isTemporary&quot;:false},{&quot;id&quot;:&quot;58b52c43-b338-34b8-9197-0341fc907425&quot;,&quot;itemData&quot;:{&quot;type&quot;:&quot;article-journal&quot;,&quot;id&quot;:&quot;58b52c43-b338-34b8-9197-0341fc907425&quot;,&quot;title&quot;:&quot;Development of the Vietnamese Healthy Eating Index.&quot;,&quot;author&quot;:[{&quot;family&quot;:&quot;Van&quot;,&quot;given&quot;:&quot;Duong T T&quot;,&quot;parse-names&quot;:false,&quot;dropping-particle&quot;:&quot;&quot;,&quot;non-dropping-particle&quot;:&quot;&quot;},{&quot;family&quot;:&quot;Trijsburg&quot;,&quot;given&quot;:&quot;Laura&quot;,&quot;parse-names&quot;:false,&quot;dropping-particle&quot;:&quot;&quot;,&quot;non-dropping-particle&quot;:&quot;&quot;},{&quot;family&quot;:&quot;Do&quot;,&quot;given&quot;:&quot;Ha T P&quot;,&quot;parse-names&quot;:false,&quot;dropping-particle&quot;:&quot;&quot;,&quot;non-dropping-particle&quot;:&quot;&quot;},{&quot;family&quot;:&quot;Kurotani&quot;,&quot;given&quot;:&quot;Kayo&quot;,&quot;parse-names&quot;:false,&quot;dropping-particle&quot;:&quot;&quot;,&quot;non-dropping-particle&quot;:&quot;&quot;},{&quot;family&quot;:&quot;Feskens&quot;,&quot;given&quot;:&quot;Edith J M&quot;,&quot;parse-names&quot;:false,&quot;dropping-particle&quot;:&quot;&quot;,&quot;non-dropping-particle&quot;:&quot;&quot;},{&quot;family&quot;:&quot;Talsma&quot;,&quot;given&quot;:&quot;Elise F&quot;,&quot;parse-names&quot;:false,&quot;dropping-particle&quot;:&quot;&quot;,&quot;non-dropping-particle&quot;:&quot;&quot;}],&quot;container-title&quot;:&quot;Journal of nutritional science&quot;,&quot;container-title-short&quot;:&quot;J Nutr Sci&quot;,&quot;DOI&quot;:&quot;10.1017/jns.2022.44&quot;,&quot;ISSN&quot;:&quot;2048-6790&quot;,&quot;PMID&quot;:&quot;35754986&quot;,&quot;issued&quot;:{&quot;date-parts&quot;:[[2022]]},&quot;page&quot;:&quot;e45&quot;,&quot;abstract&quot;:&quot;Poor dietary quality is a major contributor to malnutrition and disease burden in Vietnam, necessitating the development of a tool for improving dietary quality. Food-based dietary guidelines (FBDGs) have been proposed to do this by providing specific, culturally appropriate and actionable recommendations. We developed the Vietnamese Healthy Eating Index (VHEI) to assess the adherence to the 2016-2020 Vietnamese FBDGs and the dietary quality of the general Vietnamese population. This VHEI consists of eight component scores, 'grains', 'protein foods', 'vegetables', 'fruits', 'dairy', 'fats and oils', 'sugar and sweets' and 'salt and sauces', representing the recommendations in the FBDGs. Each component score ranges from 0 to 10, resulting in a total VHEI score between 0 (lowest adherence) and 80 (highest adherence). The VHEI was calculated using dietary intake data from the Vietnamese General Nutrition Survey 2009-2010 (n = 8225 households). Associations of the VHEI with socio-demographic characteristics, energy and nutrient intakes and food group consumptions were examined. The results showed that the mean and standard deviation score of the VHEI was 43⋅3 ± 8⋅1. The component 'sugar and sweets' scored the highest (9⋅8 ± 1⋅1), whereas the component 'dairy' scored the lowest (0⋅6 ± 1⋅6). The intake of micronutrients was positively associated with the total VHEI, both before and after adjustment for energy intake. In conclusion, the VHEI is a valuable measure of dietary quality for the Vietnamese population regarding their adherence to the FBDGs.&quot;,&quot;volume&quot;:&quot;11&quot;},&quot;isTemporary&quot;:false},{&quot;id&quot;:&quot;fbeb83bc-3acf-344a-861d-164adc2ebd80&quot;,&quot;itemData&quot;:{&quot;type&quot;:&quot;article-journal&quot;,&quot;id&quot;:&quot;fbeb83bc-3acf-344a-861d-164adc2ebd80&quot;,&quot;title&quot;:&quot;Healthy Eating Index: Evidence from India&quot;,&quot;author&quot;:[{&quot;family&quot;:&quot;Das&quot;,&quot;given&quot;:&quot;Mousumi&quot;,&quot;parse-names&quot;:false,&quot;dropping-particle&quot;:&quot;&quot;,&quot;non-dropping-particle&quot;:&quot;&quot;}],&quot;container-title&quot;:&quot;SSRN Electronic Journal&quot;,&quot;DOI&quot;:&quot;10.2139/ssrn.2571173&quot;,&quot;ISSN&quot;:&quot;1556-5068&quot;,&quot;issued&quot;:{&quot;date-parts&quot;:[[2015]]},&quot;container-title-short&quot;:&quot;&quot;},&quot;isTemporary&quot;:false}]},{&quot;citationID&quot;:&quot;MENDELEY_CITATION_b31795da-7079-4eb5-8b54-7dcada2317b1&quot;,&quot;properties&quot;:{&quot;noteIndex&quot;:0},&quot;isEdited&quot;:false,&quot;manualOverride&quot;:{&quot;isManuallyOverridden&quot;:false,&quot;citeprocText&quot;:&quot;[9, 15, 42]&quot;,&quot;manualOverrideText&quot;:&quot;&quot;},&quot;citationTag&quot;:&quot;MENDELEY_CITATION_v3_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&quot;,&quot;citationItems&quot;:[{&quot;id&quot;:&quot;91783481-ae12-3281-9a5e-90a596e57029&quot;,&quot;itemData&quot;:{&quot;type&quot;:&quot;article-journal&quot;,&quot;id&quot;:&quot;91783481-ae12-3281-9a5e-90a596e57029&quot;,&quot;title&quot;:&quot;Evaluation of the reliability and validity of the Brazilian Healthy Eating Index Revised.&quot;,&quot;author&quot;:[{&quot;family&quot;:&quot;Andrade&quot;,&quot;given&quot;:&quot;Samantha Caesar&quot;,&quot;parse-names&quot;:false,&quot;dropping-particle&quot;:&quot;de&quot;,&quot;non-dropping-particle&quot;:&quot;&quot;},{&quot;family&quot;:&quot;Previdelli&quot;,&quot;given&quot;:&quot;Ágatha Nogueira&quot;,&quot;parse-names&quot;:false,&quot;dropping-particle&quot;:&quot;&quot;,&quot;non-dropping-particle&quot;:&quot;&quot;},{&quot;family&quot;:&quot;Marchioni&quot;,&quot;given&quot;:&quot;Dirce Maria Lobo&quot;,&quot;parse-names&quot;:false,&quot;dropping-particle&quot;:&quot;&quot;,&quot;non-dropping-particle&quot;:&quot;&quot;},{&quot;family&quot;:&quot;Fisberg&quot;,&quot;given&quot;:&quot;Regina Mara&quot;,&quot;parse-names&quot;:false,&quot;dropping-particle&quot;:&quot;&quot;,&quot;non-dropping-particle&quot;:&quot;&quot;}],&quot;container-title&quot;:&quot;Revista de saude publica&quot;,&quot;container-title-short&quot;:&quot;Rev Saude Publica&quot;,&quot;DOI&quot;:&quot;10.1590/S0034-8910.2013047004267&quot;,&quot;ISSN&quot;:&quot;1518-8787&quot;,&quot;PMID&quot;:&quot;24346677&quot;,&quot;issued&quot;:{&quot;date-parts&quot;:[[2013,8]]},&quot;page&quot;:&quot;675-83&quot;,&quot;abstract&quot;:&quot;OBJECTIVE Evaluate validity and reliability of the Brazilian Healthy Eating Index Revised according to the psychometric properties. METHODS Cross-sectional study of a random sample of 2,375 individuals of both sexes, aged 12 or older from the city of São Paulo, Southeastern Brazil, drawn from the Health Survey carried out in 2003. Information on the population characteristics was acquired using a questionnaire. Food intake was obtained using 24h Recall, used to calculate the Brazilian Healthy Eating Index Revised (BHEI-R). The following aspects were evaluated: (1) content validity, by comparing the components with the Dietary Guidelines for the Brazilian Population; (2) construct validity, factor analysis using principal components method and verifying whether the index can measure diet quality regardless of energy intake; (3) discriminating validity; and (4) the reliability of the BHEI-R by analyzing the internal consistency of the items using Cronbach's alpha coefficient. RESULTS The correlations between the component scores and energy intake were weak (r &lt; 0.30). Principal component analysis indicated the presence of four factors with eigenvalues &gt; 1 that represented 67% of the index variance. The discriminating validity of the BHEI-R was observed by comparing the individuals by sex and smoking habit, and identifying statistically significant differences between the means of the components of the BHEI-R and the final score. The Cronbach's alpha value (α = 0.7) indicated the presence of internal consistency between the components of the BHEI-R. The SoFAAS component followed by the total fruit component and whole fruit component presented greater correlation with the final index scores. CONCLUSIONS The Brazilian Healthy Eating Index Revised showed itself to be reliable and structurally valid when used to evaluate and monitor the diet quality of Brazilians.&quot;,&quot;issue&quot;:&quot;4&quot;,&quot;volume&quot;:&quot;47&quot;},&quot;isTemporary&quot;:false},{&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id&quot;:&quot;1d47f21d-b4e3-3a22-8d88-6c6fc2661e62&quot;,&quot;itemData&quot;:{&quot;type&quot;:&quot;article-journal&quot;,&quot;id&quot;:&quot;1d47f21d-b4e3-3a22-8d88-6c6fc2661e62&quot;,&quot;title&quot;:&quot;Development and evaluation of the Dutch Healthy Diet index 2015&quot;,&quot;author&quot;:[{&quot;family&quot;:&quot;Looman&quot;,&quot;given&quot;:&quot;Moniek&quot;,&quot;parse-names&quot;:false,&quot;dropping-particle&quot;:&quot;&quot;,&quot;non-dropping-particle&quot;:&quot;&quot;},{&quot;family&quot;:&quot;Feskens&quot;,&quot;given&quot;:&quot;Edith J.M.&quot;,&quot;parse-names&quot;:false,&quot;dropping-particle&quot;:&quot;&quot;,&quot;non-dropping-particle&quot;:&quot;&quot;},{&quot;family&quot;:&quot;Rijk&quot;,&quot;given&quot;:&quot;Mariëlle&quot;,&quot;parse-names&quot;:false,&quot;dropping-particle&quot;:&quot;&quot;,&quot;non-dropping-particle&quot;:&quot;De&quot;},{&quot;family&quot;:&quot;Meijboom&quot;,&quot;given&quot;:&quot;Saskia&quot;,&quot;parse-names&quot;:false,&quot;dropping-particle&quot;:&quot;&quot;,&quot;non-dropping-particle&quot;:&quot;&quot;},{&quot;family&quot;:&quot;Biesbroek&quot;,&quot;given&quot;:&quot;Sander&quot;,&quot;parse-names&quot;:false,&quot;dropping-particle&quot;:&quot;&quot;,&quot;non-dropping-particle&quot;:&quot;&quot;},{&quot;family&quot;:&quot;Temme&quot;,&quot;given&quot;:&quot;Elisabeth H.M.&quot;,&quot;parse-names&quot;:false,&quot;dropping-particle&quot;:&quot;&quot;,&quot;non-dropping-particle&quot;:&quot;&quot;},{&quot;family&quot;:&quot;Vries&quot;,&quot;given&quot;:&quot;Jeanne&quot;,&quot;parse-names&quot;:false,&quot;dropping-particle&quot;:&quot;&quot;,&quot;non-dropping-particle&quot;:&quot;De&quot;},{&quot;family&quot;:&quot;Geelen&quot;,&quot;given&quot;:&quot;Anouk&quot;,&quot;parse-names&quot;:false,&quot;dropping-particle&quot;:&quot;&quot;,&quot;non-dropping-particle&quot;:&quot;&quot;}],&quot;container-title&quot;:&quot;Public Health Nutrition&quot;,&quot;container-title-short&quot;:&quot;Public Health Nutr&quot;,&quot;DOI&quot;:&quot;10.1017/S136898001700091X&quot;,&quot;ISSN&quot;:&quot;14752727&quot;,&quot;PMID&quot;:&quot;28625202&quot;,&quot;issued&quot;:{&quot;date-parts&quot;:[[2017,9,1]]},&quot;page&quot;:&quot;2289-2299&quot;,&quot;abstract&quot;:&quot;Objective To update the Dutch Healthy Diet index, a measure of diet quality, to reflect adherence to the Dutch dietary guidelines 2015 and to evaluate against participants' characteristics and nutrient intakes with the score based on 24 h recall (24 hR) data and FFQ data. Design The Dutch Healthy Diet index 2015 (DHD15-index) consists of fifteen components representing the fifteen food-based Dutch dietary guidelines of 2015. Per component the score ranges between 0 and 10, resulting in a total score between 0 (no adherence) and 150 (complete adherence). Setting Wageningen area, the Netherlands, 2011-2013. Subjects Data of 885 men and women, aged 20-70 years, participating in the longitudinal NQplus study, who filled out two 24 hR and one FFQ, were used. Results Mean (sd) score of the DHD15-index was 68·7 (16·1) for men and 79·4 (16·0) for women. Significant inverse trends were found between the DHD15-index and BMI, smoking, and intakes of energy, total fat and saturated fat. Positive trends were seen across sex-specific quintiles of the DHD15-index score with energy-adjusted micronutrient intakes. Mean DHD15-index score of the FFQ data was 15·5 points higher compared with 24 hR data, with a correlation coefficient of 0·56 between the scores. Observed trends of the DHD15-index based on FFQ with participant characteristics, macronutrient and energy-adjusted micronutrient intakes were similar to those with the DHD15-index based on 24 hR. Conclusions The DHD15-index score assesses adherence to the Dutch dietary guidelines 2015 and indicates diet quality. The DHD15-index score can be based on 24 hR data and on FFQ data.&quot;,&quot;publisher&quot;:&quot;Cambridge University Press&quot;,&quot;issue&quot;:&quot;13&quot;,&quot;volume&quot;:&quot;20&quot;},&quot;isTemporary&quot;:false}]},{&quot;citationID&quot;:&quot;MENDELEY_CITATION_cb60f833-a184-4575-8a3a-424f68035992&quot;,&quot;properties&quot;:{&quot;noteIndex&quot;:0},&quot;isEdited&quot;:false,&quot;manualOverride&quot;:{&quot;isManuallyOverridden&quot;:false,&quot;citeprocText&quot;:&quot;[17, 37, 38, 42, 43]&quot;,&quot;manualOverrideText&quot;:&quot;&quot;},&quot;citationTag&quot;:&quot;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&quot;,&quot;citationItems&quot;:[{&quot;id&quot;:&quot;d8f3ba54-f864-3485-82bc-7681b8c41440&quot;,&quot;itemData&quot;:{&quot;type&quot;:&quot;article-journal&quot;,&quot;id&quot;:&quot;d8f3ba54-f864-3485-82bc-7681b8c41440&quot;,&quot;title&quot;:&quot;Quality of diet and mortality among Japanese men and women: Japan Public Health Center based prospective study&quot;,&quot;author&quot;:[{&quot;family&quot;:&quot;Kurotani&quot;,&quot;given&quot;:&quot;Kayo&quot;,&quot;parse-names&quot;:false,&quot;dropping-particle&quot;:&quot;&quot;,&quot;non-dropping-particle&quot;:&quot;&quot;},{&quot;family&quot;:&quot;Akter&quot;,&quot;given&quot;:&quot;Shamima&quot;,&quot;parse-names&quot;:false,&quot;dropping-particle&quot;:&quot;&quot;,&quot;non-dropping-particle&quot;:&quot;&quot;},{&quot;family&quot;:&quot;Kashino&quot;,&quot;given&quot;:&quot;Ikuko&quot;,&quot;parse-names&quot;:false,&quot;dropping-particle&quot;:&quot;&quot;,&quot;non-dropping-particle&quot;:&quot;&quot;},{&quot;family&quot;:&quot;Goto&quot;,&quot;given&quot;:&quot;Atsushi&quot;,&quot;parse-names&quot;:false,&quot;dropping-particle&quot;:&quot;&quot;,&quot;non-dropping-particle&quot;:&quot;&quot;},{&quot;family&quot;:&quot;Mizoue&quot;,&quot;given&quot;:&quot;Tetsuya&quot;,&quot;parse-names&quot;:false,&quot;dropping-particle&quot;:&quot;&quot;,&quot;non-dropping-particle&quot;:&quot;&quot;},{&quot;family&quot;:&quot;Noda&quot;,&quot;given&quot;:&quot;Mitsuhiko&quot;,&quot;parse-names&quot;:false,&quot;dropping-particle&quot;:&quot;&quot;,&quot;non-dropping-particle&quot;:&quot;&quot;},{&quot;family&quot;:&quot;Sasazuki&quot;,&quot;given&quot;:&quot;Shizuka&quot;,&quot;parse-names&quot;:false,&quot;dropping-particle&quot;:&quot;&quot;,&quot;non-dropping-particle&quot;:&quot;&quot;},{&quot;family&quot;:&quot;Sawada&quot;,&quot;given&quot;:&quot;Norie&quot;,&quot;parse-names&quot;:false,&quot;dropping-particle&quot;:&quot;&quot;,&quot;non-dropping-particle&quot;:&quot;&quot;},{&quot;family&quot;:&quot;Tsugane&quot;,&quot;given&quot;:&quot;Shoichiro&quot;,&quot;parse-names&quot;:false,&quot;dropping-particle&quot;:&quot;&quot;,&quot;non-dropping-particle&quot;:&quot;&quot;}],&quot;container-title&quot;:&quot;BMJ&quot;,&quot;DOI&quot;:&quot;10.1136/bmj.i1209&quot;,&quot;ISSN&quot;:&quot;1756-1833&quot;,&quot;issued&quot;:{&quot;date-parts&quot;:[[2016,3,22]]},&quot;page&quot;:&quot;i1209&quot;,&quot;container-title-short&quot;:&quot;&quot;},&quot;isTemporary&quot;:false},{&quot;id&quot;:&quot;6e6b9214-165e-3b1f-9975-6c505e98e2ab&quot;,&quot;itemData&quot;:{&quot;type&quot;:&quot;article-journal&quot;,&quot;id&quot;:&quot;6e6b9214-165e-3b1f-9975-6c505e98e2ab&quot;,&quot;title&quot;:&quot;Development and validity assessment of a diet quality index for Australians.&quot;,&quot;author&quot;:[{&quot;family&quot;:&quot;Zarrin&quot;,&quot;given&quot;:&quot;Rasoul&quot;,&quot;parse-names&quot;:false,&quot;dropping-particle&quot;:&quot;&quot;,&quot;non-dropping-particle&quot;:&quot;&quot;},{&quot;family&quot;:&quot;Ibiebele&quot;,&quot;given&quot;:&quot;Torukiri I&quot;,&quot;parse-names&quot;:false,&quot;dropping-particle&quot;:&quot;&quot;,&quot;non-dropping-particle&quot;:&quot;&quot;},{&quot;family&quot;:&quot;Marks&quot;,&quot;given&quot;:&quot;Geoffrey C&quot;,&quot;parse-names&quot;:false,&quot;dropping-particle&quot;:&quot;&quot;,&quot;non-dropping-particle&quot;:&quot;&quot;}],&quot;container-title&quot;:&quot;Asia Pacific journal of clinical nutrition&quot;,&quot;container-title-short&quot;:&quot;Asia Pac J Clin Nutr&quot;,&quot;DOI&quot;:&quot;10.6133/apjcn.2013.22.2.15&quot;,&quot;ISSN&quot;:&quot;0964-7058&quot;,&quot;PMID&quot;:&quot;23635360&quot;,&quot;issued&quot;:{&quot;date-parts&quot;:[[2013]]},&quot;page&quot;:&quot;177-87&quot;,&quot;abstract&quot;:&quot;Existing Australian diet quality indices have assumed links to health outcomes but their validity for this has not been reported. We extend the features of existing indices for Australian adults by constructing a new diet quality index (Aussie-DQI) using the national dietary guidelines linked to the Australia National Health Priority Areas. Construct validity was assessed using 24 hour dietary recalls from the 1995 National Nutrition Survey (n=10,851 adults aged 19 years and older). Construct and criterion validity were assessed using food frequency questionnaire data from the Nambour Skin Cancer study (n=1355), a community-based longitudinal study with 16 year follow-up and cause-specific mortality outcomes. Generalised linear regression was used to assess associations between Aussie-DQI scores and socio-economic, demographic, health-behaviour characteristics, and food and nutrient intakes, while Cox proportional-hazards modeling was used to assess associations with cancer and allcause mortality. A high Aussie-DQI score was associated with being female, being older, non-smoking status, and BMI in the normal range in both study populations; and Aussie-DQI scores were inversely associated with cancer mortality among men in multivariable-adjusted analyses (hazard ratio = 0.30, 95% CI: 0.11, 0.83; p for trends = 0.06). In conclusion, Aussie-DQI successfully discriminated diet quality and showed that men, younger adults, current smokers and those overweight/obese were less likely to consume foods that meet dietary recommendations; and that a high diet quality is associated with decreased risk of cancer mortality among men. This study adds further evidence to clarify the role of diet quality in decreasing mortality from chronic diseases.&quot;,&quot;issue&quot;:&quot;2&quot;,&quot;volume&quot;:&quot;22&quot;},&quot;isTemporary&quot;:false},{&quot;id&quot;:&quot;7a975c93-31fd-3214-a7e8-29ed9d942ffc&quot;,&quot;itemData&quot;:{&quot;type&quot;:&quot;article-journal&quot;,&quot;id&quot;:&quot;7a975c93-31fd-3214-a7e8-29ed9d942ffc&quot;,&quot;title&quot;:&quot;The development of a chinese healthy eating index and its application in the general population&quot;,&quot;author&quot;:[{&quot;family&quot;:&quot;Yuan&quot;,&quot;given&quot;:&quot;Ya Qun&quot;,&quot;parse-names&quot;:false,&quot;dropping-particle&quot;:&quot;&quot;,&quot;non-dropping-particle&quot;:&quot;&quot;},{&quot;family&quot;:&quot;Li&quot;,&quot;given&quot;:&quot;Fan&quot;,&quot;parse-names&quot;:false,&quot;dropping-particle&quot;:&quot;&quot;,&quot;non-dropping-particle&quot;:&quot;&quot;},{&quot;family&quot;:&quot;Dong&quot;,&quot;given&quot;:&quot;Rui Hua&quot;,&quot;parse-names&quot;:false,&quot;dropping-particle&quot;:&quot;&quot;,&quot;non-dropping-particle&quot;:&quot;&quot;},{&quot;family&quot;:&quot;Chen&quot;,&quot;given&quot;:&quot;Jing Si&quot;,&quot;parse-names&quot;:false,&quot;dropping-particle&quot;:&quot;&quot;,&quot;non-dropping-particle&quot;:&quot;&quot;},{&quot;family&quot;:&quot;He&quot;,&quot;given&quot;:&quot;Geng Sheng&quot;,&quot;parse-names&quot;:false,&quot;dropping-particle&quot;:&quot;&quot;,&quot;non-dropping-particle&quot;:&quot;&quot;},{&quot;family&quot;:&quot;Li&quot;,&quot;given&quot;:&quot;Shu Guang&quot;,&quot;parse-names&quot;:false,&quot;dropping-particle&quot;:&quot;&quot;,&quot;non-dropping-particle&quot;:&quot;&quot;},{&quot;family&quot;:&quot;Chen&quot;,&quot;given&quot;:&quot;Bo&quot;,&quot;parse-names&quot;:false,&quot;dropping-particle&quot;:&quot;&quot;,&quot;non-dropping-particle&quot;:&quot;&quot;}],&quot;container-title&quot;:&quot;Nutrients&quot;,&quot;container-title-short&quot;:&quot;Nutrients&quot;,&quot;DOI&quot;:&quot;10.3390/nu9090977&quot;,&quot;ISSN&quot;:&quot;20726643&quot;,&quot;PMID&quot;:&quot;28872591&quot;,&quot;issued&quot;:{&quot;date-parts&quot;:[[2017,9,1]]},&quot;page&quot;:&quot;1-18&quot;,&quot;abstract&quot;:&quot;The objective of this study was to develop a Chinese Healthy Eating Index (CHEI) based on the updated Dietary Guidelines for Chinese (DGC-2016) and to apply it in the 2011 China Health and Nutrition Survey (CHNS-2011) to assess diet quality and its association with typical sociodemographic/economic factors. Data from 14, 584 participants (≥2 years) from the CHNS-2011, including three 24-h dietary recalls and additional variables, were used to develop the CHEI. The standard portion size was applied to quantify food consumption. The CHEI was designed as a continuous scoring system, comprising 17 components; the maximum total score is 100. The mean, 1st and 99th percentiles of the CHEI score were 52.4, 27.6 and 78.3, respectively. Young and middle-aged adults scored better than the elderly. Diet insufficiency was chiefly manifested in fruits, dairy, whole grains and poultry; diet excess was mainly reflected in red meat, cooking oils and sodium. The CHEI was positively associated with education and urbanization levels; current smokers and unmarried people obtained relative low CHEI scores. Occupation and body mass index (BMI) were also related to the CHEI. Our findings indicate that the CHEI is capable of recognizing differences in diet quality among the Chinese, and it is sensitive to typical sociodemographic/economic factors.&quot;,&quot;publisher&quot;:&quot;MDPI AG&quot;,&quot;issue&quot;:&quot;9&quot;,&quot;volume&quot;:&quot;9&quot;},&quot;isTemporary&quot;:false},{&quot;id&quot;:&quot;1d47f21d-b4e3-3a22-8d88-6c6fc2661e62&quot;,&quot;itemData&quot;:{&quot;type&quot;:&quot;article-journal&quot;,&quot;id&quot;:&quot;1d47f21d-b4e3-3a22-8d88-6c6fc2661e62&quot;,&quot;title&quot;:&quot;Development and evaluation of the Dutch Healthy Diet index 2015&quot;,&quot;author&quot;:[{&quot;family&quot;:&quot;Looman&quot;,&quot;given&quot;:&quot;Moniek&quot;,&quot;parse-names&quot;:false,&quot;dropping-particle&quot;:&quot;&quot;,&quot;non-dropping-particle&quot;:&quot;&quot;},{&quot;family&quot;:&quot;Feskens&quot;,&quot;given&quot;:&quot;Edith J.M.&quot;,&quot;parse-names&quot;:false,&quot;dropping-particle&quot;:&quot;&quot;,&quot;non-dropping-particle&quot;:&quot;&quot;},{&quot;family&quot;:&quot;Rijk&quot;,&quot;given&quot;:&quot;Mariëlle&quot;,&quot;parse-names&quot;:false,&quot;dropping-particle&quot;:&quot;&quot;,&quot;non-dropping-particle&quot;:&quot;De&quot;},{&quot;family&quot;:&quot;Meijboom&quot;,&quot;given&quot;:&quot;Saskia&quot;,&quot;parse-names&quot;:false,&quot;dropping-particle&quot;:&quot;&quot;,&quot;non-dropping-particle&quot;:&quot;&quot;},{&quot;family&quot;:&quot;Biesbroek&quot;,&quot;given&quot;:&quot;Sander&quot;,&quot;parse-names&quot;:false,&quot;dropping-particle&quot;:&quot;&quot;,&quot;non-dropping-particle&quot;:&quot;&quot;},{&quot;family&quot;:&quot;Temme&quot;,&quot;given&quot;:&quot;Elisabeth H.M.&quot;,&quot;parse-names&quot;:false,&quot;dropping-particle&quot;:&quot;&quot;,&quot;non-dropping-particle&quot;:&quot;&quot;},{&quot;family&quot;:&quot;Vries&quot;,&quot;given&quot;:&quot;Jeanne&quot;,&quot;parse-names&quot;:false,&quot;dropping-particle&quot;:&quot;&quot;,&quot;non-dropping-particle&quot;:&quot;De&quot;},{&quot;family&quot;:&quot;Geelen&quot;,&quot;given&quot;:&quot;Anouk&quot;,&quot;parse-names&quot;:false,&quot;dropping-particle&quot;:&quot;&quot;,&quot;non-dropping-particle&quot;:&quot;&quot;}],&quot;container-title&quot;:&quot;Public Health Nutrition&quot;,&quot;container-title-short&quot;:&quot;Public Health Nutr&quot;,&quot;DOI&quot;:&quot;10.1017/S136898001700091X&quot;,&quot;ISSN&quot;:&quot;14752727&quot;,&quot;PMID&quot;:&quot;28625202&quot;,&quot;issued&quot;:{&quot;date-parts&quot;:[[2017,9,1]]},&quot;page&quot;:&quot;2289-2299&quot;,&quot;abstract&quot;:&quot;Objective To update the Dutch Healthy Diet index, a measure of diet quality, to reflect adherence to the Dutch dietary guidelines 2015 and to evaluate against participants' characteristics and nutrient intakes with the score based on 24 h recall (24 hR) data and FFQ data. Design The Dutch Healthy Diet index 2015 (DHD15-index) consists of fifteen components representing the fifteen food-based Dutch dietary guidelines of 2015. Per component the score ranges between 0 and 10, resulting in a total score between 0 (no adherence) and 150 (complete adherence). Setting Wageningen area, the Netherlands, 2011-2013. Subjects Data of 885 men and women, aged 20-70 years, participating in the longitudinal NQplus study, who filled out two 24 hR and one FFQ, were used. Results Mean (sd) score of the DHD15-index was 68·7 (16·1) for men and 79·4 (16·0) for women. Significant inverse trends were found between the DHD15-index and BMI, smoking, and intakes of energy, total fat and saturated fat. Positive trends were seen across sex-specific quintiles of the DHD15-index score with energy-adjusted micronutrient intakes. Mean DHD15-index score of the FFQ data was 15·5 points higher compared with 24 hR data, with a correlation coefficient of 0·56 between the scores. Observed trends of the DHD15-index based on FFQ with participant characteristics, macronutrient and energy-adjusted micronutrient intakes were similar to those with the DHD15-index based on 24 hR. Conclusions The DHD15-index score assesses adherence to the Dutch dietary guidelines 2015 and indicates diet quality. The DHD15-index score can be based on 24 hR data and on FFQ data.&quot;,&quot;publisher&quot;:&quot;Cambridge University Press&quot;,&quot;issue&quot;:&quot;13&quot;,&quot;volume&quot;:&quot;20&quot;},&quot;isTemporary&quot;:false},{&quot;id&quot;:&quot;7fdc3b14-8d8f-3291-b731-0d04858c4d03&quot;,&quot;itemData&quot;:{&quot;type&quot;:&quot;article-journal&quot;,&quot;id&quot;:&quot;7fdc3b14-8d8f-3291-b731-0d04858c4d03&quot;,&quot;title&quot;:&quot;Development of the Ethiopian Healthy Eating Index (Et-HEI) and evaluation in women of reproductive age&quot;,&quot;author&quot;:[{&quot;family&quot;:&quot;Bekele&quot;,&quot;given&quot;:&quot;Tesfaye Hailu&quot;,&quot;parse-names&quot;:false,&quot;dropping-particle&quot;:&quot;&quot;,&quot;non-dropping-particle&quot;:&quot;&quot;},{&quot;family&quot;:&quot;Vries&quot;,&quot;given&quot;:&quot;Jeanne H. M.&quot;,&quot;parse-names&quot;:false,&quot;dropping-particle&quot;:&quot;&quot;,&quot;non-dropping-particle&quot;:&quot;de&quot;},{&quot;family&quot;:&quot;Feskens&quot;,&quot;given&quot;:&quot;Edith J. M.&quot;,&quot;parse-names&quot;:false,&quot;dropping-particle&quot;:&quot;&quot;,&quot;non-dropping-particle&quot;:&quot;&quot;},{&quot;family&quot;:&quot;Weijer&quot;,&quot;given&quot;:&quot;Anneloes&quot;,&quot;parse-names&quot;:false,&quot;dropping-particle&quot;:&quot;&quot;,&quot;non-dropping-particle&quot;:&quot;de&quot;},{&quot;family&quot;:&quot;Brouwer&quot;,&quot;given&quot;:&quot;Inge D.&quot;,&quot;parse-names&quot;:false,&quot;dropping-particle&quot;:&quot;&quot;,&quot;non-dropping-particle&quot;:&quot;&quot;},{&quot;family&quot;:&quot;Covic&quot;,&quot;given&quot;:&quot;Namukolo&quot;,&quot;parse-names&quot;:false,&quot;dropping-particle&quot;:&quot;&quot;,&quot;non-dropping-particle&quot;:&quot;&quot;},{&quot;family&quot;:&quot;Trijsburg&quot;,&quot;given&quot;:&quot;Laura&quot;,&quot;parse-names&quot;:false,&quot;dropping-particle&quot;:&quot;&quot;,&quot;non-dropping-particle&quot;:&quot;&quot;}],&quot;container-title&quot;:&quot;Journal of Nutritional Science&quot;,&quot;container-title-short&quot;:&quot;J Nutr Sci&quot;,&quot;DOI&quot;:&quot;10.1017/jns.2022.120&quot;,&quot;ISSN&quot;:&quot;2048-6790&quot;,&quot;issued&quot;:{&quot;date-parts&quot;:[[2023,1,23]]},&quot;page&quot;:&quot;e9&quot;,&quot;abstract&quot;:&quot;&lt;p&gt;Ethiopia announced its first food-based dietary guidelines (FBDGs) on 15 March 2022. The present study aims to develop and evaluate the Ethiopian Healthy Eating Index (Et-HEI) based on the FBDG. Data were collected from 494 Ethiopian women of reproductive age sampled from households in five different regions. The Et-HEI consists of eleven components, and each component was scored between 0 and 10 points, the total score ranging from 0 to 110, with maximum adherence to the FBDG. The Et-HEI score was evaluated against the Minimum Dietary Diversity for Women (MDD-W) and the probability of nutrient adequacy. The average Et-HEI score for women of reproductive age was 49 out of 110. Adherence to the recommendations for grains, vegetables, legumes, fat and oils, salt, sugar and alcohol contributed the most to this score. Most women had low scores for fruits, nuts and seeds, and animal-sourced foods, indicating low intake. The Cronbach's alpha coefficient, indicating the reliability of the Et-HEI to assess its diet quality, was 0⋅53. The low mean Et-HEI score agreed with a low mean score of the MDD-W (3⋅5 out of 10). Also, low nutrient adequacies confirmed poor adherence to nutrient-dense components of the FBDG. The Et-HEI was not associated with the intake of vitamin B12, vitamin C and calcium in this study population. Women who completed secondary school and above had relatively lower Et-HEI scores. The newly developed Et-HEI is able to estimate nutrient adequacy while also assessing adherence to the Ethiopian FBDG though there is room for improvement.&lt;/p&gt;&quot;,&quot;volume&quot;:&quot;12&quot;},&quot;isTemporary&quot;:false}]},{&quot;citationID&quot;:&quot;MENDELEY_CITATION_290bf3a1-ab29-4166-bcd3-5958b29e7061&quot;,&quot;properties&quot;:{&quot;noteIndex&quot;:0},&quot;isEdited&quot;:false,&quot;manualOverride&quot;:{&quot;isManuallyOverridden&quot;:false,&quot;citeprocText&quot;:&quot;[42]&quot;,&quot;manualOverrideText&quot;:&quot;&quot;},&quot;citationTag&quot;:&quot;MENDELEY_CITATION_v3_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&quot;,&quot;citationItems&quot;:[{&quot;id&quot;:&quot;1d47f21d-b4e3-3a22-8d88-6c6fc2661e62&quot;,&quot;itemData&quot;:{&quot;type&quot;:&quot;article-journal&quot;,&quot;id&quot;:&quot;1d47f21d-b4e3-3a22-8d88-6c6fc2661e62&quot;,&quot;title&quot;:&quot;Development and evaluation of the Dutch Healthy Diet index 2015&quot;,&quot;author&quot;:[{&quot;family&quot;:&quot;Looman&quot;,&quot;given&quot;:&quot;Moniek&quot;,&quot;parse-names&quot;:false,&quot;dropping-particle&quot;:&quot;&quot;,&quot;non-dropping-particle&quot;:&quot;&quot;},{&quot;family&quot;:&quot;Feskens&quot;,&quot;given&quot;:&quot;Edith J.M.&quot;,&quot;parse-names&quot;:false,&quot;dropping-particle&quot;:&quot;&quot;,&quot;non-dropping-particle&quot;:&quot;&quot;},{&quot;family&quot;:&quot;Rijk&quot;,&quot;given&quot;:&quot;Mariëlle&quot;,&quot;parse-names&quot;:false,&quot;dropping-particle&quot;:&quot;&quot;,&quot;non-dropping-particle&quot;:&quot;De&quot;},{&quot;family&quot;:&quot;Meijboom&quot;,&quot;given&quot;:&quot;Saskia&quot;,&quot;parse-names&quot;:false,&quot;dropping-particle&quot;:&quot;&quot;,&quot;non-dropping-particle&quot;:&quot;&quot;},{&quot;family&quot;:&quot;Biesbroek&quot;,&quot;given&quot;:&quot;Sander&quot;,&quot;parse-names&quot;:false,&quot;dropping-particle&quot;:&quot;&quot;,&quot;non-dropping-particle&quot;:&quot;&quot;},{&quot;family&quot;:&quot;Temme&quot;,&quot;given&quot;:&quot;Elisabeth H.M.&quot;,&quot;parse-names&quot;:false,&quot;dropping-particle&quot;:&quot;&quot;,&quot;non-dropping-particle&quot;:&quot;&quot;},{&quot;family&quot;:&quot;Vries&quot;,&quot;given&quot;:&quot;Jeanne&quot;,&quot;parse-names&quot;:false,&quot;dropping-particle&quot;:&quot;&quot;,&quot;non-dropping-particle&quot;:&quot;De&quot;},{&quot;family&quot;:&quot;Geelen&quot;,&quot;given&quot;:&quot;Anouk&quot;,&quot;parse-names&quot;:false,&quot;dropping-particle&quot;:&quot;&quot;,&quot;non-dropping-particle&quot;:&quot;&quot;}],&quot;container-title&quot;:&quot;Public Health Nutrition&quot;,&quot;container-title-short&quot;:&quot;Public Health Nutr&quot;,&quot;DOI&quot;:&quot;10.1017/S136898001700091X&quot;,&quot;ISSN&quot;:&quot;14752727&quot;,&quot;PMID&quot;:&quot;28625202&quot;,&quot;issued&quot;:{&quot;date-parts&quot;:[[2017,9,1]]},&quot;page&quot;:&quot;2289-2299&quot;,&quot;abstract&quot;:&quot;Objective To update the Dutch Healthy Diet index, a measure of diet quality, to reflect adherence to the Dutch dietary guidelines 2015 and to evaluate against participants' characteristics and nutrient intakes with the score based on 24 h recall (24 hR) data and FFQ data. Design The Dutch Healthy Diet index 2015 (DHD15-index) consists of fifteen components representing the fifteen food-based Dutch dietary guidelines of 2015. Per component the score ranges between 0 and 10, resulting in a total score between 0 (no adherence) and 150 (complete adherence). Setting Wageningen area, the Netherlands, 2011-2013. Subjects Data of 885 men and women, aged 20-70 years, participating in the longitudinal NQplus study, who filled out two 24 hR and one FFQ, were used. Results Mean (sd) score of the DHD15-index was 68·7 (16·1) for men and 79·4 (16·0) for women. Significant inverse trends were found between the DHD15-index and BMI, smoking, and intakes of energy, total fat and saturated fat. Positive trends were seen across sex-specific quintiles of the DHD15-index score with energy-adjusted micronutrient intakes. Mean DHD15-index score of the FFQ data was 15·5 points higher compared with 24 hR data, with a correlation coefficient of 0·56 between the scores. Observed trends of the DHD15-index based on FFQ with participant characteristics, macronutrient and energy-adjusted micronutrient intakes were similar to those with the DHD15-index based on 24 hR. Conclusions The DHD15-index score assesses adherence to the Dutch dietary guidelines 2015 and indicates diet quality. The DHD15-index score can be based on 24 hR data and on FFQ data.&quot;,&quot;publisher&quot;:&quot;Cambridge University Press&quot;,&quot;issue&quot;:&quot;13&quot;,&quot;volume&quot;:&quot;20&quot;},&quot;isTemporary&quot;:false}]},{&quot;citationID&quot;:&quot;MENDELEY_CITATION_b22cf100-c44a-44d5-b34e-f7f0b16d665b&quot;,&quot;properties&quot;:{&quot;noteIndex&quot;:0},&quot;isEdited&quot;:false,&quot;manualOverride&quot;:{&quot;isManuallyOverridden&quot;:false,&quot;citeprocText&quot;:&quot;[42, 43]&quot;,&quot;manualOverrideText&quot;:&quot;&quot;},&quot;citationTag&quot;:&quot;MENDELEY_CITATION_v3_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&quot;,&quot;citationItems&quot;:[{&quot;id&quot;:&quot;6e6b9214-165e-3b1f-9975-6c505e98e2ab&quot;,&quot;itemData&quot;:{&quot;type&quot;:&quot;article-journal&quot;,&quot;id&quot;:&quot;6e6b9214-165e-3b1f-9975-6c505e98e2ab&quot;,&quot;title&quot;:&quot;Development and validity assessment of a diet quality index for Australians.&quot;,&quot;author&quot;:[{&quot;family&quot;:&quot;Zarrin&quot;,&quot;given&quot;:&quot;Rasoul&quot;,&quot;parse-names&quot;:false,&quot;dropping-particle&quot;:&quot;&quot;,&quot;non-dropping-particle&quot;:&quot;&quot;},{&quot;family&quot;:&quot;Ibiebele&quot;,&quot;given&quot;:&quot;Torukiri I&quot;,&quot;parse-names&quot;:false,&quot;dropping-particle&quot;:&quot;&quot;,&quot;non-dropping-particle&quot;:&quot;&quot;},{&quot;family&quot;:&quot;Marks&quot;,&quot;given&quot;:&quot;Geoffrey C&quot;,&quot;parse-names&quot;:false,&quot;dropping-particle&quot;:&quot;&quot;,&quot;non-dropping-particle&quot;:&quot;&quot;}],&quot;container-title&quot;:&quot;Asia Pacific journal of clinical nutrition&quot;,&quot;container-title-short&quot;:&quot;Asia Pac J Clin Nutr&quot;,&quot;DOI&quot;:&quot;10.6133/apjcn.2013.22.2.15&quot;,&quot;ISSN&quot;:&quot;0964-7058&quot;,&quot;PMID&quot;:&quot;23635360&quot;,&quot;issued&quot;:{&quot;date-parts&quot;:[[2013]]},&quot;page&quot;:&quot;177-87&quot;,&quot;abstract&quot;:&quot;Existing Australian diet quality indices have assumed links to health outcomes but their validity for this has not been reported. We extend the features of existing indices for Australian adults by constructing a new diet quality index (Aussie-DQI) using the national dietary guidelines linked to the Australia National Health Priority Areas. Construct validity was assessed using 24 hour dietary recalls from the 1995 National Nutrition Survey (n=10,851 adults aged 19 years and older). Construct and criterion validity were assessed using food frequency questionnaire data from the Nambour Skin Cancer study (n=1355), a community-based longitudinal study with 16 year follow-up and cause-specific mortality outcomes. Generalised linear regression was used to assess associations between Aussie-DQI scores and socio-economic, demographic, health-behaviour characteristics, and food and nutrient intakes, while Cox proportional-hazards modeling was used to assess associations with cancer and allcause mortality. A high Aussie-DQI score was associated with being female, being older, non-smoking status, and BMI in the normal range in both study populations; and Aussie-DQI scores were inversely associated with cancer mortality among men in multivariable-adjusted analyses (hazard ratio = 0.30, 95% CI: 0.11, 0.83; p for trends = 0.06). In conclusion, Aussie-DQI successfully discriminated diet quality and showed that men, younger adults, current smokers and those overweight/obese were less likely to consume foods that meet dietary recommendations; and that a high diet quality is associated with decreased risk of cancer mortality among men. This study adds further evidence to clarify the role of diet quality in decreasing mortality from chronic diseases.&quot;,&quot;issue&quot;:&quot;2&quot;,&quot;volume&quot;:&quot;22&quot;},&quot;isTemporary&quot;:false},{&quot;id&quot;:&quot;1d47f21d-b4e3-3a22-8d88-6c6fc2661e62&quot;,&quot;itemData&quot;:{&quot;type&quot;:&quot;article-journal&quot;,&quot;id&quot;:&quot;1d47f21d-b4e3-3a22-8d88-6c6fc2661e62&quot;,&quot;title&quot;:&quot;Development and evaluation of the Dutch Healthy Diet index 2015&quot;,&quot;author&quot;:[{&quot;family&quot;:&quot;Looman&quot;,&quot;given&quot;:&quot;Moniek&quot;,&quot;parse-names&quot;:false,&quot;dropping-particle&quot;:&quot;&quot;,&quot;non-dropping-particle&quot;:&quot;&quot;},{&quot;family&quot;:&quot;Feskens&quot;,&quot;given&quot;:&quot;Edith J.M.&quot;,&quot;parse-names&quot;:false,&quot;dropping-particle&quot;:&quot;&quot;,&quot;non-dropping-particle&quot;:&quot;&quot;},{&quot;family&quot;:&quot;Rijk&quot;,&quot;given&quot;:&quot;Mariëlle&quot;,&quot;parse-names&quot;:false,&quot;dropping-particle&quot;:&quot;&quot;,&quot;non-dropping-particle&quot;:&quot;De&quot;},{&quot;family&quot;:&quot;Meijboom&quot;,&quot;given&quot;:&quot;Saskia&quot;,&quot;parse-names&quot;:false,&quot;dropping-particle&quot;:&quot;&quot;,&quot;non-dropping-particle&quot;:&quot;&quot;},{&quot;family&quot;:&quot;Biesbroek&quot;,&quot;given&quot;:&quot;Sander&quot;,&quot;parse-names&quot;:false,&quot;dropping-particle&quot;:&quot;&quot;,&quot;non-dropping-particle&quot;:&quot;&quot;},{&quot;family&quot;:&quot;Temme&quot;,&quot;given&quot;:&quot;Elisabeth H.M.&quot;,&quot;parse-names&quot;:false,&quot;dropping-particle&quot;:&quot;&quot;,&quot;non-dropping-particle&quot;:&quot;&quot;},{&quot;family&quot;:&quot;Vries&quot;,&quot;given&quot;:&quot;Jeanne&quot;,&quot;parse-names&quot;:false,&quot;dropping-particle&quot;:&quot;&quot;,&quot;non-dropping-particle&quot;:&quot;De&quot;},{&quot;family&quot;:&quot;Geelen&quot;,&quot;given&quot;:&quot;Anouk&quot;,&quot;parse-names&quot;:false,&quot;dropping-particle&quot;:&quot;&quot;,&quot;non-dropping-particle&quot;:&quot;&quot;}],&quot;container-title&quot;:&quot;Public Health Nutrition&quot;,&quot;container-title-short&quot;:&quot;Public Health Nutr&quot;,&quot;DOI&quot;:&quot;10.1017/S136898001700091X&quot;,&quot;ISSN&quot;:&quot;14752727&quot;,&quot;PMID&quot;:&quot;28625202&quot;,&quot;issued&quot;:{&quot;date-parts&quot;:[[2017,9,1]]},&quot;page&quot;:&quot;2289-2299&quot;,&quot;abstract&quot;:&quot;Objective To update the Dutch Healthy Diet index, a measure of diet quality, to reflect adherence to the Dutch dietary guidelines 2015 and to evaluate against participants' characteristics and nutrient intakes with the score based on 24 h recall (24 hR) data and FFQ data. Design The Dutch Healthy Diet index 2015 (DHD15-index) consists of fifteen components representing the fifteen food-based Dutch dietary guidelines of 2015. Per component the score ranges between 0 and 10, resulting in a total score between 0 (no adherence) and 150 (complete adherence). Setting Wageningen area, the Netherlands, 2011-2013. Subjects Data of 885 men and women, aged 20-70 years, participating in the longitudinal NQplus study, who filled out two 24 hR and one FFQ, were used. Results Mean (sd) score of the DHD15-index was 68·7 (16·1) for men and 79·4 (16·0) for women. Significant inverse trends were found between the DHD15-index and BMI, smoking, and intakes of energy, total fat and saturated fat. Positive trends were seen across sex-specific quintiles of the DHD15-index score with energy-adjusted micronutrient intakes. Mean DHD15-index score of the FFQ data was 15·5 points higher compared with 24 hR data, with a correlation coefficient of 0·56 between the scores. Observed trends of the DHD15-index based on FFQ with participant characteristics, macronutrient and energy-adjusted micronutrient intakes were similar to those with the DHD15-index based on 24 hR. Conclusions The DHD15-index score assesses adherence to the Dutch dietary guidelines 2015 and indicates diet quality. The DHD15-index score can be based on 24 hR data and on FFQ data.&quot;,&quot;publisher&quot;:&quot;Cambridge University Press&quot;,&quot;issue&quot;:&quot;13&quot;,&quot;volume&quot;:&quot;20&quot;},&quot;isTemporary&quot;:false}]},{&quot;citationID&quot;:&quot;MENDELEY_CITATION_5dffc5e7-1d9a-4942-b7c2-de232137a269&quot;,&quot;properties&quot;:{&quot;noteIndex&quot;:0},&quot;isEdited&quot;:false,&quot;manualOverride&quot;:{&quot;isManuallyOverridden&quot;:false,&quot;citeprocText&quot;:&quot;[37, 38, 44]&quot;,&quot;manualOverrideText&quot;:&quot;&quot;},&quot;citationTag&quot;:&quot;MENDELEY_CITATION_v3_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&quot;,&quot;citationItems&quot;:[{&quot;id&quot;:&quot;d8f3ba54-f864-3485-82bc-7681b8c41440&quot;,&quot;itemData&quot;:{&quot;type&quot;:&quot;article-journal&quot;,&quot;id&quot;:&quot;d8f3ba54-f864-3485-82bc-7681b8c41440&quot;,&quot;title&quot;:&quot;Quality of diet and mortality among Japanese men and women: Japan Public Health Center based prospective study&quot;,&quot;author&quot;:[{&quot;family&quot;:&quot;Kurotani&quot;,&quot;given&quot;:&quot;Kayo&quot;,&quot;parse-names&quot;:false,&quot;dropping-particle&quot;:&quot;&quot;,&quot;non-dropping-particle&quot;:&quot;&quot;},{&quot;family&quot;:&quot;Akter&quot;,&quot;given&quot;:&quot;Shamima&quot;,&quot;parse-names&quot;:false,&quot;dropping-particle&quot;:&quot;&quot;,&quot;non-dropping-particle&quot;:&quot;&quot;},{&quot;family&quot;:&quot;Kashino&quot;,&quot;given&quot;:&quot;Ikuko&quot;,&quot;parse-names&quot;:false,&quot;dropping-particle&quot;:&quot;&quot;,&quot;non-dropping-particle&quot;:&quot;&quot;},{&quot;family&quot;:&quot;Goto&quot;,&quot;given&quot;:&quot;Atsushi&quot;,&quot;parse-names&quot;:false,&quot;dropping-particle&quot;:&quot;&quot;,&quot;non-dropping-particle&quot;:&quot;&quot;},{&quot;family&quot;:&quot;Mizoue&quot;,&quot;given&quot;:&quot;Tetsuya&quot;,&quot;parse-names&quot;:false,&quot;dropping-particle&quot;:&quot;&quot;,&quot;non-dropping-particle&quot;:&quot;&quot;},{&quot;family&quot;:&quot;Noda&quot;,&quot;given&quot;:&quot;Mitsuhiko&quot;,&quot;parse-names&quot;:false,&quot;dropping-particle&quot;:&quot;&quot;,&quot;non-dropping-particle&quot;:&quot;&quot;},{&quot;family&quot;:&quot;Sasazuki&quot;,&quot;given&quot;:&quot;Shizuka&quot;,&quot;parse-names&quot;:false,&quot;dropping-particle&quot;:&quot;&quot;,&quot;non-dropping-particle&quot;:&quot;&quot;},{&quot;family&quot;:&quot;Sawada&quot;,&quot;given&quot;:&quot;Norie&quot;,&quot;parse-names&quot;:false,&quot;dropping-particle&quot;:&quot;&quot;,&quot;non-dropping-particle&quot;:&quot;&quot;},{&quot;family&quot;:&quot;Tsugane&quot;,&quot;given&quot;:&quot;Shoichiro&quot;,&quot;parse-names&quot;:false,&quot;dropping-particle&quot;:&quot;&quot;,&quot;non-dropping-particle&quot;:&quot;&quot;}],&quot;container-title&quot;:&quot;BMJ&quot;,&quot;DOI&quot;:&quot;10.1136/bmj.i1209&quot;,&quot;ISSN&quot;:&quot;1756-1833&quot;,&quot;issued&quot;:{&quot;date-parts&quot;:[[2016,3,22]]},&quot;page&quot;:&quot;i1209&quot;,&quot;container-title-short&quot;:&quot;&quot;},&quot;isTemporary&quot;:false},{&quot;id&quot;:&quot;1e3ab1a3-327d-3a8e-a566-91850f4d07a1&quot;,&quot;itemData&quot;:{&quot;type&quot;:&quot;article-journal&quot;,&quot;id&quot;:&quot;1e3ab1a3-327d-3a8e-a566-91850f4d07a1&quot;,&quot;title&quot;:&quot;Development of the Korean Healthy Eating Index for adults, based on the Korea National Health and Nutrition Examination Survey&quot;,&quot;author&quot;:[{&quot;family&quot;:&quot;Yun&quot;,&quot;given&quot;:&quot;Sungha&quot;,&quot;parse-names&quot;:false,&quot;dropping-particle&quot;:&quot;&quot;,&quot;non-dropping-particle&quot;:&quot;&quot;},{&quot;family&quot;:&quot;Park&quot;,&quot;given&quot;:&quot;Sohee&quot;,&quot;parse-names&quot;:false,&quot;dropping-particle&quot;:&quot;&quot;,&quot;non-dropping-particle&quot;:&quot;&quot;},{&quot;family&quot;:&quot;Yook&quot;,&quot;given&quot;:&quot;Sung-Min&quot;,&quot;parse-names&quot;:false,&quot;dropping-particle&quot;:&quot;&quot;,&quot;non-dropping-particle&quot;:&quot;&quot;},{&quot;family&quot;:&quot;Kim&quot;,&quot;given&quot;:&quot;Kirang&quot;,&quot;parse-names&quot;:false,&quot;dropping-particle&quot;:&quot;&quot;,&quot;non-dropping-particle&quot;:&quot;&quot;},{&quot;family&quot;:&quot;Shim&quot;,&quot;given&quot;:&quot;Jae Eun&quot;,&quot;parse-names&quot;:false,&quot;dropping-particle&quot;:&quot;&quot;,&quot;non-dropping-particle&quot;:&quot;&quot;},{&quot;family&quot;:&quot;Hwang&quot;,&quot;given&quot;:&quot;Ji-Yun&quot;,&quot;parse-names&quot;:false,&quot;dropping-particle&quot;:&quot;&quot;,&quot;non-dropping-particle&quot;:&quot;&quot;},{&quot;family&quot;:&quot;Oh&quot;,&quot;given&quot;:&quot;Kyungwon&quot;,&quot;parse-names&quot;:false,&quot;dropping-particle&quot;:&quot;&quot;,&quot;non-dropping-particle&quot;:&quot;&quot;}],&quot;container-title&quot;:&quot;Nutrition Research and Practice&quot;,&quot;container-title-short&quot;:&quot;Nutr Res Pract&quot;,&quot;DOI&quot;:&quot;10.4162/nrp.2022.16.2.233&quot;,&quot;ISSN&quot;:&quot;1976-1457&quot;,&quot;issued&quot;:{&quot;date-parts&quot;:[[2022]]},&quot;page&quot;:&quot;233&quot;,&quot;issue&quot;:&quot;2&quot;,&quot;volume&quot;:&quot;16&quot;},&quot;isTemporary&quot;:false},{&quot;id&quot;:&quot;7fdc3b14-8d8f-3291-b731-0d04858c4d03&quot;,&quot;itemData&quot;:{&quot;type&quot;:&quot;article-journal&quot;,&quot;id&quot;:&quot;7fdc3b14-8d8f-3291-b731-0d04858c4d03&quot;,&quot;title&quot;:&quot;Development of the Ethiopian Healthy Eating Index (Et-HEI) and evaluation in women of reproductive age&quot;,&quot;author&quot;:[{&quot;family&quot;:&quot;Bekele&quot;,&quot;given&quot;:&quot;Tesfaye Hailu&quot;,&quot;parse-names&quot;:false,&quot;dropping-particle&quot;:&quot;&quot;,&quot;non-dropping-particle&quot;:&quot;&quot;},{&quot;family&quot;:&quot;Vries&quot;,&quot;given&quot;:&quot;Jeanne H. M.&quot;,&quot;parse-names&quot;:false,&quot;dropping-particle&quot;:&quot;&quot;,&quot;non-dropping-particle&quot;:&quot;de&quot;},{&quot;family&quot;:&quot;Feskens&quot;,&quot;given&quot;:&quot;Edith J. M.&quot;,&quot;parse-names&quot;:false,&quot;dropping-particle&quot;:&quot;&quot;,&quot;non-dropping-particle&quot;:&quot;&quot;},{&quot;family&quot;:&quot;Weijer&quot;,&quot;given&quot;:&quot;Anneloes&quot;,&quot;parse-names&quot;:false,&quot;dropping-particle&quot;:&quot;&quot;,&quot;non-dropping-particle&quot;:&quot;de&quot;},{&quot;family&quot;:&quot;Brouwer&quot;,&quot;given&quot;:&quot;Inge D.&quot;,&quot;parse-names&quot;:false,&quot;dropping-particle&quot;:&quot;&quot;,&quot;non-dropping-particle&quot;:&quot;&quot;},{&quot;family&quot;:&quot;Covic&quot;,&quot;given&quot;:&quot;Namukolo&quot;,&quot;parse-names&quot;:false,&quot;dropping-particle&quot;:&quot;&quot;,&quot;non-dropping-particle&quot;:&quot;&quot;},{&quot;family&quot;:&quot;Trijsburg&quot;,&quot;given&quot;:&quot;Laura&quot;,&quot;parse-names&quot;:false,&quot;dropping-particle&quot;:&quot;&quot;,&quot;non-dropping-particle&quot;:&quot;&quot;}],&quot;container-title&quot;:&quot;Journal of Nutritional Science&quot;,&quot;container-title-short&quot;:&quot;J Nutr Sci&quot;,&quot;DOI&quot;:&quot;10.1017/jns.2022.120&quot;,&quot;ISSN&quot;:&quot;2048-6790&quot;,&quot;issued&quot;:{&quot;date-parts&quot;:[[2023,1,23]]},&quot;page&quot;:&quot;e9&quot;,&quot;abstract&quot;:&quot;&lt;p&gt;Ethiopia announced its first food-based dietary guidelines (FBDGs) on 15 March 2022. The present study aims to develop and evaluate the Ethiopian Healthy Eating Index (Et-HEI) based on the FBDG. Data were collected from 494 Ethiopian women of reproductive age sampled from households in five different regions. The Et-HEI consists of eleven components, and each component was scored between 0 and 10 points, the total score ranging from 0 to 110, with maximum adherence to the FBDG. The Et-HEI score was evaluated against the Minimum Dietary Diversity for Women (MDD-W) and the probability of nutrient adequacy. The average Et-HEI score for women of reproductive age was 49 out of 110. Adherence to the recommendations for grains, vegetables, legumes, fat and oils, salt, sugar and alcohol contributed the most to this score. Most women had low scores for fruits, nuts and seeds, and animal-sourced foods, indicating low intake. The Cronbach's alpha coefficient, indicating the reliability of the Et-HEI to assess its diet quality, was 0⋅53. The low mean Et-HEI score agreed with a low mean score of the MDD-W (3⋅5 out of 10). Also, low nutrient adequacies confirmed poor adherence to nutrient-dense components of the FBDG. The Et-HEI was not associated with the intake of vitamin B12, vitamin C and calcium in this study population. Women who completed secondary school and above had relatively lower Et-HEI scores. The newly developed Et-HEI is able to estimate nutrient adequacy while also assessing adherence to the Ethiopian FBDG though there is room for improvement.&lt;/p&gt;&quot;,&quot;volume&quot;:&quot;12&quot;},&quot;isTemporary&quot;:false}]},{&quot;citationID&quot;:&quot;MENDELEY_CITATION_3fa2f13a-05d7-43ae-91ac-92015ffb02bb&quot;,&quot;properties&quot;:{&quot;noteIndex&quot;:0},&quot;isEdited&quot;:false,&quot;manualOverride&quot;:{&quot;isManuallyOverridden&quot;:false,&quot;citeprocText&quot;:&quot;[9, 15–17, 31, 43]&quot;,&quot;manualOverrideText&quot;:&quot;&quot;},&quot;citationTag&quot;:&quot;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&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id&quot;:&quot;7a975c93-31fd-3214-a7e8-29ed9d942ffc&quot;,&quot;itemData&quot;:{&quot;type&quot;:&quot;article-journal&quot;,&quot;id&quot;:&quot;7a975c93-31fd-3214-a7e8-29ed9d942ffc&quot;,&quot;title&quot;:&quot;The development of a chinese healthy eating index and its application in the general population&quot;,&quot;author&quot;:[{&quot;family&quot;:&quot;Yuan&quot;,&quot;given&quot;:&quot;Ya Qun&quot;,&quot;parse-names&quot;:false,&quot;dropping-particle&quot;:&quot;&quot;,&quot;non-dropping-particle&quot;:&quot;&quot;},{&quot;family&quot;:&quot;Li&quot;,&quot;given&quot;:&quot;Fan&quot;,&quot;parse-names&quot;:false,&quot;dropping-particle&quot;:&quot;&quot;,&quot;non-dropping-particle&quot;:&quot;&quot;},{&quot;family&quot;:&quot;Dong&quot;,&quot;given&quot;:&quot;Rui Hua&quot;,&quot;parse-names&quot;:false,&quot;dropping-particle&quot;:&quot;&quot;,&quot;non-dropping-particle&quot;:&quot;&quot;},{&quot;family&quot;:&quot;Chen&quot;,&quot;given&quot;:&quot;Jing Si&quot;,&quot;parse-names&quot;:false,&quot;dropping-particle&quot;:&quot;&quot;,&quot;non-dropping-particle&quot;:&quot;&quot;},{&quot;family&quot;:&quot;He&quot;,&quot;given&quot;:&quot;Geng Sheng&quot;,&quot;parse-names&quot;:false,&quot;dropping-particle&quot;:&quot;&quot;,&quot;non-dropping-particle&quot;:&quot;&quot;},{&quot;family&quot;:&quot;Li&quot;,&quot;given&quot;:&quot;Shu Guang&quot;,&quot;parse-names&quot;:false,&quot;dropping-particle&quot;:&quot;&quot;,&quot;non-dropping-particle&quot;:&quot;&quot;},{&quot;family&quot;:&quot;Chen&quot;,&quot;given&quot;:&quot;Bo&quot;,&quot;parse-names&quot;:false,&quot;dropping-particle&quot;:&quot;&quot;,&quot;non-dropping-particle&quot;:&quot;&quot;}],&quot;container-title&quot;:&quot;Nutrients&quot;,&quot;container-title-short&quot;:&quot;Nutrients&quot;,&quot;DOI&quot;:&quot;10.3390/nu9090977&quot;,&quot;ISSN&quot;:&quot;20726643&quot;,&quot;PMID&quot;:&quot;28872591&quot;,&quot;issued&quot;:{&quot;date-parts&quot;:[[2017,9,1]]},&quot;page&quot;:&quot;1-18&quot;,&quot;abstract&quot;:&quot;The objective of this study was to develop a Chinese Healthy Eating Index (CHEI) based on the updated Dietary Guidelines for Chinese (DGC-2016) and to apply it in the 2011 China Health and Nutrition Survey (CHNS-2011) to assess diet quality and its association with typical sociodemographic/economic factors. Data from 14, 584 participants (≥2 years) from the CHNS-2011, including three 24-h dietary recalls and additional variables, were used to develop the CHEI. The standard portion size was applied to quantify food consumption. The CHEI was designed as a continuous scoring system, comprising 17 components; the maximum total score is 100. The mean, 1st and 99th percentiles of the CHEI score were 52.4, 27.6 and 78.3, respectively. Young and middle-aged adults scored better than the elderly. Diet insufficiency was chiefly manifested in fruits, dairy, whole grains and poultry; diet excess was mainly reflected in red meat, cooking oils and sodium. The CHEI was positively associated with education and urbanization levels; current smokers and unmarried people obtained relative low CHEI scores. Occupation and body mass index (BMI) were also related to the CHEI. Our findings indicate that the CHEI is capable of recognizing differences in diet quality among the Chinese, and it is sensitive to typical sociodemographic/economic factors.&quot;,&quot;publisher&quot;:&quot;MDPI AG&quot;,&quot;issue&quot;:&quot;9&quot;,&quot;volume&quot;:&quot;9&quot;},&quot;isTemporary&quot;:false},{&quot;id&quot;:&quot;fc1cf95a-f7a3-3de3-91a4-05c6fcb6429a&quot;,&quot;itemData&quot;:{&quot;type&quot;:&quot;article-journal&quot;,&quot;id&quot;:&quot;fc1cf95a-f7a3-3de3-91a4-05c6fcb6429a&quot;,&quot;title&quot;:&quot;The New Standardized Malaysian Healthy Eating Index&quot;,&quot;author&quot;:[{&quot;family&quot;:&quot;Jailani&quot;,&quot;given&quot;:&quot;Marhamah&quot;,&quot;parse-names&quot;:false,&quot;dropping-particle&quot;:&quot;&quot;,&quot;non-dropping-particle&quot;:&quot;&quot;},{&quot;family&quot;:&quot;Elias&quot;,&quot;given&quot;:&quot;Siti Masitah&quot;,&quot;parse-names&quot;:false,&quot;dropping-particle&quot;:&quot;&quot;,&quot;non-dropping-particle&quot;:&quot;&quot;},{&quot;family&quot;:&quot;Rajikan&quot;,&quot;given&quot;:&quot;Roslee&quot;,&quot;parse-names&quot;:false,&quot;dropping-particle&quot;:&quot;&quot;,&quot;non-dropping-particle&quot;:&quot;&quot;}],&quot;container-title&quot;:&quot;Nutrients&quot;,&quot;container-title-short&quot;:&quot;Nutrients&quot;,&quot;DOI&quot;:&quot;10.3390/nu13103474&quot;,&quot;ISSN&quot;:&quot;2072-6643&quot;,&quot;issued&quot;:{&quot;date-parts&quot;:[[2021,9,30]]},&quot;page&quot;:&quot;3474&quot;,&quot;abstract&quot;:&quot;&lt;p&gt;Healthy Eating Index (HEI) is a diet quality measure that assesses the population’s compliance towards dietary guidelines. In Malaysia, diet quality measure, though existing, has some limitations in terms of application and relevance. This study aims to develop a new standardized Malaysian Healthy Eating Index (S-MHEI) that can measure the diet quality of all Malaysians regardless of their energy requirement level. The Malaysian Dietary Guidelines (MDG) 2010 and MDG for Children and Adolescents (MDGCA) 2013 were used as main references in developing the index components. In addition, the latest Malaysian Adults Nutrition Survey (MANS) and Adolescent Nutrition Survey (ANS) were also referred to ensure the relevance of the components selected. For adequacy components, the least restrictive method was used in setting the standard for the scoring system. Meanwhile, the scoring system for moderation components was built based on the Recommended Nutrient Intake (RNI) 2017. The new S-MHEI comprises of 11 components with a maximum total score of 100. The least restrictive method allowed the index to be used across energy requirement levels. However, the index will not be sensitive towards adhering to the specific recommended amount of intake—which in effect, made the index focus on measuring diet quality rather than diet quantity.&lt;/p&gt;&quot;,&quot;issue&quot;:&quot;10&quot;,&quot;volume&quot;:&quot;13&quot;},&quot;isTemporary&quot;:false},{&quot;id&quot;:&quot;6e6b9214-165e-3b1f-9975-6c505e98e2ab&quot;,&quot;itemData&quot;:{&quot;type&quot;:&quot;article-journal&quot;,&quot;id&quot;:&quot;6e6b9214-165e-3b1f-9975-6c505e98e2ab&quot;,&quot;title&quot;:&quot;Development and validity assessment of a diet quality index for Australians.&quot;,&quot;author&quot;:[{&quot;family&quot;:&quot;Zarrin&quot;,&quot;given&quot;:&quot;Rasoul&quot;,&quot;parse-names&quot;:false,&quot;dropping-particle&quot;:&quot;&quot;,&quot;non-dropping-particle&quot;:&quot;&quot;},{&quot;family&quot;:&quot;Ibiebele&quot;,&quot;given&quot;:&quot;Torukiri I&quot;,&quot;parse-names&quot;:false,&quot;dropping-particle&quot;:&quot;&quot;,&quot;non-dropping-particle&quot;:&quot;&quot;},{&quot;family&quot;:&quot;Marks&quot;,&quot;given&quot;:&quot;Geoffrey C&quot;,&quot;parse-names&quot;:false,&quot;dropping-particle&quot;:&quot;&quot;,&quot;non-dropping-particle&quot;:&quot;&quot;}],&quot;container-title&quot;:&quot;Asia Pacific journal of clinical nutrition&quot;,&quot;container-title-short&quot;:&quot;Asia Pac J Clin Nutr&quot;,&quot;DOI&quot;:&quot;10.6133/apjcn.2013.22.2.15&quot;,&quot;ISSN&quot;:&quot;0964-7058&quot;,&quot;PMID&quot;:&quot;23635360&quot;,&quot;issued&quot;:{&quot;date-parts&quot;:[[2013]]},&quot;page&quot;:&quot;177-87&quot;,&quot;abstract&quot;:&quot;Existing Australian diet quality indices have assumed links to health outcomes but their validity for this has not been reported. We extend the features of existing indices for Australian adults by constructing a new diet quality index (Aussie-DQI) using the national dietary guidelines linked to the Australia National Health Priority Areas. Construct validity was assessed using 24 hour dietary recalls from the 1995 National Nutrition Survey (n=10,851 adults aged 19 years and older). Construct and criterion validity were assessed using food frequency questionnaire data from the Nambour Skin Cancer study (n=1355), a community-based longitudinal study with 16 year follow-up and cause-specific mortality outcomes. Generalised linear regression was used to assess associations between Aussie-DQI scores and socio-economic, demographic, health-behaviour characteristics, and food and nutrient intakes, while Cox proportional-hazards modeling was used to assess associations with cancer and allcause mortality. A high Aussie-DQI score was associated with being female, being older, non-smoking status, and BMI in the normal range in both study populations; and Aussie-DQI scores were inversely associated with cancer mortality among men in multivariable-adjusted analyses (hazard ratio = 0.30, 95% CI: 0.11, 0.83; p for trends = 0.06). In conclusion, Aussie-DQI successfully discriminated diet quality and showed that men, younger adults, current smokers and those overweight/obese were less likely to consume foods that meet dietary recommendations; and that a high diet quality is associated with decreased risk of cancer mortality among men. This study adds further evidence to clarify the role of diet quality in decreasing mortality from chronic diseases.&quot;,&quot;issue&quot;:&quot;2&quot;,&quot;volume&quot;:&quot;22&quot;},&quot;isTemporary&quot;:false},{&quot;id&quot;:&quot;91783481-ae12-3281-9a5e-90a596e57029&quot;,&quot;itemData&quot;:{&quot;type&quot;:&quot;article-journal&quot;,&quot;id&quot;:&quot;91783481-ae12-3281-9a5e-90a596e57029&quot;,&quot;title&quot;:&quot;Evaluation of the reliability and validity of the Brazilian Healthy Eating Index Revised.&quot;,&quot;author&quot;:[{&quot;family&quot;:&quot;Andrade&quot;,&quot;given&quot;:&quot;Samantha Caesar&quot;,&quot;parse-names&quot;:false,&quot;dropping-particle&quot;:&quot;de&quot;,&quot;non-dropping-particle&quot;:&quot;&quot;},{&quot;family&quot;:&quot;Previdelli&quot;,&quot;given&quot;:&quot;Ágatha Nogueira&quot;,&quot;parse-names&quot;:false,&quot;dropping-particle&quot;:&quot;&quot;,&quot;non-dropping-particle&quot;:&quot;&quot;},{&quot;family&quot;:&quot;Marchioni&quot;,&quot;given&quot;:&quot;Dirce Maria Lobo&quot;,&quot;parse-names&quot;:false,&quot;dropping-particle&quot;:&quot;&quot;,&quot;non-dropping-particle&quot;:&quot;&quot;},{&quot;family&quot;:&quot;Fisberg&quot;,&quot;given&quot;:&quot;Regina Mara&quot;,&quot;parse-names&quot;:false,&quot;dropping-particle&quot;:&quot;&quot;,&quot;non-dropping-particle&quot;:&quot;&quot;}],&quot;container-title&quot;:&quot;Revista de saude publica&quot;,&quot;container-title-short&quot;:&quot;Rev Saude Publica&quot;,&quot;DOI&quot;:&quot;10.1590/S0034-8910.2013047004267&quot;,&quot;ISSN&quot;:&quot;1518-8787&quot;,&quot;PMID&quot;:&quot;24346677&quot;,&quot;issued&quot;:{&quot;date-parts&quot;:[[2013,8]]},&quot;page&quot;:&quot;675-83&quot;,&quot;abstract&quot;:&quot;OBJECTIVE Evaluate validity and reliability of the Brazilian Healthy Eating Index Revised according to the psychometric properties. METHODS Cross-sectional study of a random sample of 2,375 individuals of both sexes, aged 12 or older from the city of São Paulo, Southeastern Brazil, drawn from the Health Survey carried out in 2003. Information on the population characteristics was acquired using a questionnaire. Food intake was obtained using 24h Recall, used to calculate the Brazilian Healthy Eating Index Revised (BHEI-R). The following aspects were evaluated: (1) content validity, by comparing the components with the Dietary Guidelines for the Brazilian Population; (2) construct validity, factor analysis using principal components method and verifying whether the index can measure diet quality regardless of energy intake; (3) discriminating validity; and (4) the reliability of the BHEI-R by analyzing the internal consistency of the items using Cronbach's alpha coefficient. RESULTS The correlations between the component scores and energy intake were weak (r &lt; 0.30). Principal component analysis indicated the presence of four factors with eigenvalues &gt; 1 that represented 67% of the index variance. The discriminating validity of the BHEI-R was observed by comparing the individuals by sex and smoking habit, and identifying statistically significant differences between the means of the components of the BHEI-R and the final score. The Cronbach's alpha value (α = 0.7) indicated the presence of internal consistency between the components of the BHEI-R. The SoFAAS component followed by the total fruit component and whole fruit component presented greater correlation with the final index scores. CONCLUSIONS The Brazilian Healthy Eating Index Revised showed itself to be reliable and structurally valid when used to evaluate and monitor the diet quality of Brazilians.&quot;,&quot;issue&quot;:&quot;4&quot;,&quot;volume&quot;:&quot;47&quot;},&quot;isTemporary&quot;:false},{&quot;id&quot;:&quot;5432e0f4-2628-3665-b85e-5b65df481189&quot;,&quot;itemData&quot;:{&quot;type&quot;:&quot;article-journal&quot;,&quot;id&quot;:&quot;5432e0f4-2628-3665-b85e-5b65df481189&quot;,&quot;title&quot;:&quot;Development of the Healthy Eating Food Index (HEFI)-2019 measuring adherence to Canada’s Food Guide 2019 recommendations on healthy food choices1&quot;,&quot;author&quot;:[{&quot;family&quot;:&quot;Brassard&quot;,&quot;given&quot;:&quot;Didier&quot;,&quot;parse-names&quot;:false,&quot;dropping-particle&quot;:&quot;&quot;,&quot;non-dropping-particle&quot;:&quot;&quot;},{&quot;family&quot;:&quot;Munene&quot;,&quot;given&quot;:&quot;Lisa Anne Elvidge&quot;,&quot;parse-names&quot;:false,&quot;dropping-particle&quot;:&quot;&quot;,&quot;non-dropping-particle&quot;:&quot;&quot;},{&quot;family&quot;:&quot;St-Pierre&quot;,&quot;given&quot;:&quot;Sylvie&quot;,&quot;parse-names&quot;:false,&quot;dropping-particle&quot;:&quot;&quot;,&quot;non-dropping-particle&quot;:&quot;&quot;},{&quot;family&quot;:&quot;Guenther&quot;,&quot;given&quot;:&quot;Patricia M.&quot;,&quot;parse-names&quot;:false,&quot;dropping-particle&quot;:&quot;&quot;,&quot;non-dropping-particle&quot;:&quot;&quot;},{&quot;family&quot;:&quot;Kirkpatrick&quot;,&quot;given&quot;:&quot;Sharon I.&quot;,&quot;parse-names&quot;:false,&quot;dropping-particle&quot;:&quot;&quot;,&quot;non-dropping-particle&quot;:&quot;&quot;},{&quot;family&quot;:&quot;Slater&quot;,&quot;given&quot;:&quot;Joyce&quot;,&quot;parse-names&quot;:false,&quot;dropping-particle&quot;:&quot;&quot;,&quot;non-dropping-particle&quot;:&quot;&quot;},{&quot;family&quot;:&quot;Lemieux&quot;,&quot;given&quot;:&quot;Simone&quot;,&quot;parse-names&quot;:false,&quot;dropping-particle&quot;:&quot;&quot;,&quot;non-dropping-particle&quot;:&quot;&quot;},{&quot;family&quot;:&quot;Jessri&quot;,&quot;given&quot;:&quot;Mahsa&quot;,&quot;parse-names&quot;:false,&quot;dropping-particle&quot;:&quot;&quot;,&quot;non-dropping-particle&quot;:&quot;&quot;},{&quot;family&quot;:&quot;Haines&quot;,&quot;given&quot;:&quot;Jess&quot;,&quot;parse-names&quot;:false,&quot;dropping-particle&quot;:&quot;&quot;,&quot;non-dropping-particle&quot;:&quot;&quot;},{&quot;family&quot;:&quot;Prowse&quot;,&quot;given&quot;:&quot;Rachel&quot;,&quot;parse-names&quot;:false,&quot;dropping-particle&quot;:&quot;&quot;,&quot;non-dropping-particle&quot;:&quot;&quot;},{&quot;family&quot;:&quot;Olstad&quot;,&quot;given&quot;:&quot;Dana Lee&quot;,&quot;parse-names&quot;:false,&quot;dropping-particle&quot;:&quot;&quot;,&quot;non-dropping-particle&quot;:&quot;&quot;},{&quot;family&quot;:&quot;Garriguet&quot;,&quot;given&quot;:&quot;Didier&quot;,&quot;parse-names&quot;:false,&quot;dropping-particle&quot;:&quot;&quot;,&quot;non-dropping-particle&quot;:&quot;&quot;},{&quot;family&quot;:&quot;Vena&quot;,&quot;given&quot;:&quot;Jennifer&quot;,&quot;parse-names&quot;:false,&quot;dropping-particle&quot;:&quot;&quot;,&quot;non-dropping-particle&quot;:&quot;&quot;},{&quot;family&quot;:&quot;Vatanpatast&quot;,&quot;given&quot;:&quot;Hassan&quot;,&quot;parse-names&quot;:false,&quot;dropping-particle&quot;:&quot;&quot;,&quot;non-dropping-particle&quot;:&quot;&quot;},{&quot;family&quot;:&quot;L’abbe&quot;,&quot;given&quot;:&quot;Mary R.&quot;,&quot;parse-names&quot;:false,&quot;dropping-particle&quot;:&quot;&quot;,&quot;non-dropping-particle&quot;:&quot;&quot;},{&quot;family&quot;:&quot;Lamarche&quot;,&quot;given&quot;:&quot;Benoît&quot;,&quot;parse-names&quot;:false,&quot;dropping-particle&quot;:&quot;&quot;,&quot;non-dropping-particle&quot;:&quot;&quot;}],&quot;container-title&quot;:&quot;Applied Physiology, Nutrition and Metabolism&quot;,&quot;DOI&quot;:&quot;10.1139/apnm-2021-0415&quot;,&quot;ISSN&quot;:&quot;17155320&quot;,&quot;PMID&quot;:&quot;35030038&quot;,&quot;issued&quot;:{&quot;date-parts&quot;:[[2022]]},&quot;page&quot;:&quot;595-610&quot;,&quot;abstract&quot;:&quot;The release of Canada’s Food Guide (CFG) in 2019 by Health Canada prompted the development of indices to measure adherence to these updated dietary recommendations for Canadians. This study describes the development and scoring standards of the Healthy Eating Food Index (HEFI-2019), which is intended to measure alignment of eating patterns with CFG-2019 recommendations on food choices among Canadians aged 2 years and older. Alignment with the intent of each key recommendation in the CFG-2019 was the primary principle guiding the development of the HEFI-2019. Additional considerations included previously published indices, data on Canadians’ dietary intakes from the 2015 Canadian Community Health Survey-Nutrition, and expert judgement. The HEFI-2019 includes 10 components: Vegetables and fruits (20 points), Whole-grain foods (5 points), Grain foods ratio (5 points), Protein foods (5 points), Plant-based protein foods (5 points), Beverages (10 points), Fatty acids ratio (5 points), Saturated fats (5 points), Free sugars (10 points), and Sodium (10 points). All components are expressed as ratios (e.g., proportions of total foods, total beverages, or total energy). The HEFI-2019 score has a maximum of 80 points. Potential uses of the HEFI-2019 include research as well as monitoring and surveillance of food choices in population-based surveys. Novelty: • The Healthy Eating Food Index-2019 was developed to measure adherence to the 2019 Canada’s Food Guide recommendations on healthy food choices. • The HEFI-2019 includes 10 components, of which 5 are based on foods, 1 on beverages and 4 on nutrients, for a total of 80 points.&quot;,&quot;publisher&quot;:&quot;Canadian Science Publishing&quot;,&quot;issue&quot;:&quot;5&quot;,&quot;volume&quot;:&quot;47&quot;,&quot;container-title-short&quot;:&quot;&quot;},&quot;isTemporary&quot;:false}]},{&quot;citationID&quot;:&quot;MENDELEY_CITATION_ea7f49bf-773f-4949-bf9f-9822b16a87e2&quot;,&quot;properties&quot;:{&quot;noteIndex&quot;:0},&quot;isEdited&quot;:false,&quot;manualOverride&quot;:{&quot;isManuallyOverridden&quot;:false,&quot;citeprocText&quot;:&quot;[31]&quot;,&quot;manualOverrideText&quot;:&quot;&quot;},&quot;citationTag&quot;:&quot;MENDELEY_CITATION_v3_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&quot;,&quot;citationItems&quot;:[{&quot;id&quot;:&quot;5432e0f4-2628-3665-b85e-5b65df481189&quot;,&quot;itemData&quot;:{&quot;type&quot;:&quot;article-journal&quot;,&quot;id&quot;:&quot;5432e0f4-2628-3665-b85e-5b65df481189&quot;,&quot;title&quot;:&quot;Development of the Healthy Eating Food Index (HEFI)-2019 measuring adherence to Canada’s Food Guide 2019 recommendations on healthy food choices1&quot;,&quot;author&quot;:[{&quot;family&quot;:&quot;Brassard&quot;,&quot;given&quot;:&quot;Didier&quot;,&quot;parse-names&quot;:false,&quot;dropping-particle&quot;:&quot;&quot;,&quot;non-dropping-particle&quot;:&quot;&quot;},{&quot;family&quot;:&quot;Munene&quot;,&quot;given&quot;:&quot;Lisa Anne Elvidge&quot;,&quot;parse-names&quot;:false,&quot;dropping-particle&quot;:&quot;&quot;,&quot;non-dropping-particle&quot;:&quot;&quot;},{&quot;family&quot;:&quot;St-Pierre&quot;,&quot;given&quot;:&quot;Sylvie&quot;,&quot;parse-names&quot;:false,&quot;dropping-particle&quot;:&quot;&quot;,&quot;non-dropping-particle&quot;:&quot;&quot;},{&quot;family&quot;:&quot;Guenther&quot;,&quot;given&quot;:&quot;Patricia M.&quot;,&quot;parse-names&quot;:false,&quot;dropping-particle&quot;:&quot;&quot;,&quot;non-dropping-particle&quot;:&quot;&quot;},{&quot;family&quot;:&quot;Kirkpatrick&quot;,&quot;given&quot;:&quot;Sharon I.&quot;,&quot;parse-names&quot;:false,&quot;dropping-particle&quot;:&quot;&quot;,&quot;non-dropping-particle&quot;:&quot;&quot;},{&quot;family&quot;:&quot;Slater&quot;,&quot;given&quot;:&quot;Joyce&quot;,&quot;parse-names&quot;:false,&quot;dropping-particle&quot;:&quot;&quot;,&quot;non-dropping-particle&quot;:&quot;&quot;},{&quot;family&quot;:&quot;Lemieux&quot;,&quot;given&quot;:&quot;Simone&quot;,&quot;parse-names&quot;:false,&quot;dropping-particle&quot;:&quot;&quot;,&quot;non-dropping-particle&quot;:&quot;&quot;},{&quot;family&quot;:&quot;Jessri&quot;,&quot;given&quot;:&quot;Mahsa&quot;,&quot;parse-names&quot;:false,&quot;dropping-particle&quot;:&quot;&quot;,&quot;non-dropping-particle&quot;:&quot;&quot;},{&quot;family&quot;:&quot;Haines&quot;,&quot;given&quot;:&quot;Jess&quot;,&quot;parse-names&quot;:false,&quot;dropping-particle&quot;:&quot;&quot;,&quot;non-dropping-particle&quot;:&quot;&quot;},{&quot;family&quot;:&quot;Prowse&quot;,&quot;given&quot;:&quot;Rachel&quot;,&quot;parse-names&quot;:false,&quot;dropping-particle&quot;:&quot;&quot;,&quot;non-dropping-particle&quot;:&quot;&quot;},{&quot;family&quot;:&quot;Olstad&quot;,&quot;given&quot;:&quot;Dana Lee&quot;,&quot;parse-names&quot;:false,&quot;dropping-particle&quot;:&quot;&quot;,&quot;non-dropping-particle&quot;:&quot;&quot;},{&quot;family&quot;:&quot;Garriguet&quot;,&quot;given&quot;:&quot;Didier&quot;,&quot;parse-names&quot;:false,&quot;dropping-particle&quot;:&quot;&quot;,&quot;non-dropping-particle&quot;:&quot;&quot;},{&quot;family&quot;:&quot;Vena&quot;,&quot;given&quot;:&quot;Jennifer&quot;,&quot;parse-names&quot;:false,&quot;dropping-particle&quot;:&quot;&quot;,&quot;non-dropping-particle&quot;:&quot;&quot;},{&quot;family&quot;:&quot;Vatanpatast&quot;,&quot;given&quot;:&quot;Hassan&quot;,&quot;parse-names&quot;:false,&quot;dropping-particle&quot;:&quot;&quot;,&quot;non-dropping-particle&quot;:&quot;&quot;},{&quot;family&quot;:&quot;L’abbe&quot;,&quot;given&quot;:&quot;Mary R.&quot;,&quot;parse-names&quot;:false,&quot;dropping-particle&quot;:&quot;&quot;,&quot;non-dropping-particle&quot;:&quot;&quot;},{&quot;family&quot;:&quot;Lamarche&quot;,&quot;given&quot;:&quot;Benoît&quot;,&quot;parse-names&quot;:false,&quot;dropping-particle&quot;:&quot;&quot;,&quot;non-dropping-particle&quot;:&quot;&quot;}],&quot;container-title&quot;:&quot;Applied Physiology, Nutrition and Metabolism&quot;,&quot;DOI&quot;:&quot;10.1139/apnm-2021-0415&quot;,&quot;ISSN&quot;:&quot;17155320&quot;,&quot;PMID&quot;:&quot;35030038&quot;,&quot;issued&quot;:{&quot;date-parts&quot;:[[2022]]},&quot;page&quot;:&quot;595-610&quot;,&quot;abstract&quot;:&quot;The release of Canada’s Food Guide (CFG) in 2019 by Health Canada prompted the development of indices to measure adherence to these updated dietary recommendations for Canadians. This study describes the development and scoring standards of the Healthy Eating Food Index (HEFI-2019), which is intended to measure alignment of eating patterns with CFG-2019 recommendations on food choices among Canadians aged 2 years and older. Alignment with the intent of each key recommendation in the CFG-2019 was the primary principle guiding the development of the HEFI-2019. Additional considerations included previously published indices, data on Canadians’ dietary intakes from the 2015 Canadian Community Health Survey-Nutrition, and expert judgement. The HEFI-2019 includes 10 components: Vegetables and fruits (20 points), Whole-grain foods (5 points), Grain foods ratio (5 points), Protein foods (5 points), Plant-based protein foods (5 points), Beverages (10 points), Fatty acids ratio (5 points), Saturated fats (5 points), Free sugars (10 points), and Sodium (10 points). All components are expressed as ratios (e.g., proportions of total foods, total beverages, or total energy). The HEFI-2019 score has a maximum of 80 points. Potential uses of the HEFI-2019 include research as well as monitoring and surveillance of food choices in population-based surveys. Novelty: • The Healthy Eating Food Index-2019 was developed to measure adherence to the 2019 Canada’s Food Guide recommendations on healthy food choices. • The HEFI-2019 includes 10 components, of which 5 are based on foods, 1 on beverages and 4 on nutrients, for a total of 80 points.&quot;,&quot;publisher&quot;:&quot;Canadian Science Publishing&quot;,&quot;issue&quot;:&quot;5&quot;,&quot;volume&quot;:&quot;47&quot;,&quot;container-title-short&quot;:&quot;&quot;},&quot;isTemporary&quot;:false}]},{&quot;citationID&quot;:&quot;MENDELEY_CITATION_8e694faf-1b96-4303-a956-2b07b33f30c3&quot;,&quot;properties&quot;:{&quot;noteIndex&quot;:0},&quot;isEdited&quot;:false,&quot;manualOverride&quot;:{&quot;isManuallyOverridden&quot;:false,&quot;citeprocText&quot;:&quot;[9]&quot;,&quot;manualOverrideText&quot;:&quot;&quot;},&quot;citationTag&quot;:&quot;MENDELEY_CITATION_v3_eyJjaXRhdGlvbklEIjoiTUVOREVMRVlfQ0lUQVRJT05fOGU2OTRmYWYtMWI5Ni00MzAzLWE5NTYtMmIwN2IzM2YzMGMzIiwicHJvcGVydGllcyI6eyJub3RlSW5kZXgiOjB9LCJpc0VkaXRlZCI6ZmFsc2UsIm1hbnVhbE92ZXJyaWRlIjp7ImlzTWFudWFsbHlPdmVycmlkZGVuIjpmYWxzZSwiY2l0ZXByb2NUZXh0IjoiWzl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quot;citationID&quot;:&quot;MENDELEY_CITATION_93851f89-c299-4647-b132-231119800134&quot;,&quot;properties&quot;:{&quot;noteIndex&quot;:0},&quot;isEdited&quot;:false,&quot;manualOverride&quot;:{&quot;isManuallyOverridden&quot;:false,&quot;citeprocText&quot;:&quot;[31]&quot;,&quot;manualOverrideText&quot;:&quot;&quot;},&quot;citationTag&quot;:&quot;MENDELEY_CITATION_v3_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&quot;,&quot;citationItems&quot;:[{&quot;id&quot;:&quot;5432e0f4-2628-3665-b85e-5b65df481189&quot;,&quot;itemData&quot;:{&quot;type&quot;:&quot;article-journal&quot;,&quot;id&quot;:&quot;5432e0f4-2628-3665-b85e-5b65df481189&quot;,&quot;title&quot;:&quot;Development of the Healthy Eating Food Index (HEFI)-2019 measuring adherence to Canada’s Food Guide 2019 recommendations on healthy food choices1&quot;,&quot;author&quot;:[{&quot;family&quot;:&quot;Brassard&quot;,&quot;given&quot;:&quot;Didier&quot;,&quot;parse-names&quot;:false,&quot;dropping-particle&quot;:&quot;&quot;,&quot;non-dropping-particle&quot;:&quot;&quot;},{&quot;family&quot;:&quot;Munene&quot;,&quot;given&quot;:&quot;Lisa Anne Elvidge&quot;,&quot;parse-names&quot;:false,&quot;dropping-particle&quot;:&quot;&quot;,&quot;non-dropping-particle&quot;:&quot;&quot;},{&quot;family&quot;:&quot;St-Pierre&quot;,&quot;given&quot;:&quot;Sylvie&quot;,&quot;parse-names&quot;:false,&quot;dropping-particle&quot;:&quot;&quot;,&quot;non-dropping-particle&quot;:&quot;&quot;},{&quot;family&quot;:&quot;Guenther&quot;,&quot;given&quot;:&quot;Patricia M.&quot;,&quot;parse-names&quot;:false,&quot;dropping-particle&quot;:&quot;&quot;,&quot;non-dropping-particle&quot;:&quot;&quot;},{&quot;family&quot;:&quot;Kirkpatrick&quot;,&quot;given&quot;:&quot;Sharon I.&quot;,&quot;parse-names&quot;:false,&quot;dropping-particle&quot;:&quot;&quot;,&quot;non-dropping-particle&quot;:&quot;&quot;},{&quot;family&quot;:&quot;Slater&quot;,&quot;given&quot;:&quot;Joyce&quot;,&quot;parse-names&quot;:false,&quot;dropping-particle&quot;:&quot;&quot;,&quot;non-dropping-particle&quot;:&quot;&quot;},{&quot;family&quot;:&quot;Lemieux&quot;,&quot;given&quot;:&quot;Simone&quot;,&quot;parse-names&quot;:false,&quot;dropping-particle&quot;:&quot;&quot;,&quot;non-dropping-particle&quot;:&quot;&quot;},{&quot;family&quot;:&quot;Jessri&quot;,&quot;given&quot;:&quot;Mahsa&quot;,&quot;parse-names&quot;:false,&quot;dropping-particle&quot;:&quot;&quot;,&quot;non-dropping-particle&quot;:&quot;&quot;},{&quot;family&quot;:&quot;Haines&quot;,&quot;given&quot;:&quot;Jess&quot;,&quot;parse-names&quot;:false,&quot;dropping-particle&quot;:&quot;&quot;,&quot;non-dropping-particle&quot;:&quot;&quot;},{&quot;family&quot;:&quot;Prowse&quot;,&quot;given&quot;:&quot;Rachel&quot;,&quot;parse-names&quot;:false,&quot;dropping-particle&quot;:&quot;&quot;,&quot;non-dropping-particle&quot;:&quot;&quot;},{&quot;family&quot;:&quot;Olstad&quot;,&quot;given&quot;:&quot;Dana Lee&quot;,&quot;parse-names&quot;:false,&quot;dropping-particle&quot;:&quot;&quot;,&quot;non-dropping-particle&quot;:&quot;&quot;},{&quot;family&quot;:&quot;Garriguet&quot;,&quot;given&quot;:&quot;Didier&quot;,&quot;parse-names&quot;:false,&quot;dropping-particle&quot;:&quot;&quot;,&quot;non-dropping-particle&quot;:&quot;&quot;},{&quot;family&quot;:&quot;Vena&quot;,&quot;given&quot;:&quot;Jennifer&quot;,&quot;parse-names&quot;:false,&quot;dropping-particle&quot;:&quot;&quot;,&quot;non-dropping-particle&quot;:&quot;&quot;},{&quot;family&quot;:&quot;Vatanpatast&quot;,&quot;given&quot;:&quot;Hassan&quot;,&quot;parse-names&quot;:false,&quot;dropping-particle&quot;:&quot;&quot;,&quot;non-dropping-particle&quot;:&quot;&quot;},{&quot;family&quot;:&quot;L’abbe&quot;,&quot;given&quot;:&quot;Mary R.&quot;,&quot;parse-names&quot;:false,&quot;dropping-particle&quot;:&quot;&quot;,&quot;non-dropping-particle&quot;:&quot;&quot;},{&quot;family&quot;:&quot;Lamarche&quot;,&quot;given&quot;:&quot;Benoît&quot;,&quot;parse-names&quot;:false,&quot;dropping-particle&quot;:&quot;&quot;,&quot;non-dropping-particle&quot;:&quot;&quot;}],&quot;container-title&quot;:&quot;Applied Physiology, Nutrition and Metabolism&quot;,&quot;DOI&quot;:&quot;10.1139/apnm-2021-0415&quot;,&quot;ISSN&quot;:&quot;17155320&quot;,&quot;PMID&quot;:&quot;35030038&quot;,&quot;issued&quot;:{&quot;date-parts&quot;:[[2022]]},&quot;page&quot;:&quot;595-610&quot;,&quot;abstract&quot;:&quot;The release of Canada’s Food Guide (CFG) in 2019 by Health Canada prompted the development of indices to measure adherence to these updated dietary recommendations for Canadians. This study describes the development and scoring standards of the Healthy Eating Food Index (HEFI-2019), which is intended to measure alignment of eating patterns with CFG-2019 recommendations on food choices among Canadians aged 2 years and older. Alignment with the intent of each key recommendation in the CFG-2019 was the primary principle guiding the development of the HEFI-2019. Additional considerations included previously published indices, data on Canadians’ dietary intakes from the 2015 Canadian Community Health Survey-Nutrition, and expert judgement. The HEFI-2019 includes 10 components: Vegetables and fruits (20 points), Whole-grain foods (5 points), Grain foods ratio (5 points), Protein foods (5 points), Plant-based protein foods (5 points), Beverages (10 points), Fatty acids ratio (5 points), Saturated fats (5 points), Free sugars (10 points), and Sodium (10 points). All components are expressed as ratios (e.g., proportions of total foods, total beverages, or total energy). The HEFI-2019 score has a maximum of 80 points. Potential uses of the HEFI-2019 include research as well as monitoring and surveillance of food choices in population-based surveys. Novelty: • The Healthy Eating Food Index-2019 was developed to measure adherence to the 2019 Canada’s Food Guide recommendations on healthy food choices. • The HEFI-2019 includes 10 components, of which 5 are based on foods, 1 on beverages and 4 on nutrients, for a total of 80 points.&quot;,&quot;publisher&quot;:&quot;Canadian Science Publishing&quot;,&quot;issue&quot;:&quot;5&quot;,&quot;volume&quot;:&quot;47&quot;,&quot;container-title-short&quot;:&quot;&quot;},&quot;isTemporary&quot;:false}]},{&quot;citationID&quot;:&quot;MENDELEY_CITATION_d1ea13f1-8ba4-4bb8-813f-fdfaf0e22bda&quot;,&quot;properties&quot;:{&quot;noteIndex&quot;:0},&quot;isEdited&quot;:false,&quot;manualOverride&quot;:{&quot;isManuallyOverridden&quot;:false,&quot;citeprocText&quot;:&quot;[12]&quot;,&quot;manualOverrideText&quot;:&quot;&quot;},&quot;citationTag&quot;:&quot;MENDELEY_CITATION_v3_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&quot;,&quot;citationItems&quot;:[{&quot;id&quot;:&quot;56b55f8f-4319-3346-8ec9-8c98646e7332&quot;,&quot;itemData&quot;:{&quot;type&quot;:&quot;article-journal&quot;,&quot;id&quot;:&quot;56b55f8f-4319-3346-8ec9-8c98646e7332&quot;,&quot;title&quot;:&quot;Development of the Healthy Eating Index-2005&quot;,&quot;author&quot;:[{&quot;family&quot;:&quot;Guenther&quot;,&quot;given&quot;:&quot;Patricia M.&quot;,&quot;parse-names&quot;:false,&quot;dropping-particle&quot;:&quot;&quot;,&quot;non-dropping-particle&quot;:&quot;&quot;},{&quot;family&quot;:&quot;Reedy&quot;,&quot;given&quot;:&quot;Jill&quot;,&quot;parse-names&quot;:false,&quot;dropping-particle&quot;:&quot;&quot;,&quot;non-dropping-particle&quot;:&quot;&quot;},{&quot;family&quot;:&quot;Krebs-Smith&quot;,&quot;given&quot;:&quot;Susan M.&quot;,&quot;parse-names&quot;:false,&quot;dropping-particle&quot;:&quot;&quot;,&quot;non-dropping-particle&quot;:&quot;&quot;}],&quot;container-title&quot;:&quot;Journal of the American Dietetic Association&quot;,&quot;container-title-short&quot;:&quot;J Am Diet Assoc&quot;,&quot;DOI&quot;:&quot;10.1016/j.jada.2008.08.016&quot;,&quot;ISSN&quot;:&quot;00028223&quot;,&quot;PMID&quot;:&quot;18954580&quot;,&quot;issued&quot;:{&quot;date-parts&quot;:[[2008,11]]},&quot;page&quot;:&quot;1896-1901&quot;,&quot;abstract&quot;:&quot;The Healthy Eating Index (HEI) is a measure of diet quality as specified by Federal dietary guidance, and publication of the Dietary Guidelines for Americans 2005 necessitated its revision. An interagency working group based the HEI-2005 on the food patterns found in MyPyramid. Diets that meet the least restrictive of the food-group recommendations, expressed on a per 1,000 calorie basis, receive maximum scores for the nine adequacy components of the index: total fruit (5 points), whole fruit (5 points), total vegetables (5 points), dark green and orange vegetables and legumes (5 points), total grains (5 points), whole grains (5 points), milk (10 points), meat and beans (10 points), and oils (10 points). Lesser amounts are prorated linearly. Population probability densities were examined when setting the standards for minimum and maximum scores for the three moderation components: saturated fat (10 points), sodium (10 points), and calories from solid fats, alcoholic beverages (ie, beer, wine, and distilled spirits), and added sugars (20 points). Calories from solid fats, alcoholic beverages, and added sugars is a proxy for the discretionary calorie allowance. The 2005 Dietary Guideline for saturated fat and the Adequate Intake and Tolerable Upper Intake Level for sodium, expressed per 1,000 calories, were used when setting the standards for those components. Intakes between the maximum and minimum standards are prorated. The HEI-2005 is a measure of diet quality as described by the key diet-related recommendations of the 2005 Dietary Guidelines. It has a variety of potential uses, including monitoring the diet quality of the US population and subpopulations, evaluation of interventions, and research.&quot;,&quot;issue&quot;:&quot;11&quot;,&quot;volume&quot;:&quot;108&quot;},&quot;isTemporary&quot;:false}]},{&quot;citationID&quot;:&quot;MENDELEY_CITATION_efc6394b-6e61-4258-bcb3-5e2d330b3f0a&quot;,&quot;properties&quot;:{&quot;noteIndex&quot;:0},&quot;isEdited&quot;:false,&quot;manualOverride&quot;:{&quot;isManuallyOverridden&quot;:false,&quot;citeprocText&quot;:&quot;[31]&quot;,&quot;manualOverrideText&quot;:&quot;&quot;},&quot;citationTag&quot;:&quot;MENDELEY_CITATION_v3_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&quot;,&quot;citationItems&quot;:[{&quot;id&quot;:&quot;5432e0f4-2628-3665-b85e-5b65df481189&quot;,&quot;itemData&quot;:{&quot;type&quot;:&quot;article-journal&quot;,&quot;id&quot;:&quot;5432e0f4-2628-3665-b85e-5b65df481189&quot;,&quot;title&quot;:&quot;Development of the Healthy Eating Food Index (HEFI)-2019 measuring adherence to Canada’s Food Guide 2019 recommendations on healthy food choices1&quot;,&quot;author&quot;:[{&quot;family&quot;:&quot;Brassard&quot;,&quot;given&quot;:&quot;Didier&quot;,&quot;parse-names&quot;:false,&quot;dropping-particle&quot;:&quot;&quot;,&quot;non-dropping-particle&quot;:&quot;&quot;},{&quot;family&quot;:&quot;Munene&quot;,&quot;given&quot;:&quot;Lisa Anne Elvidge&quot;,&quot;parse-names&quot;:false,&quot;dropping-particle&quot;:&quot;&quot;,&quot;non-dropping-particle&quot;:&quot;&quot;},{&quot;family&quot;:&quot;St-Pierre&quot;,&quot;given&quot;:&quot;Sylvie&quot;,&quot;parse-names&quot;:false,&quot;dropping-particle&quot;:&quot;&quot;,&quot;non-dropping-particle&quot;:&quot;&quot;},{&quot;family&quot;:&quot;Guenther&quot;,&quot;given&quot;:&quot;Patricia M.&quot;,&quot;parse-names&quot;:false,&quot;dropping-particle&quot;:&quot;&quot;,&quot;non-dropping-particle&quot;:&quot;&quot;},{&quot;family&quot;:&quot;Kirkpatrick&quot;,&quot;given&quot;:&quot;Sharon I.&quot;,&quot;parse-names&quot;:false,&quot;dropping-particle&quot;:&quot;&quot;,&quot;non-dropping-particle&quot;:&quot;&quot;},{&quot;family&quot;:&quot;Slater&quot;,&quot;given&quot;:&quot;Joyce&quot;,&quot;parse-names&quot;:false,&quot;dropping-particle&quot;:&quot;&quot;,&quot;non-dropping-particle&quot;:&quot;&quot;},{&quot;family&quot;:&quot;Lemieux&quot;,&quot;given&quot;:&quot;Simone&quot;,&quot;parse-names&quot;:false,&quot;dropping-particle&quot;:&quot;&quot;,&quot;non-dropping-particle&quot;:&quot;&quot;},{&quot;family&quot;:&quot;Jessri&quot;,&quot;given&quot;:&quot;Mahsa&quot;,&quot;parse-names&quot;:false,&quot;dropping-particle&quot;:&quot;&quot;,&quot;non-dropping-particle&quot;:&quot;&quot;},{&quot;family&quot;:&quot;Haines&quot;,&quot;given&quot;:&quot;Jess&quot;,&quot;parse-names&quot;:false,&quot;dropping-particle&quot;:&quot;&quot;,&quot;non-dropping-particle&quot;:&quot;&quot;},{&quot;family&quot;:&quot;Prowse&quot;,&quot;given&quot;:&quot;Rachel&quot;,&quot;parse-names&quot;:false,&quot;dropping-particle&quot;:&quot;&quot;,&quot;non-dropping-particle&quot;:&quot;&quot;},{&quot;family&quot;:&quot;Olstad&quot;,&quot;given&quot;:&quot;Dana Lee&quot;,&quot;parse-names&quot;:false,&quot;dropping-particle&quot;:&quot;&quot;,&quot;non-dropping-particle&quot;:&quot;&quot;},{&quot;family&quot;:&quot;Garriguet&quot;,&quot;given&quot;:&quot;Didier&quot;,&quot;parse-names&quot;:false,&quot;dropping-particle&quot;:&quot;&quot;,&quot;non-dropping-particle&quot;:&quot;&quot;},{&quot;family&quot;:&quot;Vena&quot;,&quot;given&quot;:&quot;Jennifer&quot;,&quot;parse-names&quot;:false,&quot;dropping-particle&quot;:&quot;&quot;,&quot;non-dropping-particle&quot;:&quot;&quot;},{&quot;family&quot;:&quot;Vatanpatast&quot;,&quot;given&quot;:&quot;Hassan&quot;,&quot;parse-names&quot;:false,&quot;dropping-particle&quot;:&quot;&quot;,&quot;non-dropping-particle&quot;:&quot;&quot;},{&quot;family&quot;:&quot;L’abbe&quot;,&quot;given&quot;:&quot;Mary R.&quot;,&quot;parse-names&quot;:false,&quot;dropping-particle&quot;:&quot;&quot;,&quot;non-dropping-particle&quot;:&quot;&quot;},{&quot;family&quot;:&quot;Lamarche&quot;,&quot;given&quot;:&quot;Benoît&quot;,&quot;parse-names&quot;:false,&quot;dropping-particle&quot;:&quot;&quot;,&quot;non-dropping-particle&quot;:&quot;&quot;}],&quot;container-title&quot;:&quot;Applied Physiology, Nutrition and Metabolism&quot;,&quot;DOI&quot;:&quot;10.1139/apnm-2021-0415&quot;,&quot;ISSN&quot;:&quot;17155320&quot;,&quot;PMID&quot;:&quot;35030038&quot;,&quot;issued&quot;:{&quot;date-parts&quot;:[[2022]]},&quot;page&quot;:&quot;595-610&quot;,&quot;abstract&quot;:&quot;The release of Canada’s Food Guide (CFG) in 2019 by Health Canada prompted the development of indices to measure adherence to these updated dietary recommendations for Canadians. This study describes the development and scoring standards of the Healthy Eating Food Index (HEFI-2019), which is intended to measure alignment of eating patterns with CFG-2019 recommendations on food choices among Canadians aged 2 years and older. Alignment with the intent of each key recommendation in the CFG-2019 was the primary principle guiding the development of the HEFI-2019. Additional considerations included previously published indices, data on Canadians’ dietary intakes from the 2015 Canadian Community Health Survey-Nutrition, and expert judgement. The HEFI-2019 includes 10 components: Vegetables and fruits (20 points), Whole-grain foods (5 points), Grain foods ratio (5 points), Protein foods (5 points), Plant-based protein foods (5 points), Beverages (10 points), Fatty acids ratio (5 points), Saturated fats (5 points), Free sugars (10 points), and Sodium (10 points). All components are expressed as ratios (e.g., proportions of total foods, total beverages, or total energy). The HEFI-2019 score has a maximum of 80 points. Potential uses of the HEFI-2019 include research as well as monitoring and surveillance of food choices in population-based surveys. Novelty: • The Healthy Eating Food Index-2019 was developed to measure adherence to the 2019 Canada’s Food Guide recommendations on healthy food choices. • The HEFI-2019 includes 10 components, of which 5 are based on foods, 1 on beverages and 4 on nutrients, for a total of 80 points.&quot;,&quot;publisher&quot;:&quot;Canadian Science Publishing&quot;,&quot;issue&quot;:&quot;5&quot;,&quot;volume&quot;:&quot;47&quot;,&quot;container-title-short&quot;:&quot;&quot;},&quot;isTemporary&quot;:false}]},{&quot;citationID&quot;:&quot;MENDELEY_CITATION_d4f757d8-6d41-4e75-a7a0-5ecc0af0e078&quot;,&quot;properties&quot;:{&quot;noteIndex&quot;:0},&quot;isEdited&quot;:false,&quot;manualOverride&quot;:{&quot;isManuallyOverridden&quot;:false,&quot;citeprocText&quot;:&quot;[36]&quot;,&quot;manualOverrideText&quot;:&quot;&quot;},&quot;citationTag&quot;:&quot;MENDELEY_CITATION_v3_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&quot;,&quot;citationItems&quot;:[{&quot;id&quot;:&quot;12d91c37-5790-32f1-bc9d-59773a4b35bd&quot;,&quot;itemData&quot;:{&quot;type&quot;:&quot;article-journal&quot;,&quot;id&quot;:&quot;12d91c37-5790-32f1-bc9d-59773a4b35bd&quot;,&quot;title&quot;:&quot;Diet quality indices for research in low- and middle-income countries: a systematic review&quot;,&quot;author&quot;:[{&quot;family&quot;:&quot;Trijsburg&quot;,&quot;given&quot;:&quot;Laura&quot;,&quot;parse-names&quot;:false,&quot;dropping-particle&quot;:&quot;&quot;,&quot;non-dropping-particle&quot;:&quot;&quot;},{&quot;family&quot;:&quot;Talsma&quot;,&quot;given&quot;:&quot;Elise F&quot;,&quot;parse-names&quot;:false,&quot;dropping-particle&quot;:&quot;&quot;,&quot;non-dropping-particle&quot;:&quot;&quot;},{&quot;family&quot;:&quot;Vries&quot;,&quot;given&quot;:&quot;Jeanne H M&quot;,&quot;parse-names&quot;:false,&quot;dropping-particle&quot;:&quot;&quot;,&quot;non-dropping-particle&quot;:&quot;de&quot;},{&quot;family&quot;:&quot;Kennedy&quot;,&quot;given&quot;:&quot;Gina&quot;,&quot;parse-names&quot;:false,&quot;dropping-particle&quot;:&quot;&quot;,&quot;non-dropping-particle&quot;:&quot;&quot;},{&quot;family&quot;:&quot;Kuijsten&quot;,&quot;given&quot;:&quot;Anneleen&quot;,&quot;parse-names&quot;:false,&quot;dropping-particle&quot;:&quot;&quot;,&quot;non-dropping-particle&quot;:&quot;&quot;},{&quot;family&quot;:&quot;Brouwer&quot;,&quot;given&quot;:&quot;Inge D&quot;,&quot;parse-names&quot;:false,&quot;dropping-particle&quot;:&quot;&quot;,&quot;non-dropping-particle&quot;:&quot;&quot;}],&quot;container-title&quot;:&quot;Nutrition Reviews&quot;,&quot;container-title-short&quot;:&quot;Nutr Rev&quot;,&quot;DOI&quot;:&quot;10.1093/nutrit/nuz017&quot;,&quot;ISSN&quot;:&quot;0029-6643&quot;,&quot;issued&quot;:{&quot;date-parts&quot;:[[2019,8,1]]},&quot;page&quot;:&quot;515-540&quot;,&quot;issue&quot;:&quot;8&quot;,&quot;volume&quot;:&quot;77&quot;},&quot;isTemporary&quot;:false}]},{&quot;citationID&quot;:&quot;MENDELEY_CITATION_4347ca09-2797-48ac-830f-a08af06a6787&quot;,&quot;properties&quot;:{&quot;noteIndex&quot;:0},&quot;isEdited&quot;:false,&quot;manualOverride&quot;:{&quot;isManuallyOverridden&quot;:false,&quot;citeprocText&quot;:&quot;[5–7, 45]&quot;,&quot;manualOverrideText&quot;:&quot;&quot;},&quot;citationTag&quot;:&quot;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&quot;,&quot;citationItems&quot;:[{&quot;id&quot;:&quot;46302cb7-dc2c-3ada-86a1-2d7937527729&quot;,&quot;itemData&quot;:{&quot;type&quot;:&quot;article-journal&quot;,&quot;id&quot;:&quot;46302cb7-dc2c-3ada-86a1-2d7937527729&quot;,&quot;title&quot;:&quot;Associations of key diet-quality indexes with mortality in the Multiethnic Cohort: the Dietary Patterns Methods Project.&quot;,&quot;author&quot;:[{&quot;family&quot;:&quot;Harmon&quot;,&quot;given&quot;:&quot;Brook E&quot;,&quot;parse-names&quot;:false,&quot;dropping-particle&quot;:&quot;&quot;,&quot;non-dropping-particle&quot;:&quot;&quot;},{&quot;family&quot;:&quot;Boushey&quot;,&quot;given&quot;:&quot;Carol J&quot;,&quot;parse-names&quot;:false,&quot;dropping-particle&quot;:&quot;&quot;,&quot;non-dropping-particle&quot;:&quot;&quot;},{&quot;family&quot;:&quot;Shvetsov&quot;,&quot;given&quot;:&quot;Yurii B&quot;,&quot;parse-names&quot;:false,&quot;dropping-particle&quot;:&quot;&quot;,&quot;non-dropping-particle&quot;:&quot;&quot;},{&quot;family&quot;:&quot;Ettienne&quot;,&quot;given&quot;:&quot;Reynolette&quot;,&quot;parse-names&quot;:false,&quot;dropping-particle&quot;:&quot;&quot;,&quot;non-dropping-particle&quot;:&quot;&quot;},{&quot;family&quot;:&quot;Reedy&quot;,&quot;given&quot;:&quot;Jill&quot;,&quot;parse-names&quot;:false,&quot;dropping-particle&quot;:&quot;&quot;,&quot;non-dropping-particle&quot;:&quot;&quot;},{&quot;family&quot;:&quot;Wilkens&quot;,&quot;given&quot;:&quot;Lynne R&quot;,&quot;parse-names&quot;:false,&quot;dropping-particle&quot;:&quot;&quot;,&quot;non-dropping-particle&quot;:&quot;&quot;},{&quot;family&quot;:&quot;Marchand&quot;,&quot;given&quot;:&quot;Loic&quot;,&quot;parse-names&quot;:false,&quot;dropping-particle&quot;:&quot;&quot;,&quot;non-dropping-particle&quot;:&quot;Le&quot;},{&quot;family&quot;:&quot;Henderson&quot;,&quot;given&quot;:&quot;Brian E&quot;,&quot;parse-names&quot;:false,&quot;dropping-particle&quot;:&quot;&quot;,&quot;non-dropping-particle&quot;:&quot;&quot;},{&quot;family&quot;:&quot;Kolonel&quot;,&quot;given&quot;:&quot;Laurence N&quot;,&quot;parse-names&quot;:false,&quot;dropping-particle&quot;:&quot;&quot;,&quot;non-dropping-particle&quot;:&quot;&quot;}],&quot;container-title&quot;:&quot;The American journal of clinical nutrition&quot;,&quot;container-title-short&quot;:&quot;Am J Clin Nutr&quot;,&quot;DOI&quot;:&quot;10.3945/ajcn.114.090688&quot;,&quot;ISSN&quot;:&quot;1938-3207&quot;,&quot;PMID&quot;:&quot;25733644&quot;,&quot;issued&quot;:{&quot;date-parts&quot;:[[2015,3]]},&quot;page&quot;:&quot;587-97&quot;,&quot;abstract&quot;:&quot;BACKGROUND Healthy dietary patterns have been linked positively with health and longevity. However, prospective studies in diverse populations in the United States addressing dietary patterns and mortality are limited. OBJECTIVE We assessed the ability of the following 4 diet-quality indexes [the Healthy Eating Index-2010 (HEI-2010), the Alternative HEI-2010 (AHEI-2010), the alternate Mediterranean diet score (aMED), and the Dietary Approaches to Stop Hypertension (DASH)] to predict the reduction in risk of mortality from all causes, cardiovascular disease (CVD), and cancer. DESIGN White, African American, Native Hawaiian, Japanese American, and Latino adults (n = 215,782) from the Multiethnic Cohort completed a quantitative food-frequency questionnaire. Scores for each dietary index were computed and divided into quintiles for men and women. Mortality was documented over 13-18 y of follow-up. HRs and 95% CIs were computed by using adjusted Cox models. RESULTS High HEI-2010, AHEI-2010, aMED, and DASH scores were all inversely associated with risk of mortality from all causes, CVD, and cancer in both men and women (P-trend &lt; 0.0001 for all models). For men, the HEI-2010 was consistently associated with a reduction in risk of mortality for all causes (HR: 0.75; 95% CI: 0.71, 0.79), CVD (HR: 0.74; 95% CI: 0.69, 0.81), and cancer (HR: 0.76; 95% CI: 0.70, 0.83) when lowest and highest quintiles were compared. In women, the AHEI and aMED showed large reductions for all-cause mortality (HR: 0.78; 95% CI: 0.74, 0.82), the AHEI showed large reductions for CVD (HR: 0.76; 95% CI: 0.69, 0.83), and the aMED showed large reductions for cancer (HR: 0.84; 95% CI: 0.76, 0. 92). CONCLUSION These results, in a US multiethnic population, suggest that consuming a dietary pattern that achieves a high diet-quality index score is associated with lower risk of mortality from all causes, CVD, and cancer in adult men and women.&quot;,&quot;issue&quot;:&quot;3&quot;,&quot;volume&quot;:&quot;101&quot;},&quot;isTemporary&quot;:false},{&quot;id&quot;:&quot;86fd5e10-0c48-3087-ab33-d172b1548cd1&quot;,&quot;itemData&quot;:{&quot;type&quot;:&quot;article-journal&quot;,&quot;id&quot;:&quot;86fd5e10-0c48-3087-ab33-d172b1548cd1&quot;,&quot;title&quot;:&quot;Changes in Diet Quality Scores and Risk of Cardiovascular Disease Among US Men and Women&quot;,&quot;author&quot;:[{&quot;family&quot;:&quot;Sotos-Prieto&quot;,&quot;given&quot;:&quot;Mercedes&quot;,&quot;parse-names&quot;:false,&quot;dropping-particle&quot;:&quot;&quot;,&quot;non-dropping-particle&quot;:&quot;&quot;},{&quot;family&quot;:&quot;Bhupathiraju&quot;,&quot;given&quot;:&quot;Shilpa N.&quot;,&quot;parse-names&quot;:false,&quot;dropping-particle&quot;:&quot;&quot;,&quot;non-dropping-particle&quot;:&quot;&quot;},{&quot;family&quot;:&quot;Mattei&quot;,&quot;given&quot;:&quot;Josiemer&quot;,&quot;parse-names&quot;:false,&quot;dropping-particle&quot;:&quot;&quot;,&quot;non-dropping-particle&quot;:&quot;&quot;},{&quot;family&quot;:&quot;Fung&quot;,&quot;given&quot;:&quot;Teresa T.&quot;,&quot;parse-names&quot;:false,&quot;dropping-particle&quot;:&quot;&quot;,&quot;non-dropping-particle&quot;:&quot;&quot;},{&quot;family&quot;:&quot;Li&quot;,&quot;given&quot;:&quot;Yanping&quot;,&quot;parse-names&quot;:false,&quot;dropping-particle&quot;:&quot;&quot;,&quot;non-dropping-particle&quot;:&quot;&quot;},{&quot;family&quot;:&quot;Pan&quot;,&quot;given&quot;:&quot;An&quot;,&quot;parse-names&quot;:false,&quot;dropping-particle&quot;:&quot;&quot;,&quot;non-dropping-particle&quot;:&quot;&quot;},{&quot;family&quot;:&quot;Willett&quot;,&quot;given&quot;:&quot;Walter C.&quot;,&quot;parse-names&quot;:false,&quot;dropping-particle&quot;:&quot;&quot;,&quot;non-dropping-particle&quot;:&quot;&quot;},{&quot;family&quot;:&quot;Rimm&quot;,&quot;given&quot;:&quot;Eric B.&quot;,&quot;parse-names&quot;:false,&quot;dropping-particle&quot;:&quot;&quot;,&quot;non-dropping-particle&quot;:&quot;&quot;},{&quot;family&quot;:&quot;Hu&quot;,&quot;given&quot;:&quot;Frank B.&quot;,&quot;parse-names&quot;:false,&quot;dropping-particle&quot;:&quot;&quot;,&quot;non-dropping-particle&quot;:&quot;&quot;}],&quot;container-title&quot;:&quot;Circulation&quot;,&quot;container-title-short&quot;:&quot;Circulation&quot;,&quot;accessed&quot;:{&quot;date-parts&quot;:[[2024,2,24]]},&quot;DOI&quot;:&quot;10.1161/CIRCULATIONAHA.115.017158&quot;,&quot;ISSN&quot;:&quot;1524-4539&quot;,&quot;PMID&quot;:&quot;26644246&quot;,&quot;URL&quot;:&quot;https://pubmed.ncbi.nlm.nih.gov/26644246/&quot;,&quot;issued&quot;:{&quot;date-parts&quot;:[[2015,12,8]]},&quot;page&quot;:&quot;2212-2219&quot;,&quot;abstract&quot;:&quot;Background - Adherence to several diet quality scores, including the Alternative Healthy Eating Index, Alternative Mediterranean Diet score, and Dietary Approach to Stop Hypertension, has been associated with lower risk of cardiovascular disease (CVD), but little is known about how changes in these scores over time influence subsequent CVD risk. Methods and Results - We analyzed the association between 4-year changes in the 3 diet quality scores (Alternative Healthy Eating Index, Alternative Mediterranean Diet score, and Dietary Approach to Stop Hypertension) and subsequent cardiovascular disease (CVD) risk among 29 343 men in the Health Professionals Follow-up Study and 51 195 women in the Nurses' Health Study (1986-2010). During 1 394 702 person-years of follow-up, we documented 11 793 CVD cases. Compared with participants whose diet quality remained relatively stable in each 4-year period, those with the greatest improvement in diet quality scores had a 7% to 8% lower CVD risk in the subsequent 4-year period (pooled hazard ratio, 0.92 [95% confidence interval (CI), 0.87-0.99] for the Alternative Healthy Eating Index; 0.93 [95% CI, 0.85-1.02] for the Alternative Mediterranean Diet score; and 0.93 [95% CI, 0.87-0.99] for the Dietary Approach to Stop Hypertension; all P for trend &lt;0.05). In the long term, increasing the diet scores from baseline to the first 4-year follow-up was associated with lower CVD risk during the next 20 years (7% [95% CI, 1-12] for the Alternative Healthy Eating Index, and 9% [95% CI, 3-14] for the Alternative Mediterranean Diet score). A decrease in diet quality scores was associated with significantly elevated risk of CVD in subsequent time periods. Conclusions - Improving adherence to diet quality scores over time is associated with significantly lower CVD risk in both the short term and long term.&quot;,&quot;publisher&quot;:&quot;Circulation&quot;,&quot;issue&quot;:&quot;23&quot;,&quot;volume&quot;:&quot;132&quot;},&quot;isTemporary&quot;:false},{&quot;id&quot;:&quot;139c0ea2-93ee-34dc-9267-8379b8ed462e&quot;,&quot;itemData&quot;:{&quot;type&quot;:&quot;article-journal&quot;,&quot;id&quot;:&quot;139c0ea2-93ee-34dc-9267-8379b8ed462e&quot;,&quot;title&quot;:&quot;Diet quality of Americans differs by age, sex, race/ethnicity, income, and education level&quot;,&quot;author&quot;:[{&quot;family&quot;:&quot;Hiza&quot;,&quot;given&quot;:&quot;Hazel A.B.&quot;,&quot;parse-names&quot;:false,&quot;dropping-particle&quot;:&quot;&quot;,&quot;non-dropping-particle&quot;:&quot;&quot;},{&quot;family&quot;:&quot;Casavale&quot;,&quot;given&quot;:&quot;Kellie O.&quot;,&quot;parse-names&quot;:false,&quot;dropping-particle&quot;:&quot;&quot;,&quot;non-dropping-particle&quot;:&quot;&quot;},{&quot;family&quot;:&quot;Guenther&quot;,&quot;given&quot;:&quot;Patricia M.&quot;,&quot;parse-names&quot;:false,&quot;dropping-particle&quot;:&quot;&quot;,&quot;non-dropping-particle&quot;:&quot;&quot;},{&quot;family&quot;:&quot;Davis&quot;,&quot;given&quot;:&quot;Carole A.&quot;,&quot;parse-names&quot;:false,&quot;dropping-particle&quot;:&quot;&quot;,&quot;non-dropping-particle&quot;:&quot;&quot;}],&quot;container-title&quot;:&quot;Journal of the Academy of Nutrition and Dietetics&quot;,&quot;container-title-short&quot;:&quot;J Acad Nutr Diet&quot;,&quot;accessed&quot;:{&quot;date-parts&quot;:[[2024,2,24]]},&quot;DOI&quot;:&quot;10.1016/J.JAND.2012.08.011&quot;,&quot;ISSN&quot;:&quot;2212-2672&quot;,&quot;PMID&quot;:&quot;23168270&quot;,&quot;URL&quot;:&quot;https://pubmed.ncbi.nlm.nih.gov/23168270/&quot;,&quot;issued&quot;:{&quot;date-parts&quot;:[[2013,2]]},&quot;page&quot;:&quot;297-306&quot;,&quot;abstract&quot;:&quot;An index that assesses the multidimensional components of the diet across the lifecycle is useful in describing diet quality. The purpose of this study was to use the Healthy Eating Index-2005, a measure of diet quality in terms of conformance to the 2005 Dietary Guidelines for Americans, to describe the diet quality of Americans by varying sociodemographic characteristics in order to provide insight as to where diets need to improve. The Healthy Eating Index-2005 scores were estimated using 1 day of dietary intake data provided by participants in the 2003-2004 National Health and Nutrition Examination Survey. Mean daily intakes of foods and nutrients, expressed per 1,000 kilocalories, were estimated using the population ratio method and compared with standards that reflect the 2005 Dietary Guidelines for Americans. Participants included 3,286 children (2 to 17 years), 3,690 young and middle-aged adults (18 to 64 years), and 1,296 older adults (65+ years). Results are reported as percentages of maximum scores and tested for significant differences (P≤0.05) by age, sex, race/ethnicity, income, and education levels. Children and older adults had better-quality diets than younger and middle-aged adults; women had better-quality diets than men; Hispanics had better-quality diets than blacks and whites; and diet quality of adults, but not children, generally improved with income level, except for sodium. The diets of Americans, regardless of socioeconomic status, are far from optimal. Problematic dietary patterns were found among all sociodemographic groups. Major improvements in the nutritional health of the American public can be made by improving eating patterns. © 2013.&quot;,&quot;publisher&quot;:&quot;J Acad Nutr Diet&quot;,&quot;issue&quot;:&quot;2&quot;,&quot;volume&quot;:&quot;113&quot;},&quot;isTemporary&quot;:false},{&quot;id&quot;:&quot;b3f4bc64-eeed-39a0-a869-8107c9023452&quot;,&quot;itemData&quot;:{&quot;type&quot;:&quot;report&quot;,&quot;id&quot;:&quot;b3f4bc64-eeed-39a0-a869-8107c9023452&quot;,&quot;title&quot;:&quot;Healthy diet metrics: a suitability assessment of indicators for global and national monitoring purposes&quot;,&quot;author&quot;:[{&quot;family&quot;:&quot;Eric O Verger&quot;,&quot;given&quot;:&quot;&quot;,&quot;parse-names&quot;:false,&quot;dropping-particle&quot;:&quot;&quot;,&quot;non-dropping-particle&quot;:&quot;&quot;},{&quot;family&quot;:&quot;Mathilde Savy&quot;,&quot;given&quot;:&quot;&quot;,&quot;parse-names&quot;:false,&quot;dropping-particle&quot;:&quot;&quot;,&quot;non-dropping-particle&quot;:&quot;&quot;},{&quot;family&quot;:&quot;Yves Martin-Prével&quot;,&quot;given&quot;:&quot;&quot;,&quot;parse-names&quot;:false,&quot;dropping-particle&quot;:&quot;&quot;,&quot;non-dropping-particle&quot;:&quot;&quot;},{&quot;family&quot;:&quot;Jennifer Coates&quot;,&quot;given&quot;:&quot;&quot;,&quot;parse-names&quot;:false,&quot;dropping-particle&quot;:&quot;&quot;,&quot;non-dropping-particle&quot;:&quot;&quot;},{&quot;family&quot;:&quot;Edward Frongillo&quot;,&quot;given&quot;:&quot;&quot;,&quot;parse-names&quot;:false,&quot;dropping-particle&quot;:&quot;&quot;,&quot;non-dropping-particle&quot;:&quot;&quot;},{&quot;family&quot;:&quot;Lynnette Neufeld&quot;,&quot;given&quot;:&quot;&quot;,&quot;parse-names&quot;:false,&quot;dropping-particle&quot;:&quot;&quot;,&quot;non-dropping-particle&quot;:&quot;&quot;}],&quot;issued&quot;:{&quot;date-parts&quot;:[[2023]]},&quot;publisher-place&quot;:&quot;Geneva&quot;,&quot;container-title-short&quot;:&quot;&quot;},&quot;isTemporary&quot;:false}]},{&quot;citationID&quot;:&quot;MENDELEY_CITATION_228a65fc-b6e0-4d04-a67a-55789e687639&quot;,&quot;properties&quot;:{&quot;noteIndex&quot;:0},&quot;isEdited&quot;:false,&quot;manualOverride&quot;:{&quot;isManuallyOverridden&quot;:false,&quot;citeprocText&quot;:&quot;[8, 46–48]&quot;,&quot;manualOverrideText&quot;:&quot;&quot;},&quot;citationTag&quot;:&quot;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&quot;,&quot;citationItems&quot;:[{&quot;id&quot;:&quot;fd086330-7bb2-351f-8e1d-109ae1be84be&quot;,&quot;itemData&quot;:{&quot;type&quot;:&quot;article-journal&quot;,&quot;id&quot;:&quot;fd086330-7bb2-351f-8e1d-109ae1be84be&quot;,&quot;title&quot;:&quot;The Use of Healthy Eating Index 2015 and Healthy Beverage Index for Predicting and Modifying Cardiovascular and Renal Outcomes.&quot;,&quot;author&quot;:[{&quot;family&quot;:&quot;Ertuglu&quot;,&quot;given&quot;:&quot;Lale A&quot;,&quot;parse-names&quot;:false,&quot;dropping-particle&quot;:&quot;&quot;,&quot;non-dropping-particle&quot;:&quot;&quot;},{&quot;family&quot;:&quot;Demiray&quot;,&quot;given&quot;:&quot;Atalay&quot;,&quot;parse-names&quot;:false,&quot;dropping-particle&quot;:&quot;&quot;,&quot;non-dropping-particle&quot;:&quot;&quot;},{&quot;family&quot;:&quot;Afsar&quot;,&quot;given&quot;:&quot;Baris&quot;,&quot;parse-names&quot;:false,&quot;dropping-particle&quot;:&quot;&quot;,&quot;non-dropping-particle&quot;:&quot;&quot;},{&quot;family&quot;:&quot;Ortiz&quot;,&quot;given&quot;:&quot;Alberto&quot;,&quot;parse-names&quot;:false,&quot;dropping-particle&quot;:&quot;&quot;,&quot;non-dropping-particle&quot;:&quot;&quot;},{&quot;family&quot;:&quot;Kanbay&quot;,&quot;given&quot;:&quot;Mehmet&quot;,&quot;parse-names&quot;:false,&quot;dropping-particle&quot;:&quot;&quot;,&quot;non-dropping-particle&quot;:&quot;&quot;}],&quot;container-title&quot;:&quot;Current nutrition reports&quot;,&quot;container-title-short&quot;:&quot;Curr Nutr Rep&quot;,&quot;DOI&quot;:&quot;10.1007/s13668-022-00415-2&quot;,&quot;ISSN&quot;:&quot;2161-3311&quot;,&quot;PMID&quot;:&quot;35476188&quot;,&quot;issued&quot;:{&quot;date-parts&quot;:[[2022,9]]},&quot;page&quot;:&quot;526-535&quot;,&quot;abstract&quot;:&quot;PURPOSE OF REVIEW With the wide recognition of the importance of dietary patterns rather than isolated nutrient groups on health outcomes, numerous diet quality indices have been designed to evaluate the overall food intake quality in the last two decades. RECENT FINDINGS The newest version of the Healthy Eating Index (HEI), HEI-2015, is a diet quality index that measures adherence to the recommendations of the 2015-2020 Dietary Guidelines for Americans. While the key nutrient groups are included in most diet quality indices, differences in other components and the scoring system differentiate HEI. The Healthy Beverage Index (HBI) was recently introduced. Previous literature has confirmed the association of the older versions of HEI with metabolic syndrome, inflammatory markers, and negative health outcomes including cardiovascular disease, type 2 diabetes mellitus, chronic kidney disease, and all-cause mortality. This review presents the existing evidence on the association of HEI-2015 and HBI with health markers and long-term outcome, provides guidance on their use, and identifies persisting challenges such as the development of simple, unified, and objective tools to characterize healthy diets in routine clinical practice.&quot;,&quot;issue&quot;:&quot;3&quot;,&quot;volume&quot;:&quot;11&quot;},&quot;isTemporary&quot;:false},{&quot;id&quot;:&quot;a994ce5f-c744-3191-b0ff-a6ee5833544d&quot;,&quot;itemData&quot;:{&quot;type&quot;:&quot;article-journal&quot;,&quot;id&quot;:&quot;a994ce5f-c744-3191-b0ff-a6ee5833544d&quot;,&quot;title&quot;:&quot;Healthy eating index patterns in adults by sex and age predict cardiometabolic risk factors in a cross-sectional study.&quot;,&quot;author&quot;:[{&quot;family&quot;:&quot;Artegoitia&quot;,&quot;given&quot;:&quot;Virginia M&quot;,&quot;parse-names&quot;:false,&quot;dropping-particle&quot;:&quot;&quot;,&quot;non-dropping-particle&quot;:&quot;&quot;},{&quot;family&quot;:&quot;Krishnan&quot;,&quot;given&quot;:&quot;Sridevi&quot;,&quot;parse-names&quot;:false,&quot;dropping-particle&quot;:&quot;&quot;,&quot;non-dropping-particle&quot;:&quot;&quot;},{&quot;family&quot;:&quot;Bonnel&quot;,&quot;given&quot;:&quot;Ellen L&quot;,&quot;parse-names&quot;:false,&quot;dropping-particle&quot;:&quot;&quot;,&quot;non-dropping-particle&quot;:&quot;&quot;},{&quot;family&quot;:&quot;Stephensen&quot;,&quot;given&quot;:&quot;Charles B&quot;,&quot;parse-names&quot;:false,&quot;dropping-particle&quot;:&quot;&quot;,&quot;non-dropping-particle&quot;:&quot;&quot;},{&quot;family&quot;:&quot;Keim&quot;,&quot;given&quot;:&quot;Nancy L&quot;,&quot;parse-names&quot;:false,&quot;dropping-particle&quot;:&quot;&quot;,&quot;non-dropping-particle&quot;:&quot;&quot;},{&quot;family&quot;:&quot;Newman&quot;,&quot;given&quot;:&quot;John W&quot;,&quot;parse-names&quot;:false,&quot;dropping-particle&quot;:&quot;&quot;,&quot;non-dropping-particle&quot;:&quot;&quot;}],&quot;container-title&quot;:&quot;BMC nutrition&quot;,&quot;container-title-short&quot;:&quot;BMC Nutr&quot;,&quot;DOI&quot;:&quot;10.1186/s40795-021-00432-4&quot;,&quot;ISSN&quot;:&quot;2055-0928&quot;,&quot;PMID&quot;:&quot;34154665&quot;,&quot;issued&quot;:{&quot;date-parts&quot;:[[2021,6,22]]},&quot;page&quot;:&quot;30&quot;,&quot;abstract&quot;:&quot;BACKGROUND Associations between diet and cardiometabolic disease (CMD) risk may vary in men and women owing to sex differences in eating habits and physiology. The current secondary analysis sought to determine the ability of sex differences in dietary patterns to discriminate groups with or without CMD risk factors (CMDrf) in the adult population and if this was influenced by age. METHODS Diet patterns and quality were evaluated using 24 h recall-based Healthy Eating Index (HEI-2015) in free-living apparently healthy men (n = 184) and women (n = 209) 18-65 y of age with BMIs of 18-44 kg/m2. Participants were stratified into low- and high-CMDrf groups based on the presence/absence of at least one CMDrf: BMI &gt; 25 kg/m2; fasting triglycerides &gt; 150 mg/dL; HDL cholesterol &lt; 50 mg/dL-women or &lt; 40 mg/dL-men; HOMA &gt; 2; HbA1c &gt; 5.7. Sex by age dietary patterns were stratified by multivariate analyses, with metabolic variable associations established by stepwise discriminant analysis. RESULTS Diet quality increased with age in both sexes (P &lt; 0.01), while women showed higher fruit, vegetable and saturated fat intake as a percentage of total energy (P &lt; 0.05). The total-HEI score (i.e. diet quality) was lower in the high-CMDrf group (P = 0.01), however, diet quality parameters predicted CMDrf presence more accurately when separated by sex. Lower 'total vegetable' intake in the high-CMDrf group in both sexes, while high-CMDrf men also had lower 'total vegetables', 'greens and beans' intake, and high-CMDrf women had lower 'total fruits', 'whole-fruits', 'total vegetables', 'seafood and plant-proteins', 'fatty acids', and 'saturated fats' intakes (P &lt; 0.05). Moreover, 'dairy' intake was higher in high-CMDrf women but not in men (sex by 'dairy' interaction P = 0.01). Sex by age diet pattern models predicted CMDrf with a 93 and 89% sensitivity and 84 and 92% specificity in women and men, respectively. CONCLUSIONS Sex and age differences in dietary patterns classified participants with and without accepted CMDrfs, supporting an association between specific diet components and CMD risk that differs by sex. Including sex specific dietary patterns into health assessments may provide targeted nutritional guidance to reduce the burden of cardiovascular disease. TRIAL REGISTRATION ClinicalTrials.gov : NCT02367287 . ClinicalTrials.gov : NCT02298725 .&quot;,&quot;issue&quot;:&quot;1&quot;,&quot;volume&quot;:&quot;7&quot;},&quot;isTemporary&quot;:false},{&quot;id&quot;:&quot;0bfab0cb-82d6-3590-a02d-ca37d33e7db2&quot;,&quot;itemData&quot;:{&quot;type&quot;:&quot;article-journal&quot;,&quot;id&quot;:&quot;0bfab0cb-82d6-3590-a02d-ca37d33e7db2&quot;,&quot;title&quot;:&quot;Healthy Eating Index-2015 and Predicted 10-Year Cardiovascular Disease Risk, as Well as Heart Age&quot;,&quot;author&quot;:[{&quot;family&quot;:&quot;Zhang&quot;,&quot;given&quot;:&quot;Yinyin&quot;,&quot;parse-names&quot;:false,&quot;dropping-particle&quot;:&quot;&quot;,&quot;non-dropping-particle&quot;:&quot;&quot;},{&quot;family&quot;:&quot;Lu&quot;,&quot;given&quot;:&quot;Cong&quot;,&quot;parse-names&quot;:false,&quot;dropping-particle&quot;:&quot;&quot;,&quot;non-dropping-particle&quot;:&quot;&quot;},{&quot;family&quot;:&quot;Li&quot;,&quot;given&quot;:&quot;Xinyu&quot;,&quot;parse-names&quot;:false,&quot;dropping-particle&quot;:&quot;&quot;,&quot;non-dropping-particle&quot;:&quot;&quot;},{&quot;family&quot;:&quot;Fan&quot;,&quot;given&quot;:&quot;Yameng&quot;,&quot;parse-names&quot;:false,&quot;dropping-particle&quot;:&quot;&quot;,&quot;non-dropping-particle&quot;:&quot;&quot;},{&quot;family&quot;:&quot;Li&quot;,&quot;given&quot;:&quot;Jiaqiao&quot;,&quot;parse-names&quot;:false,&quot;dropping-particle&quot;:&quot;&quot;,&quot;non-dropping-particle&quot;:&quot;&quot;},{&quot;family&quot;:&quot;Liu&quot;,&quot;given&quot;:&quot;Yamei&quot;,&quot;parse-names&quot;:false,&quot;dropping-particle&quot;:&quot;&quot;,&quot;non-dropping-particle&quot;:&quot;&quot;},{&quot;family&quot;:&quot;Yu&quot;,&quot;given&quot;:&quot;Yan&quot;,&quot;parse-names&quot;:false,&quot;dropping-particle&quot;:&quot;&quot;,&quot;non-dropping-particle&quot;:&quot;&quot;},{&quot;family&quot;:&quot;Zhou&quot;,&quot;given&quot;:&quot;Long&quot;,&quot;parse-names&quot;:false,&quot;dropping-particle&quot;:&quot;&quot;,&quot;non-dropping-particle&quot;:&quot;&quot;}],&quot;container-title&quot;:&quot;Frontiers in Nutrition&quot;,&quot;container-title-short&quot;:&quot;Front Nutr&quot;,&quot;DOI&quot;:&quot;10.3389/fnut.2022.888966&quot;,&quot;ISSN&quot;:&quot;2296-861X&quot;,&quot;issued&quot;:{&quot;date-parts&quot;:[[2022,7,12]]},&quot;volume&quot;:&quot;9&quot;},&quot;isTemporary&quot;:false},{&quot;id&quot;:&quot;dd8edc94-5e6a-3626-ab19-8e6124d0d6d5&quot;,&quot;itemData&quot;:{&quot;type&quot;:&quot;article-journal&quot;,&quot;id&quot;:&quot;dd8edc94-5e6a-3626-ab19-8e6124d0d6d5&quot;,&quot;title&quot;:&quot;Adherence to the Healthy Eating Index and Alternative Healthy Eating Index dietary patterns and mortality from all causes, cardiovascular disease and cancer: a meta-analysis of observational studies.&quot;,&quot;author&quot;:[{&quot;family&quot;:&quot;Onvani&quot;,&quot;given&quot;:&quot;S&quot;,&quot;parse-names&quot;:false,&quot;dropping-particle&quot;:&quot;&quot;,&quot;non-dropping-particle&quot;:&quot;&quot;},{&quot;family&quot;:&quot;Haghighatdoost&quot;,&quot;given&quot;:&quot;F&quot;,&quot;parse-names&quot;:false,&quot;dropping-particle&quot;:&quot;&quot;,&quot;non-dropping-particle&quot;:&quot;&quot;},{&quot;family&quot;:&quot;Surkan&quot;,&quot;given&quot;:&quot;P J&quot;,&quot;parse-names&quot;:false,&quot;dropping-particle&quot;:&quot;&quot;,&quot;non-dropping-particle&quot;:&quot;&quot;},{&quot;family&quot;:&quot;Larijani&quot;,&quot;given&quot;:&quot;B&quot;,&quot;parse-names&quot;:false,&quot;dropping-particle&quot;:&quot;&quot;,&quot;non-dropping-particle&quot;:&quot;&quot;},{&quot;family&quot;:&quot;Azadbakht&quot;,&quot;given&quot;:&quot;L&quot;,&quot;parse-names&quot;:false,&quot;dropping-particle&quot;:&quot;&quot;,&quot;non-dropping-particle&quot;:&quot;&quot;}],&quot;container-title&quot;:&quot;Journal of human nutrition and dietetics : the official journal of the British Dietetic Association&quot;,&quot;container-title-short&quot;:&quot;J Hum Nutr Diet&quot;,&quot;DOI&quot;:&quot;10.1111/jhn.12415&quot;,&quot;ISSN&quot;:&quot;1365-277X&quot;,&quot;PMID&quot;:&quot;27620213&quot;,&quot;issued&quot;:{&quot;date-parts&quot;:[[2017,4]]},&quot;page&quot;:&quot;216-226&quot;,&quot;abstract&quot;:&quot;BACKGROUND This meta-analysis investigated the association of diet quality indices, as assessed by HEI and AHEI, and the risk of all-cause, cardiovascular and cancer mortality. METHODS We used PubMed, ISI Web of Science and Google Scholar to search for eligible articles published before July 2015. A total of 12 cohort studies (38 reports) and one cross-sectional study (three reports) met the inclusion criteria and were included in our meta-analysis. RESULTS The highest level of adherence to the Healthy Eating Index (HEI) and Alternative Healthy Eating Index (AHEI) was significantly associated with a reduced risk of all-cause mortality [relative risk (RR) = 0.77, 95% confidence intterval (CI) = 0.76-0.78], cardiovascular mortality (RR = 0.77, 95% CI = 0.74-0.80) and cancer mortality (RR = 0.83, 95% CI = 0.81-0.86). Egger regression tests provided no evidence of publication bias. CONCLUSIONS The present study indicates that high adherence to HEI and AHEI dietary patterns, indicating high diet quality, are associated with reduced risk of all-cause mortality (as well as cardiovascular mortality and cancer mortality).&quot;,&quot;issue&quot;:&quot;2&quot;,&quot;volume&quot;:&quot;30&quot;},&quot;isTemporary&quot;:false}]},{&quot;citationID&quot;:&quot;MENDELEY_CITATION_728403e7-cf0c-4626-a97d-d8199877e482&quot;,&quot;properties&quot;:{&quot;noteIndex&quot;:0},&quot;isEdited&quot;:false,&quot;manualOverride&quot;:{&quot;isManuallyOverridden&quot;:false,&quot;citeprocText&quot;:&quot;[49]&quot;,&quot;manualOverrideText&quot;:&quot;&quot;},&quot;citationTag&quot;:&quot;MENDELEY_CITATION_v3_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&quot;,&quot;citationItems&quot;:[{&quot;id&quot;:&quot;0cb265a7-db92-3fb6-b9ad-6f1b62557fe4&quot;,&quot;itemData&quot;:{&quot;type&quot;:&quot;article-journal&quot;,&quot;id&quot;:&quot;0cb265a7-db92-3fb6-b9ad-6f1b62557fe4&quot;,&quot;title&quot;:&quot;A Summary Index of Feeding Practices Is Positively Associated with Height-for-Age, but Only Marginally with Linear Growth, in Rural Senegalese Infants and Toddlers&quot;,&quot;author&quot;:[{&quot;family&quot;:&quot;Bork&quot;,&quot;given&quot;:&quot;Kirsten&quot;,&quot;parse-names&quot;:false,&quot;dropping-particle&quot;:&quot;&quot;,&quot;non-dropping-particle&quot;:&quot;&quot;},{&quot;family&quot;:&quot;Cames&quot;,&quot;given&quot;:&quot;Cécile&quot;,&quot;parse-names&quot;:false,&quot;dropping-particle&quot;:&quot;&quot;,&quot;non-dropping-particle&quot;:&quot;&quot;},{&quot;family&quot;:&quot;Barigou&quot;,&quot;given&quot;:&quot;Sabah&quot;,&quot;parse-names&quot;:false,&quot;dropping-particle&quot;:&quot;&quot;,&quot;non-dropping-particle&quot;:&quot;&quot;},{&quot;family&quot;:&quot;Cournil&quot;,&quot;given&quot;:&quot;Amandine&quot;,&quot;parse-names&quot;:false,&quot;dropping-particle&quot;:&quot;&quot;,&quot;non-dropping-particle&quot;:&quot;&quot;},{&quot;family&quot;:&quot;Diallo&quot;,&quot;given&quot;:&quot;Aldiouma&quot;,&quot;parse-names&quot;:false,&quot;dropping-particle&quot;:&quot;&quot;,&quot;non-dropping-particle&quot;:&quot;&quot;}],&quot;container-title&quot;:&quot;The Journal of Nutrition&quot;,&quot;container-title-short&quot;:&quot;J Nutr&quot;,&quot;DOI&quot;:&quot;10.3945/jn.112.157602&quot;,&quot;ISSN&quot;:&quot;00223166&quot;,&quot;issued&quot;:{&quot;date-parts&quot;:[[2012,6]]},&quot;page&quot;:&quot;1116-1122&quot;,&quot;issue&quot;:&quot;6&quot;,&quot;volume&quot;:&quot;142&quot;},&quot;isTemporary&quot;:false}]},{&quot;citationID&quot;:&quot;MENDELEY_CITATION_78fb9301-7df2-4e9d-a5b9-0d8a0b72fd08&quot;,&quot;properties&quot;:{&quot;noteIndex&quot;:0},&quot;isEdited&quot;:false,&quot;manualOverride&quot;:{&quot;isManuallyOverridden&quot;:false,&quot;citeprocText&quot;:&quot;[50]&quot;,&quot;manualOverrideText&quot;:&quot;&quot;},&quot;citationTag&quot;:&quot;MENDELEY_CITATION_v3_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&quot;,&quot;citationItems&quot;:[{&quot;id&quot;:&quot;e9364834-666c-3b0e-b79f-43e90d02af65&quot;,&quot;itemData&quot;:{&quot;type&quot;:&quot;article-journal&quot;,&quot;id&quot;:&quot;e9364834-666c-3b0e-b79f-43e90d02af65&quot;,&quot;title&quot;:&quot;Evaluation of a Diet Quality Index Based on the Probability of Adequate Nutrient Intake (PANDiet) Using National French and US Dietary Surveys&quot;,&quot;author&quot;:[{&quot;family&quot;:&quot;Verger&quot;,&quot;given&quot;:&quot;Eric O.&quot;,&quot;parse-names&quot;:false,&quot;dropping-particle&quot;:&quot;&quot;,&quot;non-dropping-particle&quot;:&quot;&quot;},{&quot;family&quot;:&quot;Mariotti&quot;,&quot;given&quot;:&quot;François&quot;,&quot;parse-names&quot;:false,&quot;dropping-particle&quot;:&quot;&quot;,&quot;non-dropping-particle&quot;:&quot;&quot;},{&quot;family&quot;:&quot;Holmes&quot;,&quot;given&quot;:&quot;Bridget A.&quot;,&quot;parse-names&quot;:false,&quot;dropping-particle&quot;:&quot;&quot;,&quot;non-dropping-particle&quot;:&quot;&quot;},{&quot;family&quot;:&quot;Paineau&quot;,&quot;given&quot;:&quot;Damien&quot;,&quot;parse-names&quot;:false,&quot;dropping-particle&quot;:&quot;&quot;,&quot;non-dropping-particle&quot;:&quot;&quot;},{&quot;family&quot;:&quot;Huneau&quot;,&quot;given&quot;:&quot;Jean-François&quot;,&quot;parse-names&quot;:false,&quot;dropping-particle&quot;:&quot;&quot;,&quot;non-dropping-particle&quot;:&quot;&quot;}],&quot;container-title&quot;:&quot;PLoS ONE&quot;,&quot;container-title-short&quot;:&quot;PLoS One&quot;,&quot;DOI&quot;:&quot;10.1371/journal.pone.0042155&quot;,&quot;ISSN&quot;:&quot;1932-6203&quot;,&quot;issued&quot;:{&quot;date-parts&quot;:[[2012,8,3]]},&quot;page&quot;:&quot;e42155&quot;,&quot;issue&quot;:&quot;8&quot;,&quot;volume&quot;:&quot;7&quot;},&quot;isTemporary&quot;:false}]},{&quot;citationID&quot;:&quot;MENDELEY_CITATION_7c273c45-477b-4c7d-92fd-54c2346e02a6&quot;,&quot;properties&quot;:{&quot;noteIndex&quot;:0},&quot;isEdited&quot;:false,&quot;manualOverride&quot;:{&quot;isManuallyOverridden&quot;:false,&quot;citeprocText&quot;:&quot;[9]&quot;,&quot;manualOverrideText&quot;:&quot;&quot;},&quot;citationTag&quot;:&quot;MENDELEY_CITATION_v3_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&quot;,&quot;citationItems&quot;:[{&quot;id&quot;:&quot;9f44b0a5-8e19-3aa9-a47c-632e40386319&quot;,&quot;itemData&quot;:{&quot;type&quot;:&quot;article-journal&quot;,&quot;id&quot;:&quot;9f44b0a5-8e19-3aa9-a47c-632e40386319&quot;,&quot;title&quot;:&quot;Update of the Healthy Eating Index: HEI-2015.&quot;,&quot;author&quot;:[{&quot;family&quot;:&quot;Krebs-Smith&quot;,&quot;given&quot;:&quot;Susan M&quot;,&quot;parse-names&quot;:false,&quot;dropping-particle&quot;:&quot;&quot;,&quot;non-dropping-particle&quot;:&quot;&quot;},{&quot;family&quot;:&quot;Pannucci&quot;,&quot;given&quot;:&quot;TusaRebecca E&quot;,&quot;parse-names&quot;:false,&quot;dropping-particle&quot;:&quot;&quot;,&quot;non-dropping-particle&quot;:&quot;&quot;},{&quot;family&quot;:&quot;Subar&quot;,&quot;given&quot;:&quot;Amy F&quot;,&quot;parse-names&quot;:false,&quot;dropping-particle&quot;:&quot;&quot;,&quot;non-dropping-particle&quot;:&quot;&quot;},{&quot;family&quot;:&quot;Kirkpatrick&quot;,&quot;given&quot;:&quot;Sharon I&quot;,&quot;parse-names&quot;:false,&quot;dropping-particle&quot;:&quot;&quot;,&quot;non-dropping-particle&quot;:&quot;&quot;},{&quot;family&quot;:&quot;Lerman&quot;,&quot;given&quot;:&quot;Jennifer L&quot;,&quot;parse-names&quot;:false,&quot;dropping-particle&quot;:&quot;&quot;,&quot;non-dropping-particle&quot;:&quot;&quot;},{&quot;family&quot;:&quot;Tooze&quot;,&quot;given&quot;:&quot;Janet A&quot;,&quot;parse-names&quot;:false,&quot;dropping-particle&quot;:&quot;&quot;,&quot;non-dropping-particle&quot;:&quot;&quot;},{&quot;family&quot;:&quot;Wilson&quot;,&quot;given&quot;:&quot;Magdalena M&quot;,&quot;parse-names&quot;:false,&quot;dropping-particle&quot;:&quot;&quot;,&quot;non-dropping-particle&quot;:&quot;&quot;},{&quot;family&quot;:&quot;Reedy&quot;,&quot;given&quot;:&quot;Jill&quot;,&quot;parse-names&quot;:false,&quot;dropping-particle&quot;:&quot;&quot;,&quot;non-dropping-particle&quot;:&quot;&quot;}],&quot;container-title&quot;:&quot;Journal of the Academy of Nutrition and Dietetics&quot;,&quot;container-title-short&quot;:&quot;J Acad Nutr Diet&quot;,&quot;DOI&quot;:&quot;10.1016/j.jand.2018.05.021&quot;,&quot;ISSN&quot;:&quot;2212-2672&quot;,&quot;PMID&quot;:&quot;30146071&quot;,&quot;issued&quot;:{&quot;date-parts&quot;:[[2018]]},&quot;page&quot;:&quot;1591-1602&quot;,&quot;abstract&quot;:&quot;The Healthy Eating Index (HEI) is a measure for assessing whether a set of foods aligns with the Dietary Guidelines for Americans (DGA). An updated HEI is released to correspond to each new edition of the DGA, and this article introduces the latest version, which reflects the 2015-2020 DGA. The HEI-2015 components are the same as in the HEI-2010, except Saturated Fat and Added Sugars replace Empty Calories, with the result being 13 components. The 2015-2020 DGA include explicit recommendations to limit intakes of both Added Sugars and Saturated Fats to &lt;10% of energy. HEI-2015 does not account for excessive energy from alcohol within a separate component, but continues to account for all energy from alcohol within total energy (the denominator for most components). All other components remain the same as for HEI-2010, except for a change in the allocation of legumes. Previous versions of the HEI accounted for legumes in either the two vegetable or the two protein foods components, whereas HEI-2015 counts legumes toward all four components. Weighting approaches are similar to those of previous versions, and scoring standards were maintained, refined, or developed to increase consistency across components; better ensure face validity; follow precedent; cover a range of intakes; and, when applicable, ensure the DGA level corresponds to a score &gt;7 out of 10. HEI-2015 component scores can be examined collectively using radar graphs to reveal a pattern of diet quality and summed to represent overall diet quality.&quot;,&quot;issue&quot;:&quot;9&quot;,&quot;volume&quot;:&quot;118&quot;},&quot;isTemporary&quot;:false}]}]"/>
    <we:property name="MENDELEY_CITATIONS_LOCALE_CODE" value="&quot;en-US&quot;"/>
    <we:property name="MENDELEY_CITATIONS_STYLE" value="{&quot;id&quot;:&quot;https://www.zotero.org/styles/bmc-nutrition&quot;,&quot;title&quot;:&quot;BMC Nutr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022855-7C25-4CAF-95D5-E3A45FC95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nutrients-template.dot</Template>
  <TotalTime>1</TotalTime>
  <Pages>2</Pages>
  <Words>701</Words>
  <Characters>4001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Haya</dc:creator>
  <cp:keywords/>
  <dc:description/>
  <cp:lastModifiedBy>Nilesh Nawale</cp:lastModifiedBy>
  <cp:revision>2</cp:revision>
  <cp:lastPrinted>2025-01-17T18:28:00Z</cp:lastPrinted>
  <dcterms:created xsi:type="dcterms:W3CDTF">2025-04-10T05:02:00Z</dcterms:created>
  <dcterms:modified xsi:type="dcterms:W3CDTF">2025-04-10T05:02:00Z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310227f60f9d6b6d7d8d4f5d5339bbf15a36a134e30620d4d3c8bc0b05e7a903</vt:lpwstr>
  </property>
</Properties>
</file>