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238B4" w14:textId="77777777" w:rsidR="0098167A" w:rsidRDefault="0098167A" w:rsidP="0098167A">
      <w:pPr>
        <w:spacing w:line="360" w:lineRule="auto"/>
        <w:rPr>
          <w:rFonts w:ascii="Times New Roman" w:eastAsia="SimSun" w:hAnsi="Times New Roman" w:cs="Times New Roman (正文 CS 字体)"/>
          <w:b/>
          <w:bCs/>
          <w:sz w:val="24"/>
        </w:rPr>
      </w:pPr>
      <w:r>
        <w:rPr>
          <w:rFonts w:ascii="Times New Roman" w:eastAsia="SimSun" w:hAnsi="Times New Roman" w:cs="Times New Roman (正文 CS 字体)"/>
          <w:b/>
          <w:bCs/>
          <w:sz w:val="24"/>
        </w:rPr>
        <w:t>Supplementary Information</w:t>
      </w:r>
    </w:p>
    <w:p w14:paraId="5BA6144D"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Fig S1.</w:t>
      </w:r>
      <w:r>
        <w:rPr>
          <w:rFonts w:ascii="Times New Roman" w:eastAsia="SimSun" w:hAnsi="Times New Roman" w:cs="Times New Roman (正文 CS 字体)"/>
          <w:sz w:val="24"/>
        </w:rPr>
        <w:t xml:space="preserve"> </w:t>
      </w:r>
      <w:r>
        <w:rPr>
          <w:rFonts w:ascii="Times New Roman" w:eastAsia="SimSun" w:hAnsi="Times New Roman" w:cs="Times New Roman (正文 CS 字体)"/>
          <w:b/>
          <w:bCs/>
          <w:sz w:val="24"/>
        </w:rPr>
        <w:t>Clustering analysis was undertaken on the TCGA-GBM dataset.</w:t>
      </w:r>
      <w:r>
        <w:rPr>
          <w:rFonts w:ascii="Times New Roman" w:eastAsia="SimSun" w:hAnsi="Times New Roman" w:cs="Times New Roman (正文 CS 字体)"/>
          <w:sz w:val="24"/>
        </w:rPr>
        <w:t xml:space="preserve"> The outcomes unveiled a significant causal association of 97 DEGs with GBM by MR analysis, with 56 exposure factors identified as risk factors for GBM and 41 exposure factors identified as protective factors against GBM. </w:t>
      </w:r>
    </w:p>
    <w:p w14:paraId="0D65AFAF"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Fig S2.</w:t>
      </w:r>
      <w:r>
        <w:rPr>
          <w:rFonts w:ascii="Times New Roman" w:eastAsia="SimSun" w:hAnsi="Times New Roman" w:cs="Times New Roman (正文 CS 字体)"/>
          <w:sz w:val="24"/>
        </w:rPr>
        <w:t xml:space="preserve"> </w:t>
      </w:r>
      <w:r>
        <w:rPr>
          <w:rFonts w:ascii="Times New Roman" w:eastAsia="SimSun" w:hAnsi="Times New Roman" w:cs="Times New Roman (正文 CS 字体)"/>
          <w:b/>
          <w:bCs/>
          <w:sz w:val="24"/>
        </w:rPr>
        <w:t>The link of the expression patterns of candidate genes with GBM cases’ prognostic outcomes in the CGGA-325 dataset.</w:t>
      </w:r>
      <w:r>
        <w:rPr>
          <w:rFonts w:ascii="Times New Roman" w:eastAsia="SimSun" w:hAnsi="Times New Roman" w:cs="Times New Roman (正文 CS 字体)"/>
          <w:sz w:val="24"/>
        </w:rPr>
        <w:t xml:space="preserve"> NPC2 and SPI1 maintained notable correlations with GBM patients’ prognosis, and LRRC25 did not exhibit a significant association with patients’ survival in the CGGA-325 dataset.</w:t>
      </w:r>
    </w:p>
    <w:p w14:paraId="11117AA9"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Fig S3.</w:t>
      </w:r>
      <w:r>
        <w:rPr>
          <w:rFonts w:ascii="Times New Roman" w:eastAsia="SimSun" w:hAnsi="Times New Roman" w:cs="Times New Roman (正文 CS 字体)"/>
          <w:sz w:val="24"/>
        </w:rPr>
        <w:t xml:space="preserve"> </w:t>
      </w:r>
      <w:r>
        <w:rPr>
          <w:rFonts w:ascii="Times New Roman" w:eastAsia="SimSun" w:hAnsi="Times New Roman" w:cs="Times New Roman (正文 CS 字体)"/>
          <w:b/>
          <w:bCs/>
          <w:sz w:val="24"/>
        </w:rPr>
        <w:t>Single-cell sequencing analysis was employed to explore the expression of biomarkers at the cellular level. The expression of filtered single-cell data was shown in.</w:t>
      </w:r>
      <w:r>
        <w:rPr>
          <w:rFonts w:ascii="Times New Roman" w:eastAsia="SimSun" w:hAnsi="Times New Roman" w:cs="Times New Roman (正文 CS 字体)"/>
          <w:sz w:val="24"/>
        </w:rPr>
        <w:t xml:space="preserve"> Single cell sequencing data of 4 tumor tissues and 4 normal brain tissues at the distal end of tumor were obtained from GSE162631 dataset. Then, the single cell sequencing data were filtered by using the CreateSeuratObject function of Seurat package (version 4.0.5), and the genes with expression data in at least 3 cells and the cells with more than 100 detected genes were retained (min.cells=3, min.features=100). The PercentageFeatureSet function is used to calculate mitochondrial genes. Cells with mitochondrial genes less than 10% are reserved. The violin graph is used to display the data characteristics. </w:t>
      </w:r>
      <w:r>
        <w:rPr>
          <w:rFonts w:ascii="Times New Roman" w:eastAsia="SimSun" w:hAnsi="Times New Roman" w:cs="Times New Roman (正文 CS 字体)"/>
          <w:b/>
          <w:bCs/>
          <w:sz w:val="24"/>
        </w:rPr>
        <w:t>A-D</w:t>
      </w:r>
      <w:r>
        <w:rPr>
          <w:rFonts w:ascii="Times New Roman" w:eastAsia="SimSun" w:hAnsi="Times New Roman" w:cs="Times New Roman (正文 CS 字体)"/>
          <w:sz w:val="24"/>
        </w:rPr>
        <w:t xml:space="preserve"> 4 normal brain tissues. </w:t>
      </w:r>
      <w:r>
        <w:rPr>
          <w:rFonts w:ascii="Times New Roman" w:eastAsia="SimSun" w:hAnsi="Times New Roman" w:cs="Times New Roman (正文 CS 字体)"/>
          <w:b/>
          <w:bCs/>
          <w:sz w:val="24"/>
        </w:rPr>
        <w:t>E-H</w:t>
      </w:r>
      <w:r>
        <w:rPr>
          <w:rFonts w:ascii="Times New Roman" w:eastAsia="SimSun" w:hAnsi="Times New Roman" w:cs="Times New Roman (正文 CS 字体)"/>
          <w:sz w:val="24"/>
        </w:rPr>
        <w:t xml:space="preserve"> 4 tumor tissues.</w:t>
      </w:r>
    </w:p>
    <w:p w14:paraId="669B4DB4"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Fig S4.</w:t>
      </w:r>
      <w:r>
        <w:rPr>
          <w:rFonts w:ascii="Times New Roman" w:eastAsia="SimSun" w:hAnsi="Times New Roman" w:cs="Times New Roman (正文 CS 字体)"/>
          <w:sz w:val="24"/>
        </w:rPr>
        <w:t xml:space="preserve"> </w:t>
      </w:r>
      <w:r>
        <w:rPr>
          <w:rFonts w:ascii="Times New Roman" w:eastAsia="SimSun" w:hAnsi="Times New Roman" w:cs="Times New Roman (正文 CS 字体)"/>
          <w:b/>
          <w:bCs/>
          <w:sz w:val="24"/>
        </w:rPr>
        <w:t>Subsequently, the top 2000 highly variable genes were obtained.</w:t>
      </w:r>
      <w:r>
        <w:rPr>
          <w:rFonts w:ascii="Times New Roman" w:eastAsia="SimSun" w:hAnsi="Times New Roman" w:cs="Times New Roman (正文 CS 字体)"/>
          <w:sz w:val="24"/>
        </w:rPr>
        <w:t xml:space="preserve"> NormalizeData is used to standardize the data, and FindVariableFeatures function is used to identify the feature selection with high expression among cells for subsequent identification of cell types. We use the default parameter, namely "VST" method to select 2000 high expression genes. </w:t>
      </w:r>
      <w:r>
        <w:rPr>
          <w:rFonts w:ascii="Times New Roman" w:eastAsia="SimSun" w:hAnsi="Times New Roman" w:cs="Times New Roman (正文 CS 字体)"/>
          <w:b/>
          <w:bCs/>
          <w:sz w:val="24"/>
        </w:rPr>
        <w:t>A-D</w:t>
      </w:r>
      <w:r>
        <w:rPr>
          <w:rFonts w:ascii="Times New Roman" w:eastAsia="SimSun" w:hAnsi="Times New Roman" w:cs="Times New Roman (正文 CS 字体)"/>
          <w:sz w:val="24"/>
        </w:rPr>
        <w:t xml:space="preserve"> 4 normal brain tissues. </w:t>
      </w:r>
      <w:r>
        <w:rPr>
          <w:rFonts w:ascii="Times New Roman" w:eastAsia="SimSun" w:hAnsi="Times New Roman" w:cs="Times New Roman (正文 CS 字体)"/>
          <w:b/>
          <w:bCs/>
          <w:sz w:val="24"/>
        </w:rPr>
        <w:t>E-H</w:t>
      </w:r>
      <w:r>
        <w:rPr>
          <w:rFonts w:ascii="Times New Roman" w:eastAsia="SimSun" w:hAnsi="Times New Roman" w:cs="Times New Roman (正文 CS 字体)"/>
          <w:sz w:val="24"/>
        </w:rPr>
        <w:t xml:space="preserve"> 4 tumor tissues.</w:t>
      </w:r>
    </w:p>
    <w:p w14:paraId="6F00E7F3"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Fig S5.</w:t>
      </w:r>
      <w:r>
        <w:rPr>
          <w:rFonts w:ascii="Times New Roman" w:eastAsia="SimSun" w:hAnsi="Times New Roman" w:cs="Times New Roman (正文 CS 字体)"/>
          <w:sz w:val="24"/>
        </w:rPr>
        <w:t xml:space="preserve"> </w:t>
      </w:r>
      <w:r>
        <w:rPr>
          <w:rFonts w:ascii="Times New Roman" w:eastAsia="SimSun" w:hAnsi="Times New Roman" w:cs="Times New Roman (正文 CS 字体)"/>
          <w:b/>
          <w:bCs/>
          <w:sz w:val="24"/>
        </w:rPr>
        <w:t>Based on the results of PCA dimension reduction analysis, the top 30 PC were selected for analysis (Fig S</w:t>
      </w:r>
      <w:r>
        <w:rPr>
          <w:rFonts w:ascii="Times New Roman" w:eastAsia="SimSun" w:hAnsi="Times New Roman" w:cs="Times New Roman (正文 CS 字体)" w:hint="eastAsia"/>
          <w:b/>
          <w:bCs/>
          <w:sz w:val="24"/>
        </w:rPr>
        <w:t>5</w:t>
      </w:r>
      <w:r>
        <w:rPr>
          <w:rFonts w:ascii="Times New Roman" w:eastAsia="SimSun" w:hAnsi="Times New Roman" w:cs="Times New Roman (正文 CS 字体)"/>
          <w:b/>
          <w:bCs/>
          <w:sz w:val="24"/>
        </w:rPr>
        <w:t xml:space="preserve">). </w:t>
      </w:r>
      <w:r>
        <w:rPr>
          <w:rFonts w:ascii="Times New Roman" w:eastAsia="SimSun" w:hAnsi="Times New Roman" w:cs="Times New Roman (正文 CS 字体)"/>
          <w:sz w:val="24"/>
        </w:rPr>
        <w:t>PCA dimensionality reduction was applied to the data, and the inflection point diagram was drawn to identify the available dimensions of the data. And the principal components in front of the inflection point were selected for subsequent analysis. we selected the first 30 principal components for subsequent cluster analysis.</w:t>
      </w:r>
    </w:p>
    <w:p w14:paraId="10CF5542"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lastRenderedPageBreak/>
        <w:t>Table S1.</w:t>
      </w:r>
      <w:r>
        <w:rPr>
          <w:rFonts w:ascii="Times New Roman" w:eastAsia="SimSun" w:hAnsi="Times New Roman" w:cs="Times New Roman (正文 CS 字体)"/>
          <w:sz w:val="24"/>
        </w:rPr>
        <w:t xml:space="preserve"> </w:t>
      </w:r>
      <w:r>
        <w:rPr>
          <w:rFonts w:ascii="Times New Roman" w:eastAsia="SimSun" w:hAnsi="Times New Roman" w:cs="Times New Roman (正文 CS 字体)" w:hint="eastAsia"/>
          <w:sz w:val="24"/>
        </w:rPr>
        <w:t>Analysis of causality between 97 DEGs and GBM</w:t>
      </w:r>
      <w:r>
        <w:rPr>
          <w:rFonts w:ascii="Times New Roman" w:eastAsia="SimSun" w:hAnsi="Times New Roman" w:cs="Times New Roman (正文 CS 字体)"/>
          <w:sz w:val="24"/>
        </w:rPr>
        <w:t xml:space="preserve">. </w:t>
      </w:r>
    </w:p>
    <w:p w14:paraId="7D0681BD"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Table S2.</w:t>
      </w:r>
      <w:r>
        <w:rPr>
          <w:rFonts w:ascii="Times New Roman" w:eastAsia="SimSun" w:hAnsi="Times New Roman" w:cs="Times New Roman (正文 CS 字体)"/>
          <w:sz w:val="24"/>
        </w:rPr>
        <w:t xml:space="preserve"> MR analysis demonstrated that in the IVW method, NPC2, SPI1, and LRRC25 all had p-values less than 0.05. Furthermore, the OR values of NPC2 and LRRC25 were greater than 1 while the OR value of SPI1 was less than 1. These findings suggested that NPC2 and LRRC25 were risk factors for GBM whereas SPI1 was a protective factor. </w:t>
      </w:r>
    </w:p>
    <w:p w14:paraId="7DAC3BC6" w14:textId="77777777" w:rsidR="0098167A"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Table S3.</w:t>
      </w:r>
      <w:r>
        <w:rPr>
          <w:rFonts w:ascii="Times New Roman" w:eastAsia="SimSun" w:hAnsi="Times New Roman" w:cs="Times New Roman (正文 CS 字体)"/>
          <w:sz w:val="24"/>
        </w:rPr>
        <w:t xml:space="preserve"> Sensitivity analysis indicated no heterogeneity or horizontal pleiotropy in MR results as Q p-val and p value for NPC2, SPI1, and LRRC25 exceeded 0.05 in heterogeneity test as well as horizontal pleiotropy test respectively. </w:t>
      </w:r>
    </w:p>
    <w:p w14:paraId="537E0E8B" w14:textId="77777777" w:rsidR="0098167A" w:rsidRPr="00040E0B" w:rsidRDefault="0098167A" w:rsidP="0098167A">
      <w:pPr>
        <w:spacing w:line="360" w:lineRule="auto"/>
        <w:rPr>
          <w:rFonts w:ascii="Times New Roman" w:eastAsia="SimSun" w:hAnsi="Times New Roman" w:cs="Times New Roman (正文 CS 字体)"/>
          <w:sz w:val="24"/>
        </w:rPr>
      </w:pPr>
      <w:r>
        <w:rPr>
          <w:rFonts w:ascii="Times New Roman" w:eastAsia="SimSun" w:hAnsi="Times New Roman" w:cs="Times New Roman (正文 CS 字体)"/>
          <w:b/>
          <w:bCs/>
          <w:sz w:val="24"/>
        </w:rPr>
        <w:t>Table S4.</w:t>
      </w:r>
      <w:r>
        <w:rPr>
          <w:rFonts w:ascii="Times New Roman" w:eastAsia="SimSun" w:hAnsi="Times New Roman" w:cs="Times New Roman (正文 CS 字体)"/>
          <w:sz w:val="24"/>
        </w:rPr>
        <w:t xml:space="preserve"> Correlation values between differential immune cells and three biomarkers. </w:t>
      </w:r>
      <w:r>
        <w:rPr>
          <w:rFonts w:ascii="Times New Roman" w:eastAsia="SimSun" w:hAnsi="Times New Roman" w:cs="Times New Roman (正文 CS 字体)"/>
          <w:b/>
          <w:bCs/>
          <w:sz w:val="24"/>
        </w:rPr>
        <w:t>Table S5.</w:t>
      </w:r>
      <w:r>
        <w:rPr>
          <w:rFonts w:ascii="Times New Roman" w:eastAsia="SimSun" w:hAnsi="Times New Roman" w:cs="Times New Roman (正文 CS 字体)"/>
          <w:sz w:val="24"/>
        </w:rPr>
        <w:t xml:space="preserve"> Correlation values between differential immune checkpoints and three biomarkers.</w:t>
      </w:r>
    </w:p>
    <w:p w14:paraId="77B3A3A6" w14:textId="77777777" w:rsidR="0038214D" w:rsidRDefault="0038214D"/>
    <w:sectPr w:rsidR="0038214D" w:rsidSect="009816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正文 CS 字体)">
    <w:altName w:val="宋体"/>
    <w:charset w:val="86"/>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67A"/>
    <w:rsid w:val="00235F39"/>
    <w:rsid w:val="0038214D"/>
    <w:rsid w:val="0098167A"/>
    <w:rsid w:val="00AD7A41"/>
    <w:rsid w:val="00AE732B"/>
    <w:rsid w:val="00CF3EC8"/>
    <w:rsid w:val="00FC1C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9D280"/>
  <w15:chartTrackingRefBased/>
  <w15:docId w15:val="{91F66FAE-F631-459F-B51D-5DE7ADE54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67A"/>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98167A"/>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98167A"/>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8167A"/>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8167A"/>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98167A"/>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98167A"/>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98167A"/>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98167A"/>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98167A"/>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16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16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16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16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16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16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16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16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167A"/>
    <w:rPr>
      <w:rFonts w:eastAsiaTheme="majorEastAsia" w:cstheme="majorBidi"/>
      <w:color w:val="272727" w:themeColor="text1" w:themeTint="D8"/>
    </w:rPr>
  </w:style>
  <w:style w:type="paragraph" w:styleId="Title">
    <w:name w:val="Title"/>
    <w:basedOn w:val="Normal"/>
    <w:next w:val="Normal"/>
    <w:link w:val="TitleChar"/>
    <w:uiPriority w:val="10"/>
    <w:qFormat/>
    <w:rsid w:val="0098167A"/>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9816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167A"/>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9816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167A"/>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98167A"/>
    <w:rPr>
      <w:i/>
      <w:iCs/>
      <w:color w:val="404040" w:themeColor="text1" w:themeTint="BF"/>
    </w:rPr>
  </w:style>
  <w:style w:type="paragraph" w:styleId="ListParagraph">
    <w:name w:val="List Paragraph"/>
    <w:basedOn w:val="Normal"/>
    <w:uiPriority w:val="34"/>
    <w:qFormat/>
    <w:rsid w:val="0098167A"/>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98167A"/>
    <w:rPr>
      <w:i/>
      <w:iCs/>
      <w:color w:val="0F4761" w:themeColor="accent1" w:themeShade="BF"/>
    </w:rPr>
  </w:style>
  <w:style w:type="paragraph" w:styleId="IntenseQuote">
    <w:name w:val="Intense Quote"/>
    <w:basedOn w:val="Normal"/>
    <w:next w:val="Normal"/>
    <w:link w:val="IntenseQuoteChar"/>
    <w:uiPriority w:val="30"/>
    <w:qFormat/>
    <w:rsid w:val="0098167A"/>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98167A"/>
    <w:rPr>
      <w:i/>
      <w:iCs/>
      <w:color w:val="0F4761" w:themeColor="accent1" w:themeShade="BF"/>
    </w:rPr>
  </w:style>
  <w:style w:type="character" w:styleId="IntenseReference">
    <w:name w:val="Intense Reference"/>
    <w:basedOn w:val="DefaultParagraphFont"/>
    <w:uiPriority w:val="32"/>
    <w:qFormat/>
    <w:rsid w:val="009816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465</Words>
  <Characters>2651</Characters>
  <Application>Microsoft Office Word</Application>
  <DocSecurity>0</DocSecurity>
  <Lines>22</Lines>
  <Paragraphs>6</Paragraphs>
  <ScaleCrop>false</ScaleCrop>
  <Company>Springer Nature</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2025-03-04T10:00:00Z</dcterms:created>
  <dcterms:modified xsi:type="dcterms:W3CDTF">2025-03-04T10:00:00Z</dcterms:modified>
</cp:coreProperties>
</file>