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8B6A5" w14:textId="178303D6" w:rsidR="00F61A57" w:rsidRPr="00F61A57" w:rsidRDefault="00F61A57" w:rsidP="004916A5">
      <w:pPr>
        <w:jc w:val="both"/>
        <w:rPr>
          <w:b/>
          <w:bCs/>
          <w:sz w:val="28"/>
          <w:szCs w:val="32"/>
        </w:rPr>
      </w:pPr>
      <w:r w:rsidRPr="00F61A57">
        <w:rPr>
          <w:rFonts w:hint="eastAsia"/>
          <w:b/>
          <w:bCs/>
          <w:sz w:val="28"/>
          <w:szCs w:val="32"/>
        </w:rPr>
        <w:t>T</w:t>
      </w:r>
      <w:r w:rsidRPr="00F61A57">
        <w:rPr>
          <w:b/>
          <w:bCs/>
          <w:sz w:val="28"/>
          <w:szCs w:val="32"/>
        </w:rPr>
        <w:t>able of Contents for Supplementary Information</w:t>
      </w:r>
    </w:p>
    <w:p w14:paraId="0B9CC2AA" w14:textId="2DFD86E2" w:rsidR="00F61A57" w:rsidRPr="00601AC7" w:rsidRDefault="00F45F58" w:rsidP="00601AC7">
      <w:r w:rsidRPr="00F45F58">
        <w:rPr>
          <w:rFonts w:hint="eastAsia"/>
        </w:rPr>
        <w:t>De</w:t>
      </w:r>
      <w:r w:rsidRPr="00F45F58">
        <w:t>scription of Supplementary Tables</w:t>
      </w:r>
    </w:p>
    <w:p w14:paraId="28579762" w14:textId="5EE679CC" w:rsidR="005903D5" w:rsidRPr="00F45F58" w:rsidRDefault="005903D5" w:rsidP="004916A5">
      <w:pPr>
        <w:jc w:val="both"/>
      </w:pPr>
      <w:r w:rsidRPr="00F45F58">
        <w:rPr>
          <w:rFonts w:hint="eastAsia"/>
        </w:rPr>
        <w:t>De</w:t>
      </w:r>
      <w:r w:rsidRPr="00F45F58">
        <w:t xml:space="preserve">scription of </w:t>
      </w:r>
      <w:r w:rsidR="00222A8D">
        <w:rPr>
          <w:rFonts w:hint="eastAsia"/>
        </w:rPr>
        <w:t xml:space="preserve">Supplementary </w:t>
      </w:r>
      <w:r>
        <w:t>Data</w:t>
      </w:r>
    </w:p>
    <w:p w14:paraId="6BF0D78E" w14:textId="4306C2C8" w:rsidR="00F45F58" w:rsidRDefault="00A862AB" w:rsidP="004916A5">
      <w:pPr>
        <w:jc w:val="both"/>
      </w:pPr>
      <w:r>
        <w:t>Supplementary Figures</w:t>
      </w:r>
    </w:p>
    <w:p w14:paraId="6EFFA960" w14:textId="3F235EA4" w:rsidR="00A862AB" w:rsidRDefault="00A862AB" w:rsidP="004916A5">
      <w:pPr>
        <w:widowControl/>
        <w:jc w:val="both"/>
      </w:pPr>
      <w:r>
        <w:br w:type="page"/>
      </w:r>
    </w:p>
    <w:p w14:paraId="02BC33F0" w14:textId="77777777" w:rsidR="00A862AB" w:rsidRPr="005903D5" w:rsidRDefault="00A862AB" w:rsidP="004916A5">
      <w:pPr>
        <w:jc w:val="both"/>
        <w:rPr>
          <w:b/>
          <w:bCs/>
          <w:sz w:val="28"/>
          <w:szCs w:val="32"/>
        </w:rPr>
      </w:pPr>
      <w:r w:rsidRPr="005903D5">
        <w:rPr>
          <w:rFonts w:hint="eastAsia"/>
          <w:b/>
          <w:bCs/>
          <w:sz w:val="28"/>
          <w:szCs w:val="32"/>
        </w:rPr>
        <w:lastRenderedPageBreak/>
        <w:t>De</w:t>
      </w:r>
      <w:r w:rsidRPr="005903D5">
        <w:rPr>
          <w:b/>
          <w:bCs/>
          <w:sz w:val="28"/>
          <w:szCs w:val="32"/>
        </w:rPr>
        <w:t>scription of Supplementary Tables</w:t>
      </w:r>
    </w:p>
    <w:p w14:paraId="4AF291C5" w14:textId="4C43D7B2" w:rsidR="00F61A57" w:rsidRDefault="005903D5" w:rsidP="004916A5">
      <w:pPr>
        <w:jc w:val="both"/>
      </w:pPr>
      <w:r w:rsidRPr="005903D5">
        <w:rPr>
          <w:b/>
          <w:bCs/>
        </w:rPr>
        <w:t>Supplementary Table 1</w:t>
      </w:r>
      <w:r>
        <w:t xml:space="preserve">. </w:t>
      </w:r>
      <w:r w:rsidR="00996D29">
        <w:rPr>
          <w:rFonts w:hint="eastAsia"/>
        </w:rPr>
        <w:t>S</w:t>
      </w:r>
      <w:r w:rsidRPr="005903D5">
        <w:t xml:space="preserve">ingle cell eQTL </w:t>
      </w:r>
      <w:r>
        <w:t>g</w:t>
      </w:r>
      <w:r w:rsidRPr="005903D5">
        <w:t>round</w:t>
      </w:r>
      <w:r>
        <w:t xml:space="preserve"> </w:t>
      </w:r>
      <w:r w:rsidRPr="005903D5">
        <w:t xml:space="preserve">truth </w:t>
      </w:r>
      <w:r w:rsidR="009D6AC8">
        <w:t xml:space="preserve">profile </w:t>
      </w:r>
      <w:r w:rsidRPr="005903D5">
        <w:t>for cis-regulation</w:t>
      </w:r>
      <w:r>
        <w:t xml:space="preserve"> inference in </w:t>
      </w:r>
      <w:proofErr w:type="spellStart"/>
      <w:r w:rsidRPr="00C94482">
        <w:rPr>
          <w:szCs w:val="22"/>
        </w:rPr>
        <w:t>scQTLbase</w:t>
      </w:r>
      <w:proofErr w:type="spellEnd"/>
      <w:r w:rsidRPr="00C94482">
        <w:rPr>
          <w:szCs w:val="22"/>
        </w:rPr>
        <w:t xml:space="preserve"> website</w:t>
      </w:r>
      <w:r w:rsidR="009D6AC8">
        <w:rPr>
          <w:szCs w:val="22"/>
        </w:rPr>
        <w:t>.</w:t>
      </w:r>
    </w:p>
    <w:p w14:paraId="5C18DA4C" w14:textId="3418359C" w:rsidR="00A862AB" w:rsidRPr="005903D5" w:rsidRDefault="005903D5" w:rsidP="004916A5">
      <w:pPr>
        <w:jc w:val="both"/>
      </w:pPr>
      <w:r w:rsidRPr="005903D5">
        <w:rPr>
          <w:b/>
          <w:bCs/>
        </w:rPr>
        <w:t>Supplementary Table 2.</w:t>
      </w:r>
      <w:r w:rsidRPr="005903D5">
        <w:t xml:space="preserve"> </w:t>
      </w:r>
      <w:proofErr w:type="spellStart"/>
      <w:r w:rsidRPr="005903D5">
        <w:t>CistromeID</w:t>
      </w:r>
      <w:proofErr w:type="spellEnd"/>
      <w:r w:rsidRPr="005903D5">
        <w:t xml:space="preserve"> of TF Chip-seq served as </w:t>
      </w:r>
      <w:r w:rsidR="00996D29">
        <w:rPr>
          <w:rFonts w:hint="eastAsia"/>
        </w:rPr>
        <w:t xml:space="preserve">the </w:t>
      </w:r>
      <w:r w:rsidRPr="005903D5">
        <w:t>ground</w:t>
      </w:r>
      <w:r>
        <w:t xml:space="preserve"> </w:t>
      </w:r>
      <w:r w:rsidRPr="005903D5">
        <w:t>truth for trans-regulation</w:t>
      </w:r>
      <w:r w:rsidR="009D6AC8">
        <w:t>.</w:t>
      </w:r>
    </w:p>
    <w:p w14:paraId="5DA51F73" w14:textId="1B72DABB" w:rsidR="00A862AB" w:rsidRDefault="005903D5" w:rsidP="004916A5">
      <w:pPr>
        <w:jc w:val="both"/>
      </w:pPr>
      <w:r w:rsidRPr="005903D5">
        <w:rPr>
          <w:b/>
          <w:bCs/>
        </w:rPr>
        <w:t>Supplementary Table 3.</w:t>
      </w:r>
      <w:r w:rsidRPr="005903D5">
        <w:t xml:space="preserve"> Hyperparameters of </w:t>
      </w:r>
      <w:r>
        <w:t xml:space="preserve">each learning object in </w:t>
      </w:r>
      <w:r w:rsidRPr="005903D5">
        <w:t>scTFBridge training</w:t>
      </w:r>
      <w:r w:rsidR="009D6AC8">
        <w:t>.</w:t>
      </w:r>
    </w:p>
    <w:p w14:paraId="5AE87A65" w14:textId="77777777" w:rsidR="005903D5" w:rsidRDefault="005903D5" w:rsidP="004916A5">
      <w:pPr>
        <w:jc w:val="both"/>
        <w:rPr>
          <w:b/>
          <w:bCs/>
        </w:rPr>
      </w:pPr>
    </w:p>
    <w:p w14:paraId="6B175D4F" w14:textId="65AAA1DE" w:rsidR="005903D5" w:rsidRDefault="005903D5" w:rsidP="004916A5">
      <w:pPr>
        <w:jc w:val="both"/>
        <w:rPr>
          <w:b/>
          <w:bCs/>
          <w:sz w:val="28"/>
          <w:szCs w:val="32"/>
        </w:rPr>
      </w:pPr>
      <w:r w:rsidRPr="005903D5">
        <w:rPr>
          <w:rFonts w:hint="eastAsia"/>
          <w:b/>
          <w:bCs/>
          <w:sz w:val="28"/>
          <w:szCs w:val="32"/>
        </w:rPr>
        <w:t>De</w:t>
      </w:r>
      <w:r w:rsidRPr="005903D5">
        <w:rPr>
          <w:b/>
          <w:bCs/>
          <w:sz w:val="28"/>
          <w:szCs w:val="32"/>
        </w:rPr>
        <w:t xml:space="preserve">scription of Supplementary </w:t>
      </w:r>
      <w:r>
        <w:rPr>
          <w:b/>
          <w:bCs/>
          <w:sz w:val="28"/>
          <w:szCs w:val="32"/>
        </w:rPr>
        <w:t>Data</w:t>
      </w:r>
    </w:p>
    <w:p w14:paraId="6DC0E43A" w14:textId="64EE4536" w:rsidR="005903D5" w:rsidRPr="005903D5" w:rsidRDefault="005903D5" w:rsidP="004916A5">
      <w:pPr>
        <w:jc w:val="both"/>
        <w:rPr>
          <w:b/>
          <w:bCs/>
        </w:rPr>
      </w:pPr>
      <w:r w:rsidRPr="005903D5">
        <w:rPr>
          <w:b/>
          <w:bCs/>
        </w:rPr>
        <w:t>Supplementary Data 1-10.</w:t>
      </w:r>
      <w:r>
        <w:rPr>
          <w:b/>
          <w:bCs/>
        </w:rPr>
        <w:t xml:space="preserve"> </w:t>
      </w:r>
      <w:r w:rsidRPr="005903D5">
        <w:t>Result</w:t>
      </w:r>
      <w:r w:rsidR="000C3C49">
        <w:t>s</w:t>
      </w:r>
      <w:r w:rsidRPr="005903D5">
        <w:t xml:space="preserve"> of shared and private gene sets </w:t>
      </w:r>
      <w:r>
        <w:t xml:space="preserve">GO </w:t>
      </w:r>
      <w:r w:rsidRPr="005903D5">
        <w:t xml:space="preserve">enrichment in B cell, endothelial, myeloid, plasma, </w:t>
      </w:r>
      <w:r w:rsidR="00996D29">
        <w:rPr>
          <w:rFonts w:hint="eastAsia"/>
        </w:rPr>
        <w:t xml:space="preserve">and </w:t>
      </w:r>
      <w:r w:rsidRPr="005903D5">
        <w:t>T cell</w:t>
      </w:r>
      <w:r>
        <w:t>.</w:t>
      </w:r>
    </w:p>
    <w:p w14:paraId="4CE30513" w14:textId="3EC7B3C5" w:rsidR="005903D5" w:rsidRDefault="005903D5" w:rsidP="004916A5">
      <w:pPr>
        <w:jc w:val="both"/>
      </w:pPr>
      <w:r>
        <w:rPr>
          <w:b/>
          <w:bCs/>
        </w:rPr>
        <w:t xml:space="preserve">Supplementary Data 11. </w:t>
      </w:r>
      <w:r w:rsidRPr="005903D5">
        <w:t>Result</w:t>
      </w:r>
      <w:r w:rsidR="000C3C49">
        <w:t>s</w:t>
      </w:r>
      <w:r w:rsidRPr="005903D5">
        <w:t xml:space="preserve"> of shared and private </w:t>
      </w:r>
      <w:r>
        <w:t>peak</w:t>
      </w:r>
      <w:r w:rsidRPr="005903D5">
        <w:t xml:space="preserve"> set heritability enrichment</w:t>
      </w:r>
      <w:r>
        <w:t xml:space="preserve"> </w:t>
      </w:r>
      <w:r w:rsidRPr="005903D5">
        <w:t xml:space="preserve">in B cell, endothelial, myeloid, plasma, </w:t>
      </w:r>
      <w:r w:rsidR="00996D29">
        <w:rPr>
          <w:rFonts w:hint="eastAsia"/>
        </w:rPr>
        <w:t xml:space="preserve">and </w:t>
      </w:r>
      <w:r w:rsidRPr="005903D5">
        <w:t>T cell</w:t>
      </w:r>
      <w:r>
        <w:t>.</w:t>
      </w:r>
    </w:p>
    <w:p w14:paraId="6E151DB6" w14:textId="3B21C894" w:rsidR="005903D5" w:rsidRPr="005903D5" w:rsidRDefault="00046B96" w:rsidP="004916A5">
      <w:pPr>
        <w:widowControl/>
        <w:jc w:val="both"/>
        <w:rPr>
          <w:b/>
          <w:bCs/>
        </w:rPr>
      </w:pPr>
      <w:r>
        <w:rPr>
          <w:b/>
          <w:bCs/>
        </w:rPr>
        <w:br w:type="page"/>
      </w:r>
    </w:p>
    <w:p w14:paraId="3D72F6F4" w14:textId="322FDA00" w:rsidR="00B71E69" w:rsidRDefault="00B71E69" w:rsidP="004916A5">
      <w:pPr>
        <w:jc w:val="both"/>
      </w:pPr>
      <w:r>
        <w:rPr>
          <w:noProof/>
        </w:rPr>
        <w:lastRenderedPageBreak/>
        <w:drawing>
          <wp:inline distT="0" distB="0" distL="0" distR="0" wp14:anchorId="0E991AA0" wp14:editId="1D17B145">
            <wp:extent cx="5142865" cy="2380107"/>
            <wp:effectExtent l="0" t="0" r="635" b="0"/>
            <wp:docPr id="976120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2091" name="图片 976120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008" cy="243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57ED5" w14:textId="77777777" w:rsidR="00595637" w:rsidRPr="00F61A57" w:rsidRDefault="00595637" w:rsidP="00595637">
      <w:pPr>
        <w:jc w:val="both"/>
        <w:rPr>
          <w:b/>
          <w:bCs/>
        </w:rPr>
      </w:pPr>
      <w:r w:rsidRPr="00F61A57">
        <w:rPr>
          <w:b/>
          <w:bCs/>
        </w:rPr>
        <w:t>Fig. S1. UMAP visualization of ATAC-private embedding in BMMC dataset.</w:t>
      </w:r>
    </w:p>
    <w:p w14:paraId="12208B07" w14:textId="77777777" w:rsidR="00EE0F3B" w:rsidRDefault="00EE0F3B" w:rsidP="004916A5">
      <w:pPr>
        <w:jc w:val="both"/>
        <w:rPr>
          <w:b/>
          <w:bCs/>
        </w:rPr>
      </w:pPr>
    </w:p>
    <w:p w14:paraId="3CDF83F8" w14:textId="0F1E7CEF" w:rsidR="00046B96" w:rsidRDefault="009E60B9" w:rsidP="004916A5">
      <w:pPr>
        <w:ind w:left="550" w:hangingChars="250" w:hanging="550"/>
      </w:pPr>
      <w:r>
        <w:rPr>
          <w:noProof/>
        </w:rPr>
        <w:drawing>
          <wp:inline distT="0" distB="0" distL="0" distR="0" wp14:anchorId="77F8F762" wp14:editId="25FF0A45">
            <wp:extent cx="5274310" cy="3956050"/>
            <wp:effectExtent l="0" t="0" r="0" b="6350"/>
            <wp:docPr id="817901791" name="图片 1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901791" name="图片 1" descr="图表, 条形图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57157" w14:textId="77777777" w:rsidR="007910CA" w:rsidRDefault="007910CA" w:rsidP="007910CA">
      <w:pPr>
        <w:jc w:val="both"/>
      </w:pPr>
      <w:r w:rsidRPr="00F61A57">
        <w:rPr>
          <w:b/>
          <w:bCs/>
        </w:rPr>
        <w:t xml:space="preserve">Fig. S2 </w:t>
      </w:r>
      <w:r w:rsidRPr="00994BA4">
        <w:rPr>
          <w:b/>
          <w:bCs/>
        </w:rPr>
        <w:t xml:space="preserve">Comparison of TG </w:t>
      </w:r>
      <w:r>
        <w:rPr>
          <w:b/>
          <w:bCs/>
        </w:rPr>
        <w:t>e</w:t>
      </w:r>
      <w:r w:rsidRPr="00994BA4">
        <w:rPr>
          <w:b/>
          <w:bCs/>
        </w:rPr>
        <w:t xml:space="preserve">xpression </w:t>
      </w:r>
      <w:r>
        <w:rPr>
          <w:b/>
          <w:bCs/>
        </w:rPr>
        <w:t>r</w:t>
      </w:r>
      <w:r w:rsidRPr="00994BA4">
        <w:rPr>
          <w:b/>
          <w:bCs/>
        </w:rPr>
        <w:t xml:space="preserve">econstruction </w:t>
      </w:r>
      <w:r>
        <w:rPr>
          <w:rFonts w:hint="eastAsia"/>
          <w:b/>
          <w:bCs/>
        </w:rPr>
        <w:t>per</w:t>
      </w:r>
      <w:r>
        <w:rPr>
          <w:b/>
          <w:bCs/>
        </w:rPr>
        <w:t>formance a</w:t>
      </w:r>
      <w:r w:rsidRPr="00994BA4">
        <w:rPr>
          <w:b/>
          <w:bCs/>
        </w:rPr>
        <w:t xml:space="preserve">cross </w:t>
      </w:r>
      <w:r>
        <w:rPr>
          <w:b/>
          <w:bCs/>
        </w:rPr>
        <w:t>c</w:t>
      </w:r>
      <w:r w:rsidRPr="00994BA4">
        <w:rPr>
          <w:b/>
          <w:bCs/>
        </w:rPr>
        <w:t xml:space="preserve">ell </w:t>
      </w:r>
      <w:r>
        <w:rPr>
          <w:b/>
          <w:bCs/>
        </w:rPr>
        <w:t>t</w:t>
      </w:r>
      <w:r w:rsidRPr="00994BA4">
        <w:rPr>
          <w:b/>
          <w:bCs/>
        </w:rPr>
        <w:t>ypes.</w:t>
      </w:r>
      <w:r>
        <w:rPr>
          <w:b/>
          <w:bCs/>
        </w:rPr>
        <w:t xml:space="preserve"> </w:t>
      </w:r>
      <w:r>
        <w:t>TG expression reconstruction was evaluated using ARI, NMI, and AMI metrics to assess the recovery of cell clusters based on cell type annotations, compared with scButterfly.</w:t>
      </w:r>
    </w:p>
    <w:p w14:paraId="193D119A" w14:textId="2074BF24" w:rsidR="001E5C7E" w:rsidRDefault="00046B96" w:rsidP="001E5C7E">
      <w:pPr>
        <w:widowControl/>
        <w:jc w:val="both"/>
        <w:rPr>
          <w:rFonts w:hint="eastAsia"/>
        </w:rPr>
      </w:pPr>
      <w:r>
        <w:br w:type="page"/>
      </w:r>
    </w:p>
    <w:p w14:paraId="3D8F4875" w14:textId="42D5A58E" w:rsidR="00AA5855" w:rsidRDefault="006A367D" w:rsidP="004916A5">
      <w:pPr>
        <w:jc w:val="both"/>
      </w:pPr>
      <w:r>
        <w:rPr>
          <w:noProof/>
        </w:rPr>
        <w:lastRenderedPageBreak/>
        <w:drawing>
          <wp:inline distT="0" distB="0" distL="0" distR="0" wp14:anchorId="4F5EA481" wp14:editId="0BAD0CC0">
            <wp:extent cx="5274310" cy="2720975"/>
            <wp:effectExtent l="0" t="0" r="0" b="0"/>
            <wp:docPr id="425028372" name="图片 1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28372" name="图片 1" descr="图表, 散点图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A859E" w14:textId="77777777" w:rsidR="001E5C7E" w:rsidRPr="00F61A57" w:rsidRDefault="001E5C7E" w:rsidP="001E5C7E">
      <w:pPr>
        <w:jc w:val="both"/>
        <w:rPr>
          <w:b/>
          <w:bCs/>
        </w:rPr>
      </w:pPr>
      <w:r w:rsidRPr="00F61A57">
        <w:rPr>
          <w:b/>
          <w:bCs/>
        </w:rPr>
        <w:t>Fig. S3. Visualization of ATAC-private embedding in PBMC dataset</w:t>
      </w:r>
      <w:r>
        <w:rPr>
          <w:b/>
          <w:bCs/>
        </w:rPr>
        <w:t>.</w:t>
      </w:r>
    </w:p>
    <w:p w14:paraId="5BB07D7A" w14:textId="77777777" w:rsidR="001E5C7E" w:rsidRDefault="001E5C7E" w:rsidP="004916A5">
      <w:pPr>
        <w:jc w:val="both"/>
        <w:rPr>
          <w:rFonts w:hint="eastAsia"/>
        </w:rPr>
      </w:pPr>
    </w:p>
    <w:p w14:paraId="24560F75" w14:textId="379925CB" w:rsidR="00AA5855" w:rsidRDefault="006A367D" w:rsidP="004916A5">
      <w:pPr>
        <w:jc w:val="both"/>
      </w:pPr>
      <w:r>
        <w:rPr>
          <w:noProof/>
        </w:rPr>
        <w:drawing>
          <wp:inline distT="0" distB="0" distL="0" distR="0" wp14:anchorId="094B9BC4" wp14:editId="17B8C162">
            <wp:extent cx="5304790" cy="2736699"/>
            <wp:effectExtent l="0" t="0" r="3810" b="0"/>
            <wp:docPr id="5299558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55861" name="图片 5299558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420" cy="273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22EB9" w14:textId="77777777" w:rsidR="001E5C7E" w:rsidRPr="00F61A57" w:rsidRDefault="001E5C7E" w:rsidP="001E5C7E">
      <w:pPr>
        <w:jc w:val="both"/>
        <w:rPr>
          <w:b/>
          <w:bCs/>
        </w:rPr>
      </w:pPr>
      <w:r w:rsidRPr="00F61A57">
        <w:rPr>
          <w:b/>
          <w:bCs/>
        </w:rPr>
        <w:t>Fig. S4. Visualization of RNA-private embedding in PBMC dataset</w:t>
      </w:r>
      <w:r>
        <w:rPr>
          <w:b/>
          <w:bCs/>
        </w:rPr>
        <w:t>.</w:t>
      </w:r>
    </w:p>
    <w:p w14:paraId="315FA1E2" w14:textId="77777777" w:rsidR="001E5C7E" w:rsidRDefault="001E5C7E" w:rsidP="004916A5">
      <w:pPr>
        <w:jc w:val="both"/>
        <w:rPr>
          <w:rFonts w:hint="eastAsia"/>
        </w:rPr>
      </w:pPr>
    </w:p>
    <w:p w14:paraId="46D3A493" w14:textId="405D7611" w:rsidR="009E60B9" w:rsidRDefault="009E60B9" w:rsidP="004916A5">
      <w:pPr>
        <w:widowControl/>
        <w:jc w:val="both"/>
      </w:pPr>
      <w:r>
        <w:br w:type="page"/>
      </w:r>
    </w:p>
    <w:p w14:paraId="1F45248A" w14:textId="1AE2F373" w:rsidR="009E60B9" w:rsidRDefault="0031312F" w:rsidP="004916A5">
      <w:pPr>
        <w:jc w:val="both"/>
      </w:pPr>
      <w:r>
        <w:rPr>
          <w:noProof/>
        </w:rPr>
        <w:lastRenderedPageBreak/>
        <w:drawing>
          <wp:inline distT="0" distB="0" distL="0" distR="0" wp14:anchorId="0FA242EB" wp14:editId="0864EE21">
            <wp:extent cx="5274310" cy="6210935"/>
            <wp:effectExtent l="0" t="0" r="0" b="0"/>
            <wp:docPr id="528969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69493" name="图片 52896949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1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F2972" w14:textId="02F4551A" w:rsidR="00D870EE" w:rsidRPr="00F61A57" w:rsidRDefault="00D870EE" w:rsidP="00D870EE">
      <w:pPr>
        <w:jc w:val="both"/>
        <w:rPr>
          <w:b/>
          <w:bCs/>
        </w:rPr>
      </w:pPr>
      <w:r w:rsidRPr="00F61A57">
        <w:rPr>
          <w:b/>
          <w:bCs/>
        </w:rPr>
        <w:t>Fig S5. Visualization of ATAC-private, RNA-private embedding in lung cancer atlas dataset</w:t>
      </w:r>
      <w:r>
        <w:rPr>
          <w:b/>
          <w:bCs/>
        </w:rPr>
        <w:t xml:space="preserve">. </w:t>
      </w:r>
      <w:r w:rsidRPr="00281609">
        <w:t>(a)</w:t>
      </w:r>
      <w:r>
        <w:t xml:space="preserve"> UMAP </w:t>
      </w:r>
      <w:r>
        <w:rPr>
          <w:rFonts w:hint="eastAsia"/>
        </w:rPr>
        <w:t xml:space="preserve">visualization </w:t>
      </w:r>
      <w:r>
        <w:t xml:space="preserve">of ATAC-private embedding. (b) UMAP </w:t>
      </w:r>
      <w:r>
        <w:rPr>
          <w:rFonts w:hint="eastAsia"/>
        </w:rPr>
        <w:t xml:space="preserve">visualization </w:t>
      </w:r>
      <w:r>
        <w:t>of RNA-private embedding.</w:t>
      </w:r>
    </w:p>
    <w:p w14:paraId="23769B06" w14:textId="4335D334" w:rsidR="009E60B9" w:rsidRDefault="009E60B9" w:rsidP="004916A5">
      <w:pPr>
        <w:widowControl/>
        <w:jc w:val="both"/>
      </w:pPr>
    </w:p>
    <w:p w14:paraId="0373C60A" w14:textId="77777777" w:rsidR="00D870EE" w:rsidRDefault="00D870EE">
      <w:pPr>
        <w:widowControl/>
        <w:rPr>
          <w:b/>
          <w:bCs/>
        </w:rPr>
      </w:pPr>
      <w:r>
        <w:rPr>
          <w:b/>
          <w:bCs/>
        </w:rPr>
        <w:br w:type="page"/>
      </w:r>
    </w:p>
    <w:p w14:paraId="77465116" w14:textId="54A167DA" w:rsidR="008C3ABD" w:rsidRDefault="00727110" w:rsidP="002068C9">
      <w:pPr>
        <w:jc w:val="center"/>
      </w:pPr>
      <w:r>
        <w:rPr>
          <w:noProof/>
        </w:rPr>
        <w:lastRenderedPageBreak/>
        <w:drawing>
          <wp:inline distT="0" distB="0" distL="0" distR="0" wp14:anchorId="4F19EEAF" wp14:editId="0FBA834A">
            <wp:extent cx="4009208" cy="7586195"/>
            <wp:effectExtent l="0" t="0" r="4445" b="0"/>
            <wp:docPr id="310061679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61679" name="图片 3" descr="图示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370" cy="769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03885" w14:textId="713E30FA" w:rsidR="00B65EC4" w:rsidRPr="00B65EC4" w:rsidRDefault="00B65EC4" w:rsidP="00B65EC4">
      <w:pPr>
        <w:widowControl/>
        <w:jc w:val="both"/>
        <w:rPr>
          <w:rFonts w:hint="eastAsia"/>
          <w:b/>
          <w:bCs/>
        </w:rPr>
      </w:pPr>
      <w:r w:rsidRPr="00046B96">
        <w:rPr>
          <w:b/>
          <w:bCs/>
        </w:rPr>
        <w:t xml:space="preserve">Fig. S6. </w:t>
      </w:r>
      <w:r w:rsidRPr="002D2AE0">
        <w:rPr>
          <w:b/>
          <w:bCs/>
        </w:rPr>
        <w:t>Regulation of Smoking-Responsive CREs on Target Genes.</w:t>
      </w:r>
      <w:r>
        <w:rPr>
          <w:b/>
          <w:bCs/>
        </w:rPr>
        <w:t xml:space="preserve"> </w:t>
      </w:r>
      <w:r>
        <w:t>Smoking-responsive CREs and their regulated target genes in ever- and never-smokers are shown for specific cell types. The expression levels of the target genes are presented, along with the corresponding linked peak regulation scores.</w:t>
      </w:r>
    </w:p>
    <w:sectPr w:rsidR="00B65EC4" w:rsidRPr="00B65E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E69"/>
    <w:rsid w:val="00015FE4"/>
    <w:rsid w:val="000265C8"/>
    <w:rsid w:val="000324CA"/>
    <w:rsid w:val="00040F86"/>
    <w:rsid w:val="0004489F"/>
    <w:rsid w:val="000464B6"/>
    <w:rsid w:val="00046B96"/>
    <w:rsid w:val="00054883"/>
    <w:rsid w:val="00056E23"/>
    <w:rsid w:val="0008248C"/>
    <w:rsid w:val="00095F90"/>
    <w:rsid w:val="000A0C4C"/>
    <w:rsid w:val="000A36ED"/>
    <w:rsid w:val="000A4197"/>
    <w:rsid w:val="000C3C49"/>
    <w:rsid w:val="000C49D9"/>
    <w:rsid w:val="000D4669"/>
    <w:rsid w:val="000E655B"/>
    <w:rsid w:val="000F1475"/>
    <w:rsid w:val="00105139"/>
    <w:rsid w:val="001139F2"/>
    <w:rsid w:val="00122237"/>
    <w:rsid w:val="001262EB"/>
    <w:rsid w:val="0012785B"/>
    <w:rsid w:val="00152858"/>
    <w:rsid w:val="00185CF5"/>
    <w:rsid w:val="001A0E0A"/>
    <w:rsid w:val="001A4AED"/>
    <w:rsid w:val="001B01E2"/>
    <w:rsid w:val="001B4CCF"/>
    <w:rsid w:val="001C7830"/>
    <w:rsid w:val="001D4B1D"/>
    <w:rsid w:val="001E29C2"/>
    <w:rsid w:val="001E5C7E"/>
    <w:rsid w:val="001E69C4"/>
    <w:rsid w:val="002068C9"/>
    <w:rsid w:val="00222A8D"/>
    <w:rsid w:val="00223731"/>
    <w:rsid w:val="00281609"/>
    <w:rsid w:val="00282300"/>
    <w:rsid w:val="002824B4"/>
    <w:rsid w:val="002867C0"/>
    <w:rsid w:val="00290014"/>
    <w:rsid w:val="002B475F"/>
    <w:rsid w:val="002D2AE0"/>
    <w:rsid w:val="002E43AD"/>
    <w:rsid w:val="00301E6E"/>
    <w:rsid w:val="00305933"/>
    <w:rsid w:val="00305E3D"/>
    <w:rsid w:val="003064D3"/>
    <w:rsid w:val="0031312F"/>
    <w:rsid w:val="00316E26"/>
    <w:rsid w:val="00325F5A"/>
    <w:rsid w:val="0032639B"/>
    <w:rsid w:val="00372E9F"/>
    <w:rsid w:val="003A062A"/>
    <w:rsid w:val="003C0B67"/>
    <w:rsid w:val="003E1F84"/>
    <w:rsid w:val="003F6B50"/>
    <w:rsid w:val="00421AE8"/>
    <w:rsid w:val="00442334"/>
    <w:rsid w:val="00445656"/>
    <w:rsid w:val="004641A0"/>
    <w:rsid w:val="00486DDD"/>
    <w:rsid w:val="004916A5"/>
    <w:rsid w:val="004948E1"/>
    <w:rsid w:val="004A37C7"/>
    <w:rsid w:val="004D04B8"/>
    <w:rsid w:val="00505226"/>
    <w:rsid w:val="005312AF"/>
    <w:rsid w:val="0053167D"/>
    <w:rsid w:val="00542B92"/>
    <w:rsid w:val="00543A3B"/>
    <w:rsid w:val="0056422F"/>
    <w:rsid w:val="00574B39"/>
    <w:rsid w:val="005903D5"/>
    <w:rsid w:val="00595637"/>
    <w:rsid w:val="005B706C"/>
    <w:rsid w:val="005C41AF"/>
    <w:rsid w:val="005E2612"/>
    <w:rsid w:val="00601AC7"/>
    <w:rsid w:val="00604148"/>
    <w:rsid w:val="00614B34"/>
    <w:rsid w:val="00620335"/>
    <w:rsid w:val="00627A55"/>
    <w:rsid w:val="00644AA6"/>
    <w:rsid w:val="006609EC"/>
    <w:rsid w:val="00681532"/>
    <w:rsid w:val="00682A04"/>
    <w:rsid w:val="00683654"/>
    <w:rsid w:val="00693566"/>
    <w:rsid w:val="00694BC0"/>
    <w:rsid w:val="006A367D"/>
    <w:rsid w:val="006B1755"/>
    <w:rsid w:val="006C1E31"/>
    <w:rsid w:val="006C357F"/>
    <w:rsid w:val="006E5E57"/>
    <w:rsid w:val="006F63F5"/>
    <w:rsid w:val="00706C2A"/>
    <w:rsid w:val="007119C7"/>
    <w:rsid w:val="00727110"/>
    <w:rsid w:val="00736E62"/>
    <w:rsid w:val="0076658A"/>
    <w:rsid w:val="00772070"/>
    <w:rsid w:val="00772C15"/>
    <w:rsid w:val="0077439F"/>
    <w:rsid w:val="00782B29"/>
    <w:rsid w:val="007910CA"/>
    <w:rsid w:val="007A7903"/>
    <w:rsid w:val="007D0E0E"/>
    <w:rsid w:val="00804224"/>
    <w:rsid w:val="00806A7B"/>
    <w:rsid w:val="008201CB"/>
    <w:rsid w:val="008623BC"/>
    <w:rsid w:val="00877C2F"/>
    <w:rsid w:val="008A32DA"/>
    <w:rsid w:val="008B4644"/>
    <w:rsid w:val="008C2D2B"/>
    <w:rsid w:val="008C3ABD"/>
    <w:rsid w:val="008F55CA"/>
    <w:rsid w:val="0090180E"/>
    <w:rsid w:val="009051C0"/>
    <w:rsid w:val="009172BD"/>
    <w:rsid w:val="00921FB0"/>
    <w:rsid w:val="009357DA"/>
    <w:rsid w:val="0099228F"/>
    <w:rsid w:val="00994BA4"/>
    <w:rsid w:val="00996D29"/>
    <w:rsid w:val="009A3CC9"/>
    <w:rsid w:val="009A41E7"/>
    <w:rsid w:val="009C1658"/>
    <w:rsid w:val="009C469B"/>
    <w:rsid w:val="009C61F0"/>
    <w:rsid w:val="009D6AC8"/>
    <w:rsid w:val="009E46DA"/>
    <w:rsid w:val="009E60B9"/>
    <w:rsid w:val="009F34B7"/>
    <w:rsid w:val="009F713D"/>
    <w:rsid w:val="00A213F4"/>
    <w:rsid w:val="00A338B9"/>
    <w:rsid w:val="00A65466"/>
    <w:rsid w:val="00A676AC"/>
    <w:rsid w:val="00A81DEB"/>
    <w:rsid w:val="00A838D6"/>
    <w:rsid w:val="00A862AB"/>
    <w:rsid w:val="00AA5855"/>
    <w:rsid w:val="00AB0B26"/>
    <w:rsid w:val="00AC574E"/>
    <w:rsid w:val="00B0056D"/>
    <w:rsid w:val="00B12A8B"/>
    <w:rsid w:val="00B13D91"/>
    <w:rsid w:val="00B65EC4"/>
    <w:rsid w:val="00B71E69"/>
    <w:rsid w:val="00B73E7D"/>
    <w:rsid w:val="00B909D8"/>
    <w:rsid w:val="00B96C31"/>
    <w:rsid w:val="00BD36F6"/>
    <w:rsid w:val="00BE6189"/>
    <w:rsid w:val="00C06A63"/>
    <w:rsid w:val="00C124E3"/>
    <w:rsid w:val="00C14B2D"/>
    <w:rsid w:val="00C52786"/>
    <w:rsid w:val="00CC7987"/>
    <w:rsid w:val="00CF7BE2"/>
    <w:rsid w:val="00D117B2"/>
    <w:rsid w:val="00D11C21"/>
    <w:rsid w:val="00D474A3"/>
    <w:rsid w:val="00D51393"/>
    <w:rsid w:val="00D51C65"/>
    <w:rsid w:val="00D65202"/>
    <w:rsid w:val="00D67E71"/>
    <w:rsid w:val="00D724A1"/>
    <w:rsid w:val="00D870EE"/>
    <w:rsid w:val="00DF2369"/>
    <w:rsid w:val="00DF6FEB"/>
    <w:rsid w:val="00E000C9"/>
    <w:rsid w:val="00E32D0C"/>
    <w:rsid w:val="00E45636"/>
    <w:rsid w:val="00E67E5F"/>
    <w:rsid w:val="00E72851"/>
    <w:rsid w:val="00EA5468"/>
    <w:rsid w:val="00EC5B46"/>
    <w:rsid w:val="00EC5CEB"/>
    <w:rsid w:val="00ED19D9"/>
    <w:rsid w:val="00EE0F3B"/>
    <w:rsid w:val="00EF3A8B"/>
    <w:rsid w:val="00F069F5"/>
    <w:rsid w:val="00F275FA"/>
    <w:rsid w:val="00F41D89"/>
    <w:rsid w:val="00F43011"/>
    <w:rsid w:val="00F45F58"/>
    <w:rsid w:val="00F5155D"/>
    <w:rsid w:val="00F61A57"/>
    <w:rsid w:val="00F70D77"/>
    <w:rsid w:val="00F822FE"/>
    <w:rsid w:val="00F84AD4"/>
    <w:rsid w:val="00F865E0"/>
    <w:rsid w:val="00FB1352"/>
    <w:rsid w:val="00FD09C4"/>
    <w:rsid w:val="00FD1346"/>
    <w:rsid w:val="00FD2136"/>
    <w:rsid w:val="00FE7370"/>
    <w:rsid w:val="00FF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591F8"/>
  <w15:chartTrackingRefBased/>
  <w15:docId w15:val="{45A2E516-A813-244C-B683-C785723EF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1E69"/>
    <w:pPr>
      <w:widowControl w:val="0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1E6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1E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1E6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1E6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1E6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1E69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1E6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1E69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1E6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1E6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1E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1E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1E69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1E69"/>
    <w:rPr>
      <w:rFonts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1E69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1E69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1E69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1E69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B71E6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1E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1E6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1E6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1E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1E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1E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1E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1E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1E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1E69"/>
    <w:rPr>
      <w:b/>
      <w:bCs/>
      <w:smallCaps/>
      <w:color w:val="0F4761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70D77"/>
    <w:pPr>
      <w:widowControl/>
      <w:spacing w:after="0" w:line="276" w:lineRule="auto"/>
      <w:outlineLvl w:val="9"/>
    </w:pPr>
    <w:rPr>
      <w:b/>
      <w:bCs/>
      <w:kern w:val="0"/>
      <w:sz w:val="28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F70D77"/>
    <w:pPr>
      <w:pBdr>
        <w:between w:val="double" w:sz="6" w:space="0" w:color="auto"/>
      </w:pBdr>
      <w:spacing w:before="120" w:after="120"/>
      <w:jc w:val="center"/>
    </w:pPr>
    <w:rPr>
      <w:rFonts w:asciiTheme="minorHAnsi" w:eastAsiaTheme="minorHAnsi"/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F70D77"/>
    <w:pPr>
      <w:pBdr>
        <w:between w:val="double" w:sz="6" w:space="0" w:color="auto"/>
      </w:pBdr>
      <w:spacing w:before="120" w:after="120"/>
      <w:jc w:val="center"/>
    </w:pPr>
    <w:rPr>
      <w:rFonts w:asciiTheme="minorHAnsi" w:eastAsia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F70D77"/>
    <w:pPr>
      <w:pBdr>
        <w:between w:val="double" w:sz="6" w:space="0" w:color="auto"/>
      </w:pBdr>
      <w:spacing w:before="120" w:after="120"/>
      <w:ind w:left="220"/>
      <w:jc w:val="center"/>
    </w:pPr>
    <w:rPr>
      <w:rFonts w:asciiTheme="minorHAnsi" w:eastAsia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70D77"/>
    <w:pPr>
      <w:pBdr>
        <w:between w:val="double" w:sz="6" w:space="0" w:color="auto"/>
      </w:pBdr>
      <w:spacing w:before="120" w:after="120"/>
      <w:ind w:left="440"/>
      <w:jc w:val="center"/>
    </w:pPr>
    <w:rPr>
      <w:rFonts w:asciiTheme="minorHAnsi" w:eastAsia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70D77"/>
    <w:pPr>
      <w:pBdr>
        <w:between w:val="double" w:sz="6" w:space="0" w:color="auto"/>
      </w:pBdr>
      <w:spacing w:before="120" w:after="120"/>
      <w:ind w:left="660"/>
      <w:jc w:val="center"/>
    </w:pPr>
    <w:rPr>
      <w:rFonts w:asciiTheme="minorHAnsi" w:eastAsia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70D77"/>
    <w:pPr>
      <w:pBdr>
        <w:between w:val="double" w:sz="6" w:space="0" w:color="auto"/>
      </w:pBdr>
      <w:spacing w:before="120" w:after="120"/>
      <w:ind w:left="880"/>
      <w:jc w:val="center"/>
    </w:pPr>
    <w:rPr>
      <w:rFonts w:asciiTheme="minorHAnsi" w:eastAsia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70D77"/>
    <w:pPr>
      <w:pBdr>
        <w:between w:val="double" w:sz="6" w:space="0" w:color="auto"/>
      </w:pBdr>
      <w:spacing w:before="120" w:after="120"/>
      <w:ind w:left="1100"/>
      <w:jc w:val="center"/>
    </w:pPr>
    <w:rPr>
      <w:rFonts w:asciiTheme="minorHAnsi" w:eastAsia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70D77"/>
    <w:pPr>
      <w:pBdr>
        <w:between w:val="double" w:sz="6" w:space="0" w:color="auto"/>
      </w:pBdr>
      <w:spacing w:before="120" w:after="120"/>
      <w:ind w:left="1320"/>
      <w:jc w:val="center"/>
    </w:pPr>
    <w:rPr>
      <w:rFonts w:asciiTheme="minorHAnsi" w:eastAsia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70D77"/>
    <w:pPr>
      <w:pBdr>
        <w:between w:val="double" w:sz="6" w:space="0" w:color="auto"/>
      </w:pBdr>
      <w:spacing w:before="120" w:after="120"/>
      <w:ind w:left="1540"/>
      <w:jc w:val="center"/>
    </w:pPr>
    <w:rPr>
      <w:rFonts w:asciiTheme="minorHAnsi" w:eastAsia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3CC55A-FCE6-7C46-BE67-BDF21C1DD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6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烽傲 王</dc:creator>
  <cp:keywords/>
  <dc:description/>
  <cp:lastModifiedBy>Junwei Liu</cp:lastModifiedBy>
  <cp:revision>133</cp:revision>
  <dcterms:created xsi:type="dcterms:W3CDTF">2024-12-09T01:32:00Z</dcterms:created>
  <dcterms:modified xsi:type="dcterms:W3CDTF">2025-01-15T06:59:00Z</dcterms:modified>
</cp:coreProperties>
</file>