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Style w:val="9"/>
          <w:rFonts w:hint="eastAsia" w:eastAsia="宋体"/>
        </w:rPr>
        <w:t>Supplemental Digital Content</w:t>
      </w:r>
      <w:r>
        <w:rPr>
          <w:rStyle w:val="9"/>
          <w:rFonts w:eastAsia="宋体"/>
        </w:rPr>
        <w:t xml:space="preserve"> </w:t>
      </w:r>
      <w:r>
        <w:rPr>
          <w:rStyle w:val="9"/>
          <w:rFonts w:hint="eastAsia" w:eastAsia="宋体"/>
        </w:rPr>
        <w:t>1</w:t>
      </w:r>
      <w:r>
        <w:rPr>
          <w:rStyle w:val="9"/>
          <w:rFonts w:eastAsia="宋体"/>
        </w:rPr>
        <w:t>.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PubMed-MEDLINE search strategy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up to </w:t>
      </w:r>
      <w:r>
        <w:rPr>
          <w:rFonts w:ascii="Times New Roman" w:hAnsi="Times New Roman" w:eastAsia="宋体" w:cs="Times New Roman"/>
          <w:sz w:val="24"/>
          <w:szCs w:val="20"/>
          <w:lang w:bidi="ar"/>
        </w:rPr>
        <w:t>2</w:t>
      </w:r>
      <w:r>
        <w:rPr>
          <w:rFonts w:hint="eastAsia" w:ascii="Times New Roman" w:hAnsi="Times New Roman" w:eastAsia="宋体" w:cs="Times New Roman"/>
          <w:sz w:val="24"/>
          <w:szCs w:val="20"/>
          <w:lang w:val="en-US" w:eastAsia="zh-CN" w:bidi="ar"/>
        </w:rPr>
        <w:t>8</w:t>
      </w:r>
      <w:r>
        <w:rPr>
          <w:rFonts w:ascii="Times New Roman" w:hAnsi="Times New Roman" w:eastAsia="宋体" w:cs="Times New Roman"/>
          <w:sz w:val="24"/>
          <w:szCs w:val="20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0"/>
          <w:lang w:val="en-US" w:eastAsia="zh-CN" w:bidi="ar"/>
        </w:rPr>
        <w:t>July</w:t>
      </w:r>
      <w:r>
        <w:rPr>
          <w:rFonts w:ascii="Times New Roman" w:hAnsi="Times New Roman" w:eastAsia="宋体" w:cs="Times New Roman"/>
          <w:sz w:val="24"/>
          <w:szCs w:val="20"/>
          <w:lang w:bidi="ar"/>
        </w:rPr>
        <w:t xml:space="preserve"> 2020</w:t>
      </w:r>
      <w:r>
        <w:rPr>
          <w:rFonts w:ascii="Times New Roman" w:hAnsi="Times New Roman" w:cs="Times New Roman"/>
          <w:sz w:val="24"/>
        </w:rPr>
        <w:t>.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#1    </w:t>
      </w:r>
      <w:r>
        <w:rPr>
          <w:rFonts w:hint="eastAsia" w:ascii="Times New Roman" w:hAnsi="Times New Roman" w:cs="Times New Roman"/>
          <w:sz w:val="24"/>
        </w:rPr>
        <w:t>electromagn*[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</w:rPr>
        <w:t>] OR cortrak[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</w:rPr>
        <w:t>]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#2    </w:t>
      </w:r>
      <w:r>
        <w:rPr>
          <w:rFonts w:hint="eastAsia" w:ascii="Times New Roman" w:hAnsi="Times New Roman" w:cs="Times New Roman"/>
          <w:sz w:val="24"/>
        </w:rPr>
        <w:t>endoscop*[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</w:rPr>
        <w:t>]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#3    #1 AND #2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#4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nasoenteral[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  <w:lang w:val="en-US" w:eastAsia="zh-CN"/>
        </w:rPr>
        <w:t>] OR nasojejunal[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  <w:lang w:val="en-US" w:eastAsia="zh-CN"/>
        </w:rPr>
        <w:t>] OR nasoduodenal[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  <w:lang w:val="en-US" w:eastAsia="zh-CN"/>
        </w:rPr>
        <w:t>] OR postpyloric[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  <w:lang w:val="en-US" w:eastAsia="zh-CN"/>
        </w:rPr>
        <w:t>] OR post-pyloric[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  <w:lang w:val="en-US" w:eastAsia="zh-CN"/>
        </w:rPr>
        <w:t>] OR nasointestinal[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  <w:lang w:val="en-US" w:eastAsia="zh-CN"/>
        </w:rPr>
        <w:t>] OR nasoenteric[</w:t>
      </w:r>
      <w:r>
        <w:rPr>
          <w:rFonts w:ascii="Times New Roman" w:hAnsi="Times New Roman" w:cs="Times New Roman"/>
          <w:sz w:val="24"/>
        </w:rPr>
        <w:t>tiab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] </w:t>
      </w:r>
      <w:r>
        <w:rPr>
          <w:rFonts w:ascii="Times New Roman" w:hAnsi="Times New Roman" w:cs="Times New Roman"/>
          <w:sz w:val="24"/>
        </w:rPr>
        <w:t>#</w:t>
      </w:r>
      <w:r>
        <w:rPr>
          <w:rFonts w:hint="eastAsia" w:ascii="Times New Roman" w:hAnsi="Times New Roman" w:cs="Times New Roman"/>
          <w:sz w:val="24"/>
          <w:lang w:val="en-US" w:eastAsia="zh-CN"/>
        </w:rPr>
        <w:t>5</w:t>
      </w:r>
      <w:r>
        <w:rPr>
          <w:rFonts w:ascii="Times New Roman" w:hAnsi="Times New Roman" w:cs="Times New Roman"/>
          <w:sz w:val="24"/>
        </w:rPr>
        <w:t xml:space="preserve">    "randomized controlled trial"[pt] OR "controlled clinical trial"[pt] OR "randomized"[tiab] OR "randomised"[tiab] OR "randomly"[tiab]</w:t>
      </w:r>
    </w:p>
    <w:p>
      <w:pPr>
        <w:spacing w:line="480" w:lineRule="auto"/>
        <w:jc w:val="left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ascii="Times New Roman" w:hAnsi="Times New Roman" w:cs="Times New Roman"/>
          <w:sz w:val="24"/>
        </w:rPr>
        <w:t>#</w:t>
      </w:r>
      <w:r>
        <w:rPr>
          <w:rFonts w:hint="eastAsia" w:ascii="Times New Roman" w:hAnsi="Times New Roman" w:cs="Times New Roman"/>
          <w:sz w:val="24"/>
          <w:lang w:val="en-US" w:eastAsia="zh-CN"/>
        </w:rPr>
        <w:t>6</w:t>
      </w:r>
      <w:r>
        <w:rPr>
          <w:rFonts w:ascii="Times New Roman" w:hAnsi="Times New Roman" w:cs="Times New Roman"/>
          <w:sz w:val="24"/>
        </w:rPr>
        <w:t xml:space="preserve">    #3 AND #4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AND #5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spacing w:line="480" w:lineRule="auto"/>
        <w:jc w:val="left"/>
        <w:rPr>
          <w:rStyle w:val="9"/>
          <w:rFonts w:eastAsia="宋体"/>
        </w:rPr>
      </w:pPr>
    </w:p>
    <w:p>
      <w:pPr>
        <w:widowControl/>
        <w:autoSpaceDE w:val="0"/>
        <w:spacing w:after="240" w:line="480" w:lineRule="auto"/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1"/>
          <w:lang w:bidi="ar"/>
        </w:rPr>
        <w:t>Supplemental Digital Content</w:t>
      </w:r>
      <w:r>
        <w:rPr>
          <w:rFonts w:ascii="Times New Roman" w:hAnsi="Times New Roman" w:eastAsia="宋体" w:cs="Times New Roman"/>
          <w:b/>
          <w:sz w:val="24"/>
          <w:szCs w:val="21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sz w:val="24"/>
          <w:szCs w:val="21"/>
          <w:lang w:val="en-US" w:eastAsia="zh-CN" w:bidi="ar"/>
        </w:rPr>
        <w:t>2</w:t>
      </w:r>
      <w:r>
        <w:rPr>
          <w:rFonts w:ascii="Times New Roman" w:hAnsi="Times New Roman" w:eastAsia="宋体" w:cs="Times New Roman"/>
          <w:b/>
          <w:sz w:val="24"/>
          <w:szCs w:val="21"/>
          <w:lang w:bidi="ar"/>
        </w:rPr>
        <w:t>.</w:t>
      </w:r>
      <w:r>
        <w:rPr>
          <w:rFonts w:ascii="Times New Roman" w:hAnsi="Times New Roman" w:eastAsia="宋体" w:cs="Times New Roman"/>
          <w:b/>
          <w:sz w:val="24"/>
          <w:szCs w:val="20"/>
          <w:lang w:bidi="ar"/>
        </w:rPr>
        <w:t xml:space="preserve"> </w:t>
      </w:r>
      <w:r>
        <w:rPr>
          <w:rFonts w:ascii="Times New Roman" w:hAnsi="Times New Roman" w:eastAsia="宋体" w:cs="Times New Roman"/>
          <w:sz w:val="24"/>
          <w:szCs w:val="20"/>
          <w:lang w:bidi="ar"/>
        </w:rPr>
        <w:t>Assessment of risk of bias. Green denotes low risk of bias, red indicates high risk of bias, and yellow represents unclear risk of bias.</w:t>
      </w:r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p>
      <w:pPr>
        <w:widowControl/>
        <w:spacing w:line="0" w:lineRule="atLeast"/>
        <w:jc w:val="center"/>
        <w:textAlignment w:val="center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73040" cy="6412865"/>
            <wp:effectExtent l="0" t="0" r="10160" b="635"/>
            <wp:docPr id="1" name="图片 1" descr="Risk of bias sum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isk of bias summary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41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  <w:bookmarkStart w:id="0" w:name="_GoBack"/>
      <w:bookmarkEnd w:id="0"/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tbl>
      <w:tblPr>
        <w:tblStyle w:val="5"/>
        <w:tblpPr w:leftFromText="180" w:rightFromText="180" w:vertAnchor="text" w:horzAnchor="page" w:tblpXSpec="center" w:tblpY="589"/>
        <w:tblOverlap w:val="never"/>
        <w:tblW w:w="9417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91"/>
        <w:gridCol w:w="920"/>
        <w:gridCol w:w="919"/>
        <w:gridCol w:w="2268"/>
        <w:gridCol w:w="71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" w:hRule="atLeast"/>
          <w:jc w:val="center"/>
        </w:trPr>
        <w:tc>
          <w:tcPr>
            <w:tcW w:w="9417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 xml:space="preserve">Supplemental Digital Content 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 xml:space="preserve">. Subgroup analyses 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(EM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 xml:space="preserve"> vs. 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ENDO)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45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b/>
                <w:color w:val="auto"/>
                <w:sz w:val="18"/>
                <w:szCs w:val="18"/>
              </w:rPr>
            </w:pP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Number of studies</w:t>
            </w: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Patients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, n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 xml:space="preserve">RR 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[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95% CI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 xml:space="preserve">], 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WMD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 xml:space="preserve"> [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95% CI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], or SMD [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95% CI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]</w:t>
            </w: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I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5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Times New Roman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Procedure success rate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Single-center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 xml:space="preserve"> [0.89, 1.0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Multi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309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1.02 [0.90, 1.15]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3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Europe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5-7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375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0.99 [0.90, 1.08]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0.97 [0.89, 1.04]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Without prior altered upper gastrointestinal anatomy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5, 7, 8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382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0.9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 [0.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91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, 1.03]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Critically ill patients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 xml:space="preserve"> [0.89, 1.0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45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Placement-related complications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Single-center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0.96 [0.41, 2.23]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Multi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309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0.59 [0.22, 1.60]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Europe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5-7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375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0.75 [0.36, 1.57]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0.62 [0.22, 1.74]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Without prior altered upper gastrointestinal anatomy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5, 7, 8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382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0.90 [0.45, 1.83]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Critically ill patients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0.96 [0.41, 2.23]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Epistaxis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  <w:lang w:val="en-US" w:eastAsia="zh-CN"/>
              </w:rPr>
              <w:t>†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Single-center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1.00 [0.39, 2.58]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Multi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309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0.13 [0.02, 1.05]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Europe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5-7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375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0.32 [0.09, 1.14]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0.58 [0.22, 1.50]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57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Without prior altered upper gastrointestinal anatomy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5, 7, 8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382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0.78 [0.32, 1.88]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Critically ill patients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1.00 [0.39, 2.58]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Hypoxia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  <w:lang w:val="en-US" w:eastAsia="zh-CN"/>
              </w:rPr>
              <w:t>†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Multi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309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0.57 [0.07, 4.54]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Europe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5-7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375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0.40 [0.07, 2.24]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Without prior altered upper gastrointestinal anatomy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5, 7, 8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382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0.45 [0.06, 3.44]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Patient recommendation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  <w:lang w:val="en-US" w:eastAsia="zh-CN"/>
              </w:rPr>
              <w:t>‡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Multi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309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1.35 [-1.30, 3.99]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89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2.31 [1.73, 2.89]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¶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Duration of total placement procedure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  <w:lang w:val="en-US" w:eastAsia="zh-CN"/>
              </w:rPr>
              <w:t>‡</w:t>
            </w:r>
          </w:p>
        </w:tc>
        <w:tc>
          <w:tcPr>
            <w:tcW w:w="9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-18.09 [-38.66, 2.47]</w:t>
            </w:r>
          </w:p>
        </w:tc>
        <w:tc>
          <w:tcPr>
            <w:tcW w:w="71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96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Procedure time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  <w:lang w:val="en-US" w:eastAsia="zh-CN"/>
              </w:rPr>
              <w:t>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Single-center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1.24 [-8.55, 11.03]</w:t>
            </w:r>
          </w:p>
        </w:tc>
        <w:tc>
          <w:tcPr>
            <w:tcW w:w="71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95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Multi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309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6.98 [1.10, 12.86]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¶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84%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Europe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5-7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375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3.46 [-3.90, 10.81]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92%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5.61 [4.06, 7.16]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¶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Without prior altered upper gastrointestinal anatomy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 xml:space="preserve"> 5, 7, 8</w:t>
            </w:r>
          </w:p>
        </w:tc>
        <w:tc>
          <w:tcPr>
            <w:tcW w:w="920" w:type="dxa"/>
            <w:tcBorders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19" w:type="dxa"/>
            <w:tcBorders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382</w:t>
            </w:r>
          </w:p>
        </w:tc>
        <w:tc>
          <w:tcPr>
            <w:tcW w:w="2268" w:type="dxa"/>
            <w:tcBorders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4.27 [-1.55, 10.09]</w:t>
            </w:r>
          </w:p>
        </w:tc>
        <w:tc>
          <w:tcPr>
            <w:tcW w:w="719" w:type="dxa"/>
            <w:tcBorders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92%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Critically ill patients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1.24 [-8.55, 11.03]</w:t>
            </w:r>
          </w:p>
        </w:tc>
        <w:tc>
          <w:tcPr>
            <w:tcW w:w="719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95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94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 xml:space="preserve">Supplemental Digital Content </w:t>
            </w:r>
            <w:r>
              <w:rPr>
                <w:rFonts w:hint="eastAsia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. Continued.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45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Number of studies</w:t>
            </w:r>
          </w:p>
        </w:tc>
        <w:tc>
          <w:tcPr>
            <w:tcW w:w="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Patients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, n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 xml:space="preserve">RR 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[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95% CI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 xml:space="preserve">], 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WMD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 xml:space="preserve"> [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95% CI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], or SMD [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95% CI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lang w:val="en-US" w:eastAsia="zh-CN"/>
              </w:rPr>
              <w:t>]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</w:rPr>
              <w:t>I</w:t>
            </w: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94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Total costs of the feeding tube placement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</w:rPr>
              <w:t>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Multi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6, 7</w:t>
            </w:r>
          </w:p>
        </w:tc>
        <w:tc>
          <w:tcPr>
            <w:tcW w:w="920" w:type="dxa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309</w:t>
            </w:r>
          </w:p>
        </w:tc>
        <w:tc>
          <w:tcPr>
            <w:tcW w:w="2268" w:type="dxa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-0.29 [-0.51, -0.06]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¶</w:t>
            </w:r>
          </w:p>
        </w:tc>
        <w:tc>
          <w:tcPr>
            <w:tcW w:w="719" w:type="dxa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-2.56 [-7.11, 1.99]</w:t>
            </w:r>
          </w:p>
        </w:tc>
        <w:tc>
          <w:tcPr>
            <w:tcW w:w="719" w:type="dxa"/>
            <w:tcBorders>
              <w:top w:val="dotted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99%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Length of hospital stay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  <w:lang w:val="en-US" w:eastAsia="zh-CN"/>
              </w:rPr>
              <w:t>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1.57 [-0.33, 3.47]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In-hospital mortality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</w:rPr>
              <w:t>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Single-center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0.88 [0.49, 1.57]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0.76 [0.39, 1.45]</w:t>
            </w:r>
          </w:p>
        </w:tc>
        <w:tc>
          <w:tcPr>
            <w:tcW w:w="719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Critically ill patients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0.88 [0.49, 1.57]</w:t>
            </w:r>
          </w:p>
        </w:tc>
        <w:tc>
          <w:tcPr>
            <w:tcW w:w="719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lang w:val="en-US" w:eastAsia="zh-CN"/>
              </w:rPr>
              <w:t>ICU mortality</w:t>
            </w:r>
            <w:r>
              <w:rPr>
                <w:rFonts w:hint="default" w:ascii="Times New Roman" w:hAnsi="Times New Roman" w:cs="Times New Roman"/>
                <w:i/>
                <w:color w:val="auto"/>
                <w:sz w:val="18"/>
                <w:szCs w:val="18"/>
                <w:vertAlign w:val="superscript"/>
              </w:rPr>
              <w:t>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Single-center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0.82 [0.43, 1.58]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evel of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BMI&lt;25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6, 8</w:t>
            </w:r>
          </w:p>
        </w:tc>
        <w:tc>
          <w:tcPr>
            <w:tcW w:w="920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315</w:t>
            </w:r>
          </w:p>
        </w:tc>
        <w:tc>
          <w:tcPr>
            <w:tcW w:w="2268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0.71 [0.35, 1.46]</w:t>
            </w:r>
          </w:p>
        </w:tc>
        <w:tc>
          <w:tcPr>
            <w:tcW w:w="719" w:type="dxa"/>
            <w:tcBorders>
              <w:top w:val="dotted" w:color="auto" w:sz="4" w:space="0"/>
              <w:left w:val="nil"/>
              <w:bottom w:val="dotted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591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Critically ill patients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5, 8</w:t>
            </w:r>
          </w:p>
        </w:tc>
        <w:tc>
          <w:tcPr>
            <w:tcW w:w="920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19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227</w:t>
            </w:r>
          </w:p>
        </w:tc>
        <w:tc>
          <w:tcPr>
            <w:tcW w:w="2268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0.82 [0.43, 1.58]</w:t>
            </w:r>
          </w:p>
        </w:tc>
        <w:tc>
          <w:tcPr>
            <w:tcW w:w="719" w:type="dxa"/>
            <w:tcBorders>
              <w:top w:val="dotted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  <w:jc w:val="center"/>
        </w:trPr>
        <w:tc>
          <w:tcPr>
            <w:tcW w:w="9417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CI, confidence interval; RR, risk ratio; WMD, weighted mean difference; SMD,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standard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 mean difference;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EM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lectromagnetic-guided placement of nasoenteral feeding tubes;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ENDO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, endoscopic placement of nasoenteral feeding tubes;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 xml:space="preserve">BMI: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body mass index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(kg/m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)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.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  <w:vertAlign w:val="superscript"/>
              </w:rPr>
              <w:t>†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RR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  <w:vertAlign w:val="superscript"/>
              </w:rPr>
              <w:t>‡</w:t>
            </w:r>
            <w:r>
              <w:rPr>
                <w:rFonts w:hint="default" w:ascii="Times New Roman" w:hAnsi="Times New Roman" w:eastAsia="Times New Roman" w:cs="Times New Roman"/>
                <w:color w:val="auto"/>
                <w:kern w:val="0"/>
                <w:sz w:val="18"/>
                <w:szCs w:val="18"/>
              </w:rPr>
              <w:t>W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MD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 xml:space="preserve">;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</w:rPr>
              <w:t>§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 xml:space="preserve">SMD;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vertAlign w:val="superscript"/>
                <w:lang w:val="en-US" w:eastAsia="zh-CN"/>
              </w:rPr>
              <w:t>¶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</w:rPr>
              <w:t>Bold values are statistically significant.</w:t>
            </w:r>
          </w:p>
        </w:tc>
      </w:tr>
    </w:tbl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p>
      <w:pPr>
        <w:widowControl/>
        <w:spacing w:line="0" w:lineRule="atLeast"/>
        <w:jc w:val="center"/>
        <w:textAlignment w:val="center"/>
        <w:rPr>
          <w:rFonts w:ascii="Times New Roman" w:hAnsi="Times New Roman" w:eastAsia="宋体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4359F"/>
    <w:rsid w:val="00855327"/>
    <w:rsid w:val="008755B7"/>
    <w:rsid w:val="009A3036"/>
    <w:rsid w:val="00A204AF"/>
    <w:rsid w:val="00A353D8"/>
    <w:rsid w:val="00C723AE"/>
    <w:rsid w:val="01C563F4"/>
    <w:rsid w:val="02076818"/>
    <w:rsid w:val="022869A7"/>
    <w:rsid w:val="06586E40"/>
    <w:rsid w:val="076827FF"/>
    <w:rsid w:val="081C219D"/>
    <w:rsid w:val="0A0A4EB4"/>
    <w:rsid w:val="0B944C7C"/>
    <w:rsid w:val="0FCE30AF"/>
    <w:rsid w:val="11B7755C"/>
    <w:rsid w:val="126F0CB0"/>
    <w:rsid w:val="19385D11"/>
    <w:rsid w:val="19C5664E"/>
    <w:rsid w:val="1B0E7C36"/>
    <w:rsid w:val="1CC0172F"/>
    <w:rsid w:val="1E6A33E6"/>
    <w:rsid w:val="24DA636A"/>
    <w:rsid w:val="25ED7E29"/>
    <w:rsid w:val="26117E4D"/>
    <w:rsid w:val="285569F4"/>
    <w:rsid w:val="2AA51983"/>
    <w:rsid w:val="2F4501F1"/>
    <w:rsid w:val="30D6415B"/>
    <w:rsid w:val="31A006DE"/>
    <w:rsid w:val="31F805DA"/>
    <w:rsid w:val="32805D8C"/>
    <w:rsid w:val="32E4638D"/>
    <w:rsid w:val="33746369"/>
    <w:rsid w:val="3624245D"/>
    <w:rsid w:val="389A7345"/>
    <w:rsid w:val="39664AB3"/>
    <w:rsid w:val="39C714D3"/>
    <w:rsid w:val="3B2F7EA2"/>
    <w:rsid w:val="411D2F4E"/>
    <w:rsid w:val="46092DB6"/>
    <w:rsid w:val="48D45841"/>
    <w:rsid w:val="490341E1"/>
    <w:rsid w:val="4B574C62"/>
    <w:rsid w:val="4E526E3A"/>
    <w:rsid w:val="4E554B4C"/>
    <w:rsid w:val="4E87267C"/>
    <w:rsid w:val="4E99281A"/>
    <w:rsid w:val="4F5F5AB4"/>
    <w:rsid w:val="52242A58"/>
    <w:rsid w:val="545D30DF"/>
    <w:rsid w:val="57CE1D74"/>
    <w:rsid w:val="591665AD"/>
    <w:rsid w:val="5A3C108D"/>
    <w:rsid w:val="5AE94CB6"/>
    <w:rsid w:val="5D9C7142"/>
    <w:rsid w:val="63F4359F"/>
    <w:rsid w:val="64925890"/>
    <w:rsid w:val="66B63958"/>
    <w:rsid w:val="690C3120"/>
    <w:rsid w:val="69AD7481"/>
    <w:rsid w:val="6A5B74AB"/>
    <w:rsid w:val="6A923858"/>
    <w:rsid w:val="71A72B73"/>
    <w:rsid w:val="72221995"/>
    <w:rsid w:val="737B14E8"/>
    <w:rsid w:val="75A50BB7"/>
    <w:rsid w:val="783012E2"/>
    <w:rsid w:val="78FE5D56"/>
    <w:rsid w:val="7BA05899"/>
    <w:rsid w:val="7EB822CD"/>
    <w:rsid w:val="7ED67DE8"/>
    <w:rsid w:val="7F59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style01"/>
    <w:basedOn w:val="7"/>
    <w:qFormat/>
    <w:uiPriority w:val="0"/>
    <w:rPr>
      <w:rFonts w:hint="default" w:ascii="Times New Roman" w:hAnsi="Times New Roman" w:cs="Times New Roman"/>
      <w:b/>
      <w:color w:val="000000"/>
      <w:sz w:val="24"/>
      <w:szCs w:val="24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467</Words>
  <Characters>2662</Characters>
  <Lines>22</Lines>
  <Paragraphs>6</Paragraphs>
  <TotalTime>3</TotalTime>
  <ScaleCrop>false</ScaleCrop>
  <LinksUpToDate>false</LinksUpToDate>
  <CharactersWithSpaces>3123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2019-03-29T11:55:00Z</dcterms:created>
  <dc:creator>kingz1025</dc:creator>
  <cp:lastModifiedBy>kingz1025</cp:lastModifiedBy>
  <dcterms:modified xsi:type="dcterms:W3CDTF">2020-08-15T16:01:40Z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