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A137C" w14:textId="2F085C46" w:rsidR="00AA653B" w:rsidRDefault="00AA653B" w:rsidP="000A67F8">
      <w:pPr>
        <w:spacing w:line="480" w:lineRule="auto"/>
        <w:rPr>
          <w:b/>
        </w:rPr>
      </w:pPr>
      <w:r w:rsidRPr="00175CBB">
        <w:rPr>
          <w:b/>
        </w:rPr>
        <w:t xml:space="preserve">Supplementary </w:t>
      </w:r>
      <w:r w:rsidR="00407DE2">
        <w:rPr>
          <w:b/>
        </w:rPr>
        <w:t>Figures</w:t>
      </w:r>
    </w:p>
    <w:p w14:paraId="0396C7CE" w14:textId="77777777" w:rsidR="0008702A" w:rsidRDefault="0008702A" w:rsidP="000A67F8">
      <w:pPr>
        <w:spacing w:line="480" w:lineRule="auto"/>
        <w:rPr>
          <w:b/>
        </w:rPr>
      </w:pPr>
    </w:p>
    <w:p w14:paraId="0A149833" w14:textId="4E3A0E76" w:rsidR="0008702A" w:rsidRDefault="00B752D5" w:rsidP="000A67F8">
      <w:pPr>
        <w:spacing w:line="480" w:lineRule="auto"/>
        <w:rPr>
          <w:b/>
        </w:rPr>
      </w:pPr>
      <w:r>
        <w:rPr>
          <w:b/>
          <w:noProof/>
        </w:rPr>
        <w:drawing>
          <wp:inline distT="0" distB="0" distL="0" distR="0" wp14:anchorId="2449A4DA" wp14:editId="47EF5112">
            <wp:extent cx="5943600" cy="7200900"/>
            <wp:effectExtent l="0" t="0" r="0" b="0"/>
            <wp:docPr id="143031549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315490" name="Immagine 143031549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E21DB" w14:textId="77777777" w:rsidR="00407DE2" w:rsidRDefault="00407DE2" w:rsidP="000A67F8">
      <w:pPr>
        <w:spacing w:line="480" w:lineRule="auto"/>
        <w:rPr>
          <w:b/>
        </w:rPr>
      </w:pPr>
    </w:p>
    <w:p w14:paraId="2422095B" w14:textId="6CD1EC2B" w:rsidR="0008702A" w:rsidRPr="0008702A" w:rsidRDefault="0008702A" w:rsidP="000A67F8">
      <w:pPr>
        <w:spacing w:line="480" w:lineRule="auto"/>
        <w:rPr>
          <w:b/>
          <w:lang w:val="en"/>
        </w:rPr>
      </w:pPr>
      <w:r w:rsidRPr="0008702A">
        <w:rPr>
          <w:b/>
          <w:lang w:val="en"/>
        </w:rPr>
        <w:lastRenderedPageBreak/>
        <w:t>Figure S</w:t>
      </w:r>
      <w:r w:rsidRPr="0008702A">
        <w:rPr>
          <w:b/>
          <w:bCs/>
          <w:lang w:val="en"/>
        </w:rPr>
        <w:t xml:space="preserve">1. Detection of </w:t>
      </w:r>
      <w:r w:rsidRPr="0008702A">
        <w:rPr>
          <w:b/>
          <w:bCs/>
          <w:i/>
          <w:iCs/>
          <w:lang w:val="en"/>
        </w:rPr>
        <w:t>FGFR2</w:t>
      </w:r>
      <w:r w:rsidRPr="0008702A">
        <w:rPr>
          <w:b/>
          <w:bCs/>
          <w:lang w:val="en"/>
        </w:rPr>
        <w:t xml:space="preserve"> DNA in subcellular compartments and on the surface of EVs</w:t>
      </w:r>
      <w:r>
        <w:rPr>
          <w:b/>
          <w:bCs/>
          <w:lang w:val="en"/>
        </w:rPr>
        <w:t>.</w:t>
      </w:r>
    </w:p>
    <w:p w14:paraId="48CDB8FB" w14:textId="77777777" w:rsidR="0008702A" w:rsidRDefault="0008702A" w:rsidP="000A67F8">
      <w:pPr>
        <w:spacing w:line="480" w:lineRule="auto"/>
        <w:rPr>
          <w:lang w:val="en"/>
        </w:rPr>
      </w:pPr>
      <w:r w:rsidRPr="0008702A">
        <w:rPr>
          <w:b/>
          <w:bCs/>
          <w:lang w:val="en"/>
        </w:rPr>
        <w:t>(A)</w:t>
      </w:r>
      <w:r w:rsidRPr="0008702A">
        <w:rPr>
          <w:lang w:val="en"/>
        </w:rPr>
        <w:t xml:space="preserve"> The effectiveness of cell fractionation was evaluated by measuring </w:t>
      </w:r>
      <w:r w:rsidRPr="0008702A">
        <w:rPr>
          <w:i/>
          <w:iCs/>
          <w:lang w:val="en"/>
        </w:rPr>
        <w:t>U6</w:t>
      </w:r>
      <w:r w:rsidRPr="0008702A">
        <w:rPr>
          <w:lang w:val="en"/>
        </w:rPr>
        <w:t xml:space="preserve"> and </w:t>
      </w:r>
      <w:r w:rsidRPr="0008702A">
        <w:rPr>
          <w:i/>
          <w:iCs/>
          <w:lang w:val="en"/>
        </w:rPr>
        <w:t xml:space="preserve">HPRT </w:t>
      </w:r>
      <w:r w:rsidRPr="0008702A">
        <w:rPr>
          <w:lang w:val="en"/>
        </w:rPr>
        <w:t xml:space="preserve">expression in two subcellular compartments enriched in the nucleus and cytoplasm, respectively. The data are representative of three independent experiments. </w:t>
      </w:r>
      <w:r w:rsidRPr="0008702A">
        <w:rPr>
          <w:b/>
          <w:bCs/>
          <w:lang w:val="en"/>
        </w:rPr>
        <w:t>(B)</w:t>
      </w:r>
      <w:r w:rsidRPr="0008702A">
        <w:rPr>
          <w:lang w:val="en"/>
        </w:rPr>
        <w:t xml:space="preserve"> Schematic representation of the EV isolation protocol through ultracentrifugation, created using </w:t>
      </w:r>
      <w:proofErr w:type="spellStart"/>
      <w:r w:rsidRPr="0008702A">
        <w:rPr>
          <w:lang w:val="en"/>
        </w:rPr>
        <w:t>Biorender</w:t>
      </w:r>
      <w:proofErr w:type="spellEnd"/>
      <w:r w:rsidRPr="0008702A">
        <w:rPr>
          <w:lang w:val="en"/>
        </w:rPr>
        <w:t xml:space="preserve">. </w:t>
      </w:r>
      <w:r w:rsidRPr="0008702A">
        <w:rPr>
          <w:b/>
          <w:bCs/>
          <w:lang w:val="en"/>
        </w:rPr>
        <w:t>(C)</w:t>
      </w:r>
      <w:r w:rsidRPr="0008702A">
        <w:rPr>
          <w:lang w:val="en"/>
        </w:rPr>
        <w:t xml:space="preserve"> Nanoparticle tracking analysis profile of exosome (EXO) and </w:t>
      </w:r>
      <w:proofErr w:type="spellStart"/>
      <w:r w:rsidRPr="0008702A">
        <w:rPr>
          <w:lang w:val="en"/>
        </w:rPr>
        <w:t>microvesicles</w:t>
      </w:r>
      <w:proofErr w:type="spellEnd"/>
      <w:r w:rsidRPr="0008702A">
        <w:rPr>
          <w:lang w:val="en"/>
        </w:rPr>
        <w:t xml:space="preserve"> (MV) fractions isolated from the CUP#55S and A549 used as control cell line. </w:t>
      </w:r>
      <w:r w:rsidRPr="0008702A">
        <w:rPr>
          <w:b/>
          <w:bCs/>
          <w:lang w:val="en"/>
        </w:rPr>
        <w:t>(D)</w:t>
      </w:r>
      <w:r w:rsidRPr="0008702A">
        <w:rPr>
          <w:lang w:val="en"/>
        </w:rPr>
        <w:t xml:space="preserve"> (top) Bar graph representation of the particles/mL of FGFR2</w:t>
      </w:r>
      <w:r w:rsidRPr="0008702A">
        <w:rPr>
          <w:vertAlign w:val="superscript"/>
          <w:lang w:val="en"/>
        </w:rPr>
        <w:t>+</w:t>
      </w:r>
      <w:r w:rsidRPr="0008702A">
        <w:rPr>
          <w:lang w:val="en"/>
        </w:rPr>
        <w:t xml:space="preserve"> EVs captured with the </w:t>
      </w:r>
      <w:proofErr w:type="spellStart"/>
      <w:r w:rsidRPr="0008702A">
        <w:rPr>
          <w:lang w:val="en"/>
        </w:rPr>
        <w:t>tetraspanins</w:t>
      </w:r>
      <w:proofErr w:type="spellEnd"/>
      <w:r w:rsidRPr="0008702A">
        <w:rPr>
          <w:lang w:val="en"/>
        </w:rPr>
        <w:t xml:space="preserve"> CD63 (red), CD81 (green) and CD9 (blue), quantified with </w:t>
      </w:r>
      <w:proofErr w:type="spellStart"/>
      <w:r w:rsidRPr="0008702A">
        <w:rPr>
          <w:lang w:val="en"/>
        </w:rPr>
        <w:t>ExoView</w:t>
      </w:r>
      <w:proofErr w:type="spellEnd"/>
      <w:r w:rsidRPr="0008702A">
        <w:rPr>
          <w:lang w:val="en"/>
        </w:rPr>
        <w:t xml:space="preserve">. (Bottom) Representative visualization showing individual spots per capture antibody (CD63–81–9, IgG) for EVs isolated from CUP#96, CUP#55S and control cell line . Fluorescence signals: FGFR2, red; CD81, green; and CD9, blue. </w:t>
      </w:r>
    </w:p>
    <w:p w14:paraId="27EEAFE0" w14:textId="0ADDFCA5" w:rsidR="00B752D5" w:rsidRDefault="00B752D5" w:rsidP="000A67F8">
      <w:pPr>
        <w:spacing w:line="480" w:lineRule="auto"/>
        <w:rPr>
          <w:lang w:val="en"/>
        </w:rPr>
      </w:pPr>
      <w:r>
        <w:rPr>
          <w:lang w:val="en"/>
        </w:rPr>
        <w:br w:type="page"/>
      </w:r>
    </w:p>
    <w:p w14:paraId="0131F85F" w14:textId="5130966B" w:rsidR="00B752D5" w:rsidRPr="0008702A" w:rsidRDefault="00B752D5" w:rsidP="000A67F8">
      <w:pPr>
        <w:spacing w:line="480" w:lineRule="auto"/>
        <w:rPr>
          <w:lang w:val="en"/>
        </w:rPr>
      </w:pPr>
      <w:r>
        <w:rPr>
          <w:noProof/>
          <w:lang w:val="en"/>
        </w:rPr>
        <w:lastRenderedPageBreak/>
        <w:drawing>
          <wp:inline distT="0" distB="0" distL="0" distR="0" wp14:anchorId="50075B77" wp14:editId="43C717F8">
            <wp:extent cx="5943600" cy="7200900"/>
            <wp:effectExtent l="0" t="0" r="0" b="0"/>
            <wp:docPr id="852682393" name="Immagine 2" descr="Immagine che contiene diagramma, Disegno tecnico, schizzo, Pian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682393" name="Immagine 2" descr="Immagine che contiene diagramma, Disegno tecnico, schizzo, Piano&#10;&#10;Il contenuto generato dall'IA potrebbe non essere corret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E559E" w14:textId="77777777" w:rsidR="0008702A" w:rsidRPr="0008702A" w:rsidRDefault="0008702A" w:rsidP="000A67F8">
      <w:pPr>
        <w:spacing w:line="480" w:lineRule="auto"/>
        <w:rPr>
          <w:lang w:val="en"/>
        </w:rPr>
      </w:pPr>
    </w:p>
    <w:p w14:paraId="4D675F78" w14:textId="61F1C8B1" w:rsidR="0008702A" w:rsidRPr="0008702A" w:rsidRDefault="0008702A" w:rsidP="000A67F8">
      <w:pPr>
        <w:spacing w:line="480" w:lineRule="auto"/>
        <w:rPr>
          <w:b/>
          <w:lang w:val="en"/>
        </w:rPr>
      </w:pPr>
      <w:r w:rsidRPr="0008702A">
        <w:rPr>
          <w:b/>
          <w:lang w:val="en"/>
        </w:rPr>
        <w:t>Figure S2. EV DNA size and full-length FGFR2 gene quantification</w:t>
      </w:r>
      <w:r>
        <w:rPr>
          <w:b/>
          <w:lang w:val="en"/>
        </w:rPr>
        <w:t>.</w:t>
      </w:r>
    </w:p>
    <w:p w14:paraId="11C66CF7" w14:textId="77777777" w:rsidR="0008702A" w:rsidRPr="0008702A" w:rsidRDefault="0008702A" w:rsidP="000A67F8">
      <w:pPr>
        <w:spacing w:line="480" w:lineRule="auto"/>
        <w:rPr>
          <w:bCs/>
          <w:lang w:val="en"/>
        </w:rPr>
      </w:pPr>
      <w:r w:rsidRPr="0008702A">
        <w:rPr>
          <w:b/>
          <w:lang w:val="en"/>
        </w:rPr>
        <w:lastRenderedPageBreak/>
        <w:t>(A)</w:t>
      </w:r>
      <w:r w:rsidRPr="0008702A">
        <w:rPr>
          <w:bCs/>
          <w:lang w:val="en"/>
        </w:rPr>
        <w:t xml:space="preserve"> DNA size profiles of exosomes and </w:t>
      </w:r>
      <w:proofErr w:type="spellStart"/>
      <w:r w:rsidRPr="0008702A">
        <w:rPr>
          <w:bCs/>
          <w:lang w:val="en"/>
        </w:rPr>
        <w:t>microvesicles</w:t>
      </w:r>
      <w:proofErr w:type="spellEnd"/>
      <w:r w:rsidRPr="0008702A">
        <w:rPr>
          <w:bCs/>
          <w:lang w:val="en"/>
        </w:rPr>
        <w:t xml:space="preserve"> visualized via capillary electrophoresis. </w:t>
      </w:r>
      <w:r w:rsidRPr="0008702A">
        <w:rPr>
          <w:b/>
          <w:lang w:val="en"/>
        </w:rPr>
        <w:t>(B)</w:t>
      </w:r>
      <w:r w:rsidRPr="0008702A">
        <w:rPr>
          <w:bCs/>
          <w:lang w:val="en"/>
        </w:rPr>
        <w:t xml:space="preserve"> Schematic representation of primer localization designed to cover the full-length </w:t>
      </w:r>
      <w:r w:rsidRPr="0008702A">
        <w:rPr>
          <w:bCs/>
          <w:i/>
          <w:iCs/>
          <w:lang w:val="en"/>
        </w:rPr>
        <w:t>FGFR2</w:t>
      </w:r>
      <w:r w:rsidRPr="0008702A">
        <w:rPr>
          <w:bCs/>
          <w:lang w:val="en"/>
        </w:rPr>
        <w:t xml:space="preserve"> genetic locus. </w:t>
      </w:r>
      <w:r w:rsidRPr="0008702A">
        <w:rPr>
          <w:b/>
          <w:lang w:val="en"/>
        </w:rPr>
        <w:t>(C)</w:t>
      </w:r>
      <w:r w:rsidRPr="0008702A">
        <w:rPr>
          <w:bCs/>
          <w:lang w:val="en"/>
        </w:rPr>
        <w:t xml:space="preserve"> Quantification of 6 </w:t>
      </w:r>
      <w:r w:rsidRPr="0008702A">
        <w:rPr>
          <w:bCs/>
          <w:i/>
          <w:iCs/>
          <w:lang w:val="en"/>
        </w:rPr>
        <w:t>FGFR2</w:t>
      </w:r>
      <w:r w:rsidRPr="0008702A">
        <w:rPr>
          <w:bCs/>
          <w:lang w:val="en"/>
        </w:rPr>
        <w:t xml:space="preserve"> DNA regions (P1–P7) over the entire gene length (Chr.10) and a control genomic region (Chr.14) in DNA obtained from </w:t>
      </w:r>
      <w:proofErr w:type="spellStart"/>
      <w:r w:rsidRPr="0008702A">
        <w:rPr>
          <w:bCs/>
          <w:lang w:val="en"/>
        </w:rPr>
        <w:t>microvesicles</w:t>
      </w:r>
      <w:proofErr w:type="spellEnd"/>
      <w:r w:rsidRPr="0008702A">
        <w:rPr>
          <w:bCs/>
          <w:lang w:val="en"/>
        </w:rPr>
        <w:t xml:space="preserve"> of CUP#96 (blue), CUP#55S (orange), and control cell line  (green).</w:t>
      </w:r>
    </w:p>
    <w:p w14:paraId="044F0891" w14:textId="1B5FCF42" w:rsidR="00B752D5" w:rsidRDefault="00B752D5" w:rsidP="000A67F8">
      <w:pPr>
        <w:spacing w:line="480" w:lineRule="auto"/>
        <w:rPr>
          <w:b/>
          <w:lang w:val="en"/>
        </w:rPr>
      </w:pPr>
      <w:r>
        <w:rPr>
          <w:b/>
          <w:lang w:val="en"/>
        </w:rPr>
        <w:br w:type="page"/>
      </w:r>
    </w:p>
    <w:p w14:paraId="459ECB64" w14:textId="4CEFBC46" w:rsidR="0008702A" w:rsidRDefault="00B752D5" w:rsidP="000A67F8">
      <w:pPr>
        <w:spacing w:line="480" w:lineRule="auto"/>
        <w:rPr>
          <w:b/>
          <w:lang w:val="en"/>
        </w:rPr>
      </w:pPr>
      <w:r>
        <w:rPr>
          <w:b/>
          <w:noProof/>
          <w:lang w:val="en"/>
        </w:rPr>
        <w:lastRenderedPageBreak/>
        <w:drawing>
          <wp:inline distT="0" distB="0" distL="0" distR="0" wp14:anchorId="2416B28E" wp14:editId="1F6D6BA3">
            <wp:extent cx="5930900" cy="6804000"/>
            <wp:effectExtent l="0" t="0" r="0" b="3810"/>
            <wp:docPr id="478735870" name="Immagine 3" descr="Immagine che contiene schermata, Rettangolo, casa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735870" name="Immagine 3" descr="Immagine che contiene schermata, Rettangolo, casa, design&#10;&#10;Il contenuto generato dall'IA potrebbe non essere corretto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680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F5519F" w14:textId="77777777" w:rsidR="00B752D5" w:rsidRPr="0008702A" w:rsidRDefault="00B752D5" w:rsidP="000A67F8">
      <w:pPr>
        <w:spacing w:line="480" w:lineRule="auto"/>
        <w:rPr>
          <w:b/>
          <w:lang w:val="en"/>
        </w:rPr>
      </w:pPr>
    </w:p>
    <w:p w14:paraId="67084511" w14:textId="29391090" w:rsidR="0008702A" w:rsidRPr="0008702A" w:rsidRDefault="0008702A" w:rsidP="000A67F8">
      <w:pPr>
        <w:spacing w:line="480" w:lineRule="auto"/>
        <w:rPr>
          <w:b/>
          <w:lang w:val="en"/>
        </w:rPr>
      </w:pPr>
      <w:r w:rsidRPr="0008702A">
        <w:rPr>
          <w:b/>
          <w:lang w:val="en"/>
        </w:rPr>
        <w:t>Figure S3. AFM images of genomic DNA and EVs</w:t>
      </w:r>
      <w:r>
        <w:rPr>
          <w:b/>
          <w:lang w:val="en"/>
        </w:rPr>
        <w:t>.</w:t>
      </w:r>
    </w:p>
    <w:p w14:paraId="434E8554" w14:textId="119830EA" w:rsidR="00B752D5" w:rsidRDefault="0008702A" w:rsidP="000A67F8">
      <w:pPr>
        <w:spacing w:line="480" w:lineRule="auto"/>
        <w:rPr>
          <w:bCs/>
          <w:lang w:val="en"/>
        </w:rPr>
      </w:pPr>
      <w:r w:rsidRPr="0008702A">
        <w:rPr>
          <w:b/>
          <w:lang w:val="en"/>
        </w:rPr>
        <w:t>(A)</w:t>
      </w:r>
      <w:r w:rsidRPr="0008702A">
        <w:rPr>
          <w:bCs/>
          <w:lang w:val="en"/>
        </w:rPr>
        <w:t xml:space="preserve"> AFM images of the genomic DNA of CUP#96 and CUP#55S untreated or treated with </w:t>
      </w:r>
      <w:proofErr w:type="spellStart"/>
      <w:r w:rsidRPr="0008702A">
        <w:rPr>
          <w:bCs/>
          <w:lang w:val="en"/>
        </w:rPr>
        <w:t>DNAse</w:t>
      </w:r>
      <w:proofErr w:type="spellEnd"/>
      <w:r w:rsidRPr="0008702A">
        <w:rPr>
          <w:bCs/>
          <w:lang w:val="en"/>
        </w:rPr>
        <w:t xml:space="preserve">. In these samples, circular DNA can be observed along with long linear dsDNA. </w:t>
      </w:r>
      <w:r w:rsidRPr="0008702A">
        <w:rPr>
          <w:b/>
          <w:lang w:val="en"/>
        </w:rPr>
        <w:t>(B)</w:t>
      </w:r>
      <w:r w:rsidRPr="0008702A">
        <w:rPr>
          <w:bCs/>
          <w:lang w:val="en"/>
        </w:rPr>
        <w:t xml:space="preserve"> Representative images of EXOs and </w:t>
      </w:r>
      <w:r w:rsidRPr="0008702A">
        <w:rPr>
          <w:bCs/>
          <w:lang w:val="en"/>
        </w:rPr>
        <w:lastRenderedPageBreak/>
        <w:t xml:space="preserve">MVs untreated and treated with Plasmid Safe and </w:t>
      </w:r>
      <w:r w:rsidRPr="0008702A">
        <w:rPr>
          <w:b/>
          <w:lang w:val="en"/>
        </w:rPr>
        <w:t>(C)</w:t>
      </w:r>
      <w:r w:rsidRPr="0008702A">
        <w:rPr>
          <w:bCs/>
          <w:lang w:val="en"/>
        </w:rPr>
        <w:t xml:space="preserve"> EV size/contact angle distributions calculated on the basis of AFM images.</w:t>
      </w:r>
    </w:p>
    <w:p w14:paraId="16992E44" w14:textId="77777777" w:rsidR="00B752D5" w:rsidRDefault="00B752D5" w:rsidP="000A67F8">
      <w:pPr>
        <w:spacing w:line="480" w:lineRule="auto"/>
        <w:rPr>
          <w:bCs/>
          <w:lang w:val="en"/>
        </w:rPr>
      </w:pPr>
      <w:r>
        <w:rPr>
          <w:bCs/>
          <w:lang w:val="en"/>
        </w:rPr>
        <w:br w:type="page"/>
      </w:r>
    </w:p>
    <w:p w14:paraId="2C995680" w14:textId="038DF950" w:rsidR="0008702A" w:rsidRPr="0008702A" w:rsidRDefault="00B752D5" w:rsidP="000A67F8">
      <w:pPr>
        <w:spacing w:line="480" w:lineRule="auto"/>
        <w:rPr>
          <w:bCs/>
          <w:lang w:val="en"/>
        </w:rPr>
      </w:pPr>
      <w:r>
        <w:rPr>
          <w:bCs/>
          <w:noProof/>
          <w:lang w:val="en"/>
        </w:rPr>
        <w:lastRenderedPageBreak/>
        <w:drawing>
          <wp:inline distT="0" distB="0" distL="0" distR="0" wp14:anchorId="78A22130" wp14:editId="7CA34A7C">
            <wp:extent cx="5942727" cy="3290400"/>
            <wp:effectExtent l="0" t="0" r="1270" b="0"/>
            <wp:docPr id="402790034" name="Immagine 4" descr="Immagine che contiene testo, schermata, diagramma, Pian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790034" name="Immagine 4" descr="Immagine che contiene testo, schermata, diagramma, Piano&#10;&#10;Il contenuto generato dall'IA potrebbe non essere corretto.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0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5DAD6D" w14:textId="77777777" w:rsidR="0008702A" w:rsidRPr="0008702A" w:rsidRDefault="0008702A" w:rsidP="000A67F8">
      <w:pPr>
        <w:spacing w:line="480" w:lineRule="auto"/>
        <w:rPr>
          <w:b/>
          <w:lang w:val="en"/>
        </w:rPr>
      </w:pPr>
    </w:p>
    <w:p w14:paraId="42D2F422" w14:textId="1B814C60" w:rsidR="0008702A" w:rsidRPr="0008702A" w:rsidRDefault="0008702A" w:rsidP="000A67F8">
      <w:pPr>
        <w:spacing w:line="480" w:lineRule="auto"/>
        <w:rPr>
          <w:b/>
          <w:lang w:val="en"/>
        </w:rPr>
      </w:pPr>
      <w:r w:rsidRPr="0008702A">
        <w:rPr>
          <w:b/>
          <w:lang w:val="en"/>
        </w:rPr>
        <w:t xml:space="preserve">Figure S4. Circular </w:t>
      </w:r>
      <w:r w:rsidRPr="0008702A">
        <w:rPr>
          <w:b/>
          <w:i/>
          <w:iCs/>
          <w:lang w:val="en"/>
        </w:rPr>
        <w:t xml:space="preserve">FGFR2 </w:t>
      </w:r>
      <w:r w:rsidRPr="0008702A">
        <w:rPr>
          <w:b/>
          <w:lang w:val="en"/>
        </w:rPr>
        <w:t>DNA detection in cell lines and EVs</w:t>
      </w:r>
      <w:r>
        <w:rPr>
          <w:b/>
          <w:lang w:val="en"/>
        </w:rPr>
        <w:t>.</w:t>
      </w:r>
    </w:p>
    <w:p w14:paraId="31EC8568" w14:textId="77777777" w:rsidR="0008702A" w:rsidRPr="0008702A" w:rsidRDefault="0008702A" w:rsidP="000A67F8">
      <w:pPr>
        <w:spacing w:line="480" w:lineRule="auto"/>
        <w:rPr>
          <w:bCs/>
          <w:lang w:val="en"/>
        </w:rPr>
      </w:pPr>
      <w:r w:rsidRPr="0008702A">
        <w:rPr>
          <w:bCs/>
          <w:lang w:val="en"/>
        </w:rPr>
        <w:t xml:space="preserve">Droplet digital PCR 2D scatterplot showing that circular </w:t>
      </w:r>
      <w:r w:rsidRPr="0008702A">
        <w:rPr>
          <w:bCs/>
          <w:i/>
          <w:iCs/>
          <w:lang w:val="en"/>
        </w:rPr>
        <w:t>FGFR2</w:t>
      </w:r>
      <w:r w:rsidRPr="0008702A">
        <w:rPr>
          <w:bCs/>
          <w:lang w:val="en"/>
        </w:rPr>
        <w:t xml:space="preserve"> DNA (FAM, channel 1) remains detectable after plasmid-safe digestion of CUP#96 and CUP#55S genomic DNA </w:t>
      </w:r>
      <w:r w:rsidRPr="0008702A">
        <w:rPr>
          <w:b/>
          <w:lang w:val="en"/>
        </w:rPr>
        <w:t>(A)</w:t>
      </w:r>
      <w:r w:rsidRPr="0008702A">
        <w:rPr>
          <w:bCs/>
          <w:lang w:val="en"/>
        </w:rPr>
        <w:t xml:space="preserve">, EXO DNA </w:t>
      </w:r>
      <w:r w:rsidRPr="0008702A">
        <w:rPr>
          <w:b/>
          <w:lang w:val="en"/>
        </w:rPr>
        <w:t xml:space="preserve">(B) </w:t>
      </w:r>
      <w:r w:rsidRPr="0008702A">
        <w:rPr>
          <w:bCs/>
          <w:lang w:val="en"/>
        </w:rPr>
        <w:t>and MV DNA</w:t>
      </w:r>
      <w:r w:rsidRPr="0008702A">
        <w:rPr>
          <w:b/>
          <w:lang w:val="en"/>
        </w:rPr>
        <w:t xml:space="preserve"> (C)</w:t>
      </w:r>
      <w:r w:rsidRPr="0008702A">
        <w:rPr>
          <w:bCs/>
          <w:lang w:val="en"/>
        </w:rPr>
        <w:t xml:space="preserve">. </w:t>
      </w:r>
      <w:r w:rsidRPr="0008702A">
        <w:rPr>
          <w:bCs/>
          <w:i/>
          <w:iCs/>
          <w:lang w:val="en"/>
        </w:rPr>
        <w:t>RPP30</w:t>
      </w:r>
      <w:r w:rsidRPr="0008702A">
        <w:rPr>
          <w:bCs/>
          <w:lang w:val="en"/>
        </w:rPr>
        <w:t xml:space="preserve"> (HEX, channel 2) served as a linear DNA internal control.</w:t>
      </w:r>
    </w:p>
    <w:p w14:paraId="59C6C471" w14:textId="1538F12A" w:rsidR="00B752D5" w:rsidRDefault="00B752D5" w:rsidP="000A67F8">
      <w:pPr>
        <w:spacing w:line="480" w:lineRule="auto"/>
        <w:rPr>
          <w:bCs/>
          <w:lang w:val="en"/>
        </w:rPr>
      </w:pPr>
      <w:r>
        <w:rPr>
          <w:bCs/>
          <w:lang w:val="en"/>
        </w:rPr>
        <w:br w:type="page"/>
      </w:r>
    </w:p>
    <w:p w14:paraId="448884B1" w14:textId="639D2DC2" w:rsidR="0008702A" w:rsidRDefault="00B752D5" w:rsidP="000A67F8">
      <w:pPr>
        <w:spacing w:line="480" w:lineRule="auto"/>
        <w:rPr>
          <w:bCs/>
          <w:lang w:val="en"/>
        </w:rPr>
      </w:pPr>
      <w:r>
        <w:rPr>
          <w:bCs/>
          <w:noProof/>
          <w:lang w:val="en"/>
        </w:rPr>
        <w:lastRenderedPageBreak/>
        <w:drawing>
          <wp:inline distT="0" distB="0" distL="0" distR="0" wp14:anchorId="1FF16337" wp14:editId="4695D1ED">
            <wp:extent cx="5943600" cy="6890400"/>
            <wp:effectExtent l="0" t="0" r="0" b="5715"/>
            <wp:docPr id="1972218590" name="Immagine 5" descr="Immagine che contiene testo, diagramma, schizzo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218590" name="Immagine 5" descr="Immagine che contiene testo, diagramma, schizzo, design&#10;&#10;Il contenuto generato dall'IA potrebbe non essere corretto.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B1488B" w14:textId="77777777" w:rsidR="00B752D5" w:rsidRPr="0008702A" w:rsidRDefault="00B752D5" w:rsidP="000A67F8">
      <w:pPr>
        <w:spacing w:line="480" w:lineRule="auto"/>
        <w:rPr>
          <w:bCs/>
          <w:lang w:val="en"/>
        </w:rPr>
      </w:pPr>
    </w:p>
    <w:p w14:paraId="396AFED7" w14:textId="6606A2EF" w:rsidR="0008702A" w:rsidRPr="0008702A" w:rsidRDefault="0008702A" w:rsidP="000A67F8">
      <w:pPr>
        <w:spacing w:line="480" w:lineRule="auto"/>
        <w:rPr>
          <w:b/>
          <w:lang w:val="en"/>
        </w:rPr>
      </w:pPr>
      <w:r w:rsidRPr="0008702A">
        <w:rPr>
          <w:b/>
          <w:lang w:val="en"/>
        </w:rPr>
        <w:t xml:space="preserve">Figure S5. Structure analysis of MV </w:t>
      </w:r>
      <w:proofErr w:type="spellStart"/>
      <w:r w:rsidRPr="0008702A">
        <w:rPr>
          <w:b/>
          <w:lang w:val="en"/>
        </w:rPr>
        <w:t>ecDNA</w:t>
      </w:r>
      <w:proofErr w:type="spellEnd"/>
      <w:r>
        <w:rPr>
          <w:b/>
          <w:lang w:val="en"/>
        </w:rPr>
        <w:t>.</w:t>
      </w:r>
    </w:p>
    <w:p w14:paraId="26D42898" w14:textId="225E6BCB" w:rsidR="00B752D5" w:rsidRDefault="0008702A" w:rsidP="000A67F8">
      <w:pPr>
        <w:spacing w:line="480" w:lineRule="auto"/>
        <w:rPr>
          <w:bCs/>
          <w:lang w:val="en"/>
        </w:rPr>
      </w:pPr>
      <w:r w:rsidRPr="0008702A">
        <w:rPr>
          <w:bCs/>
          <w:lang w:val="en"/>
        </w:rPr>
        <w:t xml:space="preserve">On the left, Amplicon Architect (AA)-generated breakpoint graphs of CUP#96 cfDNA amplicon (top left) EXO amplicon 1 (middle left), CUP#96 MV amplicon 1 (bottom left) containing </w:t>
      </w:r>
      <w:r w:rsidRPr="0008702A">
        <w:rPr>
          <w:bCs/>
          <w:i/>
          <w:iCs/>
          <w:lang w:val="en"/>
        </w:rPr>
        <w:t>FGFR2</w:t>
      </w:r>
      <w:r w:rsidRPr="0008702A">
        <w:rPr>
          <w:bCs/>
          <w:i/>
          <w:iCs/>
          <w:vertAlign w:val="superscript"/>
          <w:lang w:val="en"/>
        </w:rPr>
        <w:t>+</w:t>
      </w:r>
      <w:r w:rsidRPr="0008702A">
        <w:rPr>
          <w:bCs/>
          <w:lang w:val="en"/>
        </w:rPr>
        <w:t xml:space="preserve"> </w:t>
      </w:r>
      <w:proofErr w:type="spellStart"/>
      <w:r w:rsidRPr="0008702A">
        <w:rPr>
          <w:bCs/>
          <w:lang w:val="en"/>
        </w:rPr>
        <w:t>ecDNA</w:t>
      </w:r>
      <w:proofErr w:type="spellEnd"/>
      <w:r w:rsidRPr="0008702A">
        <w:rPr>
          <w:bCs/>
          <w:lang w:val="en"/>
        </w:rPr>
        <w:t xml:space="preserve"> with </w:t>
      </w:r>
      <w:proofErr w:type="spellStart"/>
      <w:r w:rsidRPr="0008702A">
        <w:rPr>
          <w:bCs/>
          <w:lang w:val="en"/>
        </w:rPr>
        <w:t>corresponsing</w:t>
      </w:r>
      <w:proofErr w:type="spellEnd"/>
      <w:r w:rsidRPr="0008702A">
        <w:rPr>
          <w:bCs/>
          <w:lang w:val="en"/>
        </w:rPr>
        <w:t xml:space="preserve"> </w:t>
      </w:r>
      <w:proofErr w:type="spellStart"/>
      <w:r w:rsidRPr="0008702A">
        <w:rPr>
          <w:bCs/>
          <w:lang w:val="en"/>
        </w:rPr>
        <w:lastRenderedPageBreak/>
        <w:t>CycleViz</w:t>
      </w:r>
      <w:proofErr w:type="spellEnd"/>
      <w:r w:rsidRPr="0008702A">
        <w:rPr>
          <w:bCs/>
          <w:lang w:val="en"/>
        </w:rPr>
        <w:t xml:space="preserve"> generated genomic graphs of the </w:t>
      </w:r>
      <w:r w:rsidRPr="0008702A">
        <w:rPr>
          <w:bCs/>
          <w:i/>
          <w:iCs/>
          <w:lang w:val="en"/>
        </w:rPr>
        <w:t>FGFR2</w:t>
      </w:r>
      <w:r w:rsidRPr="0008702A">
        <w:rPr>
          <w:bCs/>
          <w:i/>
          <w:iCs/>
          <w:vertAlign w:val="superscript"/>
          <w:lang w:val="en"/>
        </w:rPr>
        <w:t>+</w:t>
      </w:r>
      <w:r w:rsidRPr="0008702A">
        <w:rPr>
          <w:bCs/>
          <w:lang w:val="en"/>
        </w:rPr>
        <w:t xml:space="preserve"> </w:t>
      </w:r>
      <w:proofErr w:type="spellStart"/>
      <w:r w:rsidRPr="0008702A">
        <w:rPr>
          <w:bCs/>
          <w:lang w:val="en"/>
        </w:rPr>
        <w:t>ecDNA</w:t>
      </w:r>
      <w:proofErr w:type="spellEnd"/>
      <w:r w:rsidRPr="0008702A">
        <w:rPr>
          <w:bCs/>
          <w:lang w:val="en"/>
        </w:rPr>
        <w:t xml:space="preserve"> structures. On the right, AA-generated breakpoint graphs of CUP#55S cfDNA (top right), EXO amplicon 3 (middle right), and CUP#55S MV amplicon 3 (bottom right) containing </w:t>
      </w:r>
      <w:r w:rsidRPr="0008702A">
        <w:rPr>
          <w:bCs/>
          <w:i/>
          <w:iCs/>
          <w:lang w:val="en"/>
        </w:rPr>
        <w:t>FGFR2</w:t>
      </w:r>
      <w:r w:rsidRPr="0008702A">
        <w:rPr>
          <w:bCs/>
          <w:i/>
          <w:iCs/>
          <w:vertAlign w:val="superscript"/>
          <w:lang w:val="en"/>
        </w:rPr>
        <w:t>+</w:t>
      </w:r>
      <w:r w:rsidRPr="0008702A">
        <w:rPr>
          <w:bCs/>
          <w:vertAlign w:val="superscript"/>
          <w:lang w:val="en"/>
        </w:rPr>
        <w:t xml:space="preserve"> </w:t>
      </w:r>
      <w:proofErr w:type="spellStart"/>
      <w:r w:rsidRPr="0008702A">
        <w:rPr>
          <w:bCs/>
          <w:lang w:val="en"/>
        </w:rPr>
        <w:t>ecDNA</w:t>
      </w:r>
      <w:proofErr w:type="spellEnd"/>
      <w:r w:rsidRPr="0008702A">
        <w:rPr>
          <w:bCs/>
          <w:lang w:val="en"/>
        </w:rPr>
        <w:t xml:space="preserve"> and segments from Chr.19 including </w:t>
      </w:r>
      <w:r w:rsidRPr="0008702A">
        <w:rPr>
          <w:bCs/>
          <w:i/>
          <w:iCs/>
          <w:lang w:val="en"/>
        </w:rPr>
        <w:t>CCNE1</w:t>
      </w:r>
      <w:r w:rsidRPr="0008702A">
        <w:rPr>
          <w:bCs/>
          <w:lang w:val="en"/>
        </w:rPr>
        <w:t>.</w:t>
      </w:r>
      <w:r w:rsidR="00B752D5">
        <w:rPr>
          <w:bCs/>
          <w:lang w:val="en"/>
        </w:rPr>
        <w:br w:type="page"/>
      </w:r>
    </w:p>
    <w:p w14:paraId="6BE3F6EA" w14:textId="67D95299" w:rsidR="0008702A" w:rsidRPr="0008702A" w:rsidRDefault="00B752D5" w:rsidP="000A67F8">
      <w:pPr>
        <w:spacing w:line="480" w:lineRule="auto"/>
        <w:rPr>
          <w:bCs/>
          <w:lang w:val="en"/>
        </w:rPr>
      </w:pPr>
      <w:r>
        <w:rPr>
          <w:bCs/>
          <w:noProof/>
          <w:lang w:val="en"/>
        </w:rPr>
        <w:lastRenderedPageBreak/>
        <w:drawing>
          <wp:inline distT="0" distB="0" distL="0" distR="0" wp14:anchorId="1742B34B" wp14:editId="3B765B35">
            <wp:extent cx="5943600" cy="4298400"/>
            <wp:effectExtent l="0" t="0" r="0" b="0"/>
            <wp:docPr id="716462428" name="Immagine 6" descr="Immagine che contiene schermata, testo, diagramma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462428" name="Immagine 6" descr="Immagine che contiene schermata, testo, diagramma, design&#10;&#10;Il contenuto generato dall'IA potrebbe non essere corretto.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9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CC310C" w14:textId="77777777" w:rsidR="0008702A" w:rsidRPr="0008702A" w:rsidRDefault="0008702A" w:rsidP="000A67F8">
      <w:pPr>
        <w:spacing w:line="480" w:lineRule="auto"/>
        <w:rPr>
          <w:bCs/>
          <w:lang w:val="en"/>
        </w:rPr>
      </w:pPr>
    </w:p>
    <w:p w14:paraId="00827154" w14:textId="36D37255" w:rsidR="0008702A" w:rsidRPr="0008702A" w:rsidRDefault="0008702A" w:rsidP="000A67F8">
      <w:pPr>
        <w:spacing w:line="480" w:lineRule="auto"/>
        <w:rPr>
          <w:b/>
          <w:bCs/>
          <w:lang w:val="en"/>
        </w:rPr>
      </w:pPr>
      <w:r w:rsidRPr="0008702A">
        <w:rPr>
          <w:b/>
          <w:lang w:val="en"/>
        </w:rPr>
        <w:t>Figure S</w:t>
      </w:r>
      <w:r w:rsidRPr="0008702A">
        <w:rPr>
          <w:b/>
          <w:bCs/>
          <w:lang w:val="en"/>
        </w:rPr>
        <w:t xml:space="preserve">6. Horizontal </w:t>
      </w:r>
      <w:proofErr w:type="spellStart"/>
      <w:r w:rsidRPr="0008702A">
        <w:rPr>
          <w:b/>
          <w:bCs/>
          <w:lang w:val="en"/>
        </w:rPr>
        <w:t>ecDNA</w:t>
      </w:r>
      <w:proofErr w:type="spellEnd"/>
      <w:r w:rsidRPr="0008702A">
        <w:rPr>
          <w:b/>
          <w:bCs/>
          <w:lang w:val="en"/>
        </w:rPr>
        <w:t xml:space="preserve"> transfer and functional changes induced by EVs cargo</w:t>
      </w:r>
      <w:r>
        <w:rPr>
          <w:b/>
          <w:bCs/>
          <w:lang w:val="en"/>
        </w:rPr>
        <w:t>.</w:t>
      </w:r>
    </w:p>
    <w:p w14:paraId="2742606F" w14:textId="77777777" w:rsidR="0008702A" w:rsidRDefault="0008702A" w:rsidP="000A67F8">
      <w:pPr>
        <w:spacing w:line="480" w:lineRule="auto"/>
        <w:rPr>
          <w:lang w:val="en"/>
        </w:rPr>
      </w:pPr>
      <w:r w:rsidRPr="0008702A">
        <w:rPr>
          <w:b/>
          <w:bCs/>
          <w:lang w:val="en"/>
        </w:rPr>
        <w:t>(A)</w:t>
      </w:r>
      <w:r w:rsidRPr="0008702A">
        <w:rPr>
          <w:lang w:val="en"/>
        </w:rPr>
        <w:t xml:space="preserve">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CN variation in NCI-N87 cells exposed to </w:t>
      </w:r>
      <w:proofErr w:type="spellStart"/>
      <w:r w:rsidRPr="0008702A">
        <w:rPr>
          <w:lang w:val="en"/>
        </w:rPr>
        <w:t>microvesicles</w:t>
      </w:r>
      <w:proofErr w:type="spellEnd"/>
      <w:r w:rsidRPr="0008702A">
        <w:rPr>
          <w:lang w:val="en"/>
        </w:rPr>
        <w:t xml:space="preserve"> isolated from CUP#96 medium at 24 and 48 hours after MV administration. </w:t>
      </w:r>
      <w:r w:rsidRPr="0008702A">
        <w:rPr>
          <w:b/>
          <w:bCs/>
          <w:lang w:val="en"/>
        </w:rPr>
        <w:t>(B)</w:t>
      </w:r>
      <w:r w:rsidRPr="0008702A">
        <w:rPr>
          <w:lang w:val="en"/>
        </w:rPr>
        <w:t xml:space="preserve">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CN variation in THP-1 cells exposed to exosomes isolated from CUP#96 medium at 24 and 48 hours after EXO administration. </w:t>
      </w:r>
      <w:r w:rsidRPr="0008702A">
        <w:rPr>
          <w:b/>
          <w:bCs/>
          <w:lang w:val="en"/>
        </w:rPr>
        <w:t>(C)</w:t>
      </w:r>
      <w:r w:rsidRPr="0008702A">
        <w:rPr>
          <w:lang w:val="en"/>
        </w:rPr>
        <w:t xml:space="preserve">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CN variation in THP-1 cells cocultured with CUP#55S at 24 (p = 0.3526) and 48 (p = 0.2703) hours. </w:t>
      </w:r>
      <w:r w:rsidRPr="0008702A">
        <w:rPr>
          <w:b/>
          <w:bCs/>
          <w:lang w:val="en"/>
        </w:rPr>
        <w:t>(D)</w:t>
      </w:r>
      <w:r w:rsidRPr="0008702A">
        <w:rPr>
          <w:lang w:val="en"/>
        </w:rPr>
        <w:t xml:space="preserve">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mRNA quantification in CUP-EVs: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mRNA was detectable in EVs from CUP#96 and CUP#55S but not in those from control cell line.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gene expression was normalized to </w:t>
      </w:r>
      <w:r w:rsidRPr="0008702A">
        <w:rPr>
          <w:i/>
          <w:iCs/>
          <w:lang w:val="en"/>
        </w:rPr>
        <w:t xml:space="preserve">GAPDH </w:t>
      </w:r>
      <w:r w:rsidRPr="0008702A">
        <w:rPr>
          <w:lang w:val="en"/>
        </w:rPr>
        <w:t xml:space="preserve">expression. </w:t>
      </w:r>
      <w:r w:rsidRPr="0008702A">
        <w:rPr>
          <w:b/>
          <w:bCs/>
          <w:lang w:val="en"/>
        </w:rPr>
        <w:t>(E)</w:t>
      </w:r>
      <w:r w:rsidRPr="0008702A">
        <w:rPr>
          <w:lang w:val="en"/>
        </w:rPr>
        <w:t xml:space="preserve"> Gene expression variation in NCI-N87 cells exposed to </w:t>
      </w:r>
      <w:proofErr w:type="spellStart"/>
      <w:r w:rsidRPr="0008702A">
        <w:rPr>
          <w:lang w:val="en"/>
        </w:rPr>
        <w:t>microvesicles</w:t>
      </w:r>
      <w:proofErr w:type="spellEnd"/>
      <w:r w:rsidRPr="0008702A">
        <w:rPr>
          <w:lang w:val="en"/>
        </w:rPr>
        <w:t xml:space="preserve"> isolated from CUP#96 medium at 24 and 48 hours after MV administration. </w:t>
      </w:r>
      <w:r w:rsidRPr="0008702A">
        <w:rPr>
          <w:b/>
          <w:bCs/>
          <w:lang w:val="en"/>
        </w:rPr>
        <w:t>(F)</w:t>
      </w:r>
      <w:r w:rsidRPr="0008702A">
        <w:rPr>
          <w:lang w:val="en"/>
        </w:rPr>
        <w:t xml:space="preserve">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expression variation in THP-1 cells exposed to exosomes isolated from CUP#96 medium at 24 and 48 hours after EXO administration. </w:t>
      </w:r>
      <w:r w:rsidRPr="0008702A">
        <w:rPr>
          <w:b/>
          <w:bCs/>
          <w:lang w:val="en"/>
        </w:rPr>
        <w:t xml:space="preserve">(G) </w:t>
      </w:r>
      <w:r w:rsidRPr="0008702A">
        <w:rPr>
          <w:lang w:val="en"/>
        </w:rPr>
        <w:t xml:space="preserve">Representative images showing how THP-1 cells in coculture start to attach to a </w:t>
      </w:r>
      <w:proofErr w:type="spellStart"/>
      <w:r w:rsidRPr="0008702A">
        <w:rPr>
          <w:lang w:val="en"/>
        </w:rPr>
        <w:t>multiwell</w:t>
      </w:r>
      <w:proofErr w:type="spellEnd"/>
      <w:r w:rsidRPr="0008702A">
        <w:rPr>
          <w:lang w:val="en"/>
        </w:rPr>
        <w:t xml:space="preserve"> plate at 48 hours (black arrows).</w:t>
      </w:r>
    </w:p>
    <w:p w14:paraId="37C81D52" w14:textId="1319B1BA" w:rsidR="00B752D5" w:rsidRDefault="00B752D5" w:rsidP="000A67F8">
      <w:pPr>
        <w:spacing w:line="480" w:lineRule="auto"/>
        <w:rPr>
          <w:i/>
          <w:iCs/>
          <w:lang w:val="en"/>
        </w:rPr>
      </w:pPr>
      <w:r>
        <w:rPr>
          <w:i/>
          <w:iCs/>
          <w:lang w:val="en"/>
        </w:rPr>
        <w:br w:type="page"/>
      </w:r>
    </w:p>
    <w:p w14:paraId="5BC3E55D" w14:textId="7983B088" w:rsidR="00B752D5" w:rsidRPr="0008702A" w:rsidRDefault="00B752D5" w:rsidP="000A67F8">
      <w:pPr>
        <w:spacing w:line="480" w:lineRule="auto"/>
        <w:rPr>
          <w:lang w:val="en"/>
        </w:rPr>
      </w:pPr>
      <w:r>
        <w:rPr>
          <w:noProof/>
          <w:lang w:val="en"/>
        </w:rPr>
        <w:lastRenderedPageBreak/>
        <w:drawing>
          <wp:inline distT="0" distB="0" distL="0" distR="0" wp14:anchorId="4C183A3B" wp14:editId="4744F4F6">
            <wp:extent cx="5943600" cy="5889600"/>
            <wp:effectExtent l="0" t="0" r="0" b="3810"/>
            <wp:docPr id="581657910" name="Immagine 7" descr="Immagine che contiene schermata, diagramma, quadrato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657910" name="Immagine 7" descr="Immagine che contiene schermata, diagramma, quadrato, design&#10;&#10;Il contenuto generato dall'IA potrebbe non essere corretto.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8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7A4FA7" w14:textId="77777777" w:rsidR="0008702A" w:rsidRPr="0008702A" w:rsidRDefault="0008702A" w:rsidP="000A67F8">
      <w:pPr>
        <w:spacing w:line="480" w:lineRule="auto"/>
        <w:rPr>
          <w:lang w:val="en"/>
        </w:rPr>
      </w:pPr>
    </w:p>
    <w:p w14:paraId="474E8A07" w14:textId="061BDB96" w:rsidR="0008702A" w:rsidRPr="0008702A" w:rsidRDefault="0008702A" w:rsidP="000A67F8">
      <w:pPr>
        <w:spacing w:line="480" w:lineRule="auto"/>
        <w:rPr>
          <w:b/>
          <w:bCs/>
          <w:lang w:val="en"/>
        </w:rPr>
      </w:pPr>
      <w:r w:rsidRPr="0008702A">
        <w:rPr>
          <w:b/>
          <w:lang w:val="en"/>
        </w:rPr>
        <w:t>Figure S</w:t>
      </w:r>
      <w:r w:rsidRPr="0008702A">
        <w:rPr>
          <w:b/>
          <w:bCs/>
          <w:lang w:val="en"/>
        </w:rPr>
        <w:t xml:space="preserve">7. Functional effects of horizontal </w:t>
      </w:r>
      <w:proofErr w:type="spellStart"/>
      <w:r w:rsidRPr="0008702A">
        <w:rPr>
          <w:b/>
          <w:bCs/>
          <w:lang w:val="en"/>
        </w:rPr>
        <w:t>ecDNA</w:t>
      </w:r>
      <w:proofErr w:type="spellEnd"/>
      <w:r w:rsidRPr="0008702A">
        <w:rPr>
          <w:b/>
          <w:bCs/>
          <w:lang w:val="en"/>
        </w:rPr>
        <w:t xml:space="preserve"> transfer</w:t>
      </w:r>
      <w:r>
        <w:rPr>
          <w:b/>
          <w:bCs/>
          <w:lang w:val="en"/>
        </w:rPr>
        <w:t>.</w:t>
      </w:r>
    </w:p>
    <w:p w14:paraId="2B12144C" w14:textId="77777777" w:rsidR="0008702A" w:rsidRPr="0008702A" w:rsidRDefault="0008702A" w:rsidP="000A67F8">
      <w:pPr>
        <w:spacing w:line="480" w:lineRule="auto"/>
        <w:rPr>
          <w:lang w:val="en"/>
        </w:rPr>
      </w:pPr>
      <w:r w:rsidRPr="0008702A">
        <w:rPr>
          <w:b/>
          <w:bCs/>
          <w:lang w:val="en"/>
        </w:rPr>
        <w:t>(A)</w:t>
      </w:r>
      <w:r w:rsidRPr="0008702A">
        <w:rPr>
          <w:lang w:val="en"/>
        </w:rPr>
        <w:t xml:space="preserve"> </w:t>
      </w:r>
      <w:proofErr w:type="spellStart"/>
      <w:r w:rsidRPr="0008702A">
        <w:rPr>
          <w:lang w:val="en"/>
        </w:rPr>
        <w:t>DEEPArray</w:t>
      </w:r>
      <w:proofErr w:type="spellEnd"/>
      <w:r w:rsidRPr="0008702A">
        <w:rPr>
          <w:lang w:val="en"/>
        </w:rPr>
        <w:t xml:space="preserve"> analysis of THP-1 markers after 24 hours of coculture with CUP#96, showing the presence of cells positive for FGFR2, CD68, and CD163. DAPI was used to identify nucleated cells. </w:t>
      </w:r>
      <w:r w:rsidRPr="0008702A">
        <w:rPr>
          <w:b/>
          <w:bCs/>
          <w:lang w:val="en"/>
        </w:rPr>
        <w:t>(B)</w:t>
      </w:r>
      <w:r w:rsidRPr="0008702A">
        <w:rPr>
          <w:lang w:val="en"/>
        </w:rPr>
        <w:t xml:space="preserve"> Changes in the expression of genes characterizing macrophage differentiation in THP-1 cells cocultured with CUP#96 at 24 and 48 hours. A significant increase in </w:t>
      </w:r>
      <w:r w:rsidRPr="0008702A">
        <w:rPr>
          <w:i/>
          <w:iCs/>
          <w:lang w:val="en"/>
        </w:rPr>
        <w:t>CD68</w:t>
      </w:r>
      <w:r w:rsidRPr="0008702A">
        <w:rPr>
          <w:lang w:val="en"/>
        </w:rPr>
        <w:t xml:space="preserve"> (24 h, p = 0.6553; 48 h, p = 0.0328) and </w:t>
      </w:r>
      <w:r w:rsidRPr="0008702A">
        <w:rPr>
          <w:i/>
          <w:iCs/>
          <w:lang w:val="en"/>
        </w:rPr>
        <w:t>IL10</w:t>
      </w:r>
      <w:r w:rsidRPr="0008702A">
        <w:rPr>
          <w:lang w:val="en"/>
        </w:rPr>
        <w:t xml:space="preserve"> (24 h, p = 0.8040; 48 h, p = 0.0039) was detected at 48 h, whereas </w:t>
      </w:r>
      <w:r w:rsidRPr="0008702A">
        <w:rPr>
          <w:i/>
          <w:iCs/>
          <w:lang w:val="en"/>
        </w:rPr>
        <w:t>TNF-α</w:t>
      </w:r>
      <w:r w:rsidRPr="0008702A">
        <w:rPr>
          <w:lang w:val="en"/>
        </w:rPr>
        <w:t xml:space="preserve"> (24 h, p = 0.4246; 48 h, p = 0.2065) was not significant. The fold change (FC) represents the ratio of target cDNA/</w:t>
      </w:r>
      <w:r w:rsidRPr="0008702A">
        <w:rPr>
          <w:i/>
          <w:iCs/>
          <w:lang w:val="en"/>
        </w:rPr>
        <w:t>HPRT</w:t>
      </w:r>
      <w:r w:rsidRPr="0008702A">
        <w:rPr>
          <w:lang w:val="en"/>
        </w:rPr>
        <w:t xml:space="preserve">. Lines represent the means ± SDs from three independent experiments. </w:t>
      </w:r>
      <w:r w:rsidRPr="0008702A">
        <w:rPr>
          <w:lang w:val="en"/>
        </w:rPr>
        <w:lastRenderedPageBreak/>
        <w:t xml:space="preserve">Paired two-tailed t test: *p &lt; 0.05; **p &lt; 0.01. </w:t>
      </w:r>
      <w:r w:rsidRPr="0008702A">
        <w:rPr>
          <w:b/>
          <w:bCs/>
          <w:lang w:val="en"/>
        </w:rPr>
        <w:t>(C)</w:t>
      </w:r>
      <w:r w:rsidRPr="0008702A">
        <w:rPr>
          <w:lang w:val="en"/>
        </w:rPr>
        <w:t xml:space="preserve"> Changes in 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 and </w:t>
      </w:r>
      <w:r w:rsidRPr="0008702A">
        <w:rPr>
          <w:i/>
          <w:iCs/>
          <w:lang w:val="en"/>
        </w:rPr>
        <w:t>CD68</w:t>
      </w:r>
      <w:r w:rsidRPr="0008702A">
        <w:rPr>
          <w:lang w:val="en"/>
        </w:rPr>
        <w:t xml:space="preserve"> gene expression in THP-1 cells cocultured with CUP#55S at 24 and 48 h (</w:t>
      </w:r>
      <w:r w:rsidRPr="0008702A">
        <w:rPr>
          <w:i/>
          <w:iCs/>
          <w:lang w:val="en"/>
        </w:rPr>
        <w:t>FGFR2</w:t>
      </w:r>
      <w:r w:rsidRPr="0008702A">
        <w:rPr>
          <w:lang w:val="en"/>
        </w:rPr>
        <w:t xml:space="preserve">: 24 h, p = 0.1815; 48 h, p = 0.2845; </w:t>
      </w:r>
      <w:r w:rsidRPr="0008702A">
        <w:rPr>
          <w:i/>
          <w:iCs/>
          <w:lang w:val="en"/>
        </w:rPr>
        <w:t>CD68</w:t>
      </w:r>
      <w:r w:rsidRPr="0008702A">
        <w:rPr>
          <w:lang w:val="en"/>
        </w:rPr>
        <w:t>: 24 h, p = 0.2933; 48 h, p = 0.2322; paired two-tailed t test). The fold change (FC) represents the ratio of target cDNA/</w:t>
      </w:r>
      <w:r w:rsidRPr="0008702A">
        <w:rPr>
          <w:i/>
          <w:iCs/>
          <w:lang w:val="en"/>
        </w:rPr>
        <w:t>HPRT</w:t>
      </w:r>
      <w:r w:rsidRPr="0008702A">
        <w:rPr>
          <w:lang w:val="en"/>
        </w:rPr>
        <w:t>.</w:t>
      </w:r>
    </w:p>
    <w:p w14:paraId="6FA174B5" w14:textId="7DFB2A60" w:rsidR="00B752D5" w:rsidRDefault="00B752D5" w:rsidP="000A67F8">
      <w:pPr>
        <w:spacing w:line="480" w:lineRule="auto"/>
        <w:rPr>
          <w:lang w:val="en"/>
        </w:rPr>
      </w:pPr>
      <w:r>
        <w:rPr>
          <w:lang w:val="en"/>
        </w:rPr>
        <w:br w:type="page"/>
      </w:r>
    </w:p>
    <w:p w14:paraId="2795B0EB" w14:textId="0297282D" w:rsidR="0008702A" w:rsidRDefault="00B752D5" w:rsidP="000A67F8">
      <w:pPr>
        <w:spacing w:line="480" w:lineRule="auto"/>
        <w:rPr>
          <w:lang w:val="en"/>
        </w:rPr>
      </w:pPr>
      <w:r>
        <w:rPr>
          <w:noProof/>
          <w:lang w:val="en"/>
        </w:rPr>
        <w:lastRenderedPageBreak/>
        <w:drawing>
          <wp:inline distT="0" distB="0" distL="0" distR="0" wp14:anchorId="7BECFEEA" wp14:editId="02836D3C">
            <wp:extent cx="5943600" cy="7200900"/>
            <wp:effectExtent l="0" t="0" r="0" b="0"/>
            <wp:docPr id="1981560278" name="Immagine 8" descr="Immagine che contiene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560278" name="Immagine 8" descr="Immagine che contiene schermata&#10;&#10;Il contenuto generato dall'IA potrebbe non essere corretto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27F52" w14:textId="77777777" w:rsidR="00B752D5" w:rsidRPr="0008702A" w:rsidRDefault="00B752D5" w:rsidP="000A67F8">
      <w:pPr>
        <w:spacing w:line="480" w:lineRule="auto"/>
        <w:rPr>
          <w:lang w:val="en"/>
        </w:rPr>
      </w:pPr>
    </w:p>
    <w:p w14:paraId="20074070" w14:textId="40DD49AE" w:rsidR="0008702A" w:rsidRPr="0008702A" w:rsidRDefault="0008702A" w:rsidP="000A67F8">
      <w:pPr>
        <w:spacing w:line="480" w:lineRule="auto"/>
        <w:rPr>
          <w:b/>
          <w:bCs/>
          <w:lang w:val="en"/>
        </w:rPr>
      </w:pPr>
      <w:r w:rsidRPr="0008702A">
        <w:rPr>
          <w:b/>
          <w:lang w:val="en"/>
        </w:rPr>
        <w:t>Figure S</w:t>
      </w:r>
      <w:r w:rsidRPr="0008702A">
        <w:rPr>
          <w:b/>
          <w:bCs/>
          <w:lang w:val="en"/>
        </w:rPr>
        <w:t>8. Histopathological characterization of CUP#55 xenograft tissues</w:t>
      </w:r>
      <w:r>
        <w:rPr>
          <w:b/>
          <w:bCs/>
          <w:lang w:val="en"/>
        </w:rPr>
        <w:t>.</w:t>
      </w:r>
    </w:p>
    <w:p w14:paraId="513FC5C1" w14:textId="77777777" w:rsidR="0008702A" w:rsidRPr="0008702A" w:rsidRDefault="0008702A" w:rsidP="000A67F8">
      <w:pPr>
        <w:spacing w:line="480" w:lineRule="auto"/>
        <w:rPr>
          <w:lang w:val="en"/>
        </w:rPr>
      </w:pPr>
      <w:r w:rsidRPr="0008702A">
        <w:rPr>
          <w:lang w:val="en"/>
        </w:rPr>
        <w:lastRenderedPageBreak/>
        <w:t xml:space="preserve">Different xenograft tissues (brain, lung, liver) were collected, fixed in formalin and paraffin embedded. After H&amp;E staining, pictures were acquired at 2.5X, 10X and 20X as indicated in the figures. Metastases were identified in the brain of Xeno#55S and in the lung of </w:t>
      </w:r>
      <w:proofErr w:type="spellStart"/>
      <w:r w:rsidRPr="0008702A">
        <w:rPr>
          <w:lang w:val="en"/>
        </w:rPr>
        <w:t>Xeno#Ctrl</w:t>
      </w:r>
      <w:proofErr w:type="spellEnd"/>
      <w:r w:rsidRPr="0008702A">
        <w:rPr>
          <w:lang w:val="en"/>
        </w:rPr>
        <w:t>, while other tissues appear free of metastatic involvement.</w:t>
      </w:r>
    </w:p>
    <w:p w14:paraId="4886DD2E" w14:textId="7D75FEE2" w:rsidR="00407DE2" w:rsidRPr="00B752D5" w:rsidRDefault="00407DE2" w:rsidP="000A67F8">
      <w:pPr>
        <w:spacing w:line="480" w:lineRule="auto"/>
        <w:rPr>
          <w:lang w:val="en"/>
        </w:rPr>
      </w:pPr>
    </w:p>
    <w:sectPr w:rsidR="00407DE2" w:rsidRPr="00B752D5" w:rsidSect="00B752D5"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431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553D6" w14:textId="77777777" w:rsidR="00452258" w:rsidRDefault="00452258" w:rsidP="004A10BE">
      <w:r>
        <w:separator/>
      </w:r>
    </w:p>
  </w:endnote>
  <w:endnote w:type="continuationSeparator" w:id="0">
    <w:p w14:paraId="4E28F033" w14:textId="77777777" w:rsidR="00452258" w:rsidRDefault="00452258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BlissRegular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883522302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3263A78" w14:textId="4FEFA891" w:rsidR="00B752D5" w:rsidRDefault="00B752D5" w:rsidP="00015DEC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</w:rPr>
          <w:fldChar w:fldCharType="end"/>
        </w:r>
      </w:p>
    </w:sdtContent>
  </w:sdt>
  <w:p w14:paraId="07F167C2" w14:textId="77777777" w:rsidR="00B752D5" w:rsidRDefault="00B752D5" w:rsidP="00B752D5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31252743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FF446A8" w14:textId="292591EB" w:rsidR="00B752D5" w:rsidRDefault="00B752D5" w:rsidP="00015DEC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406363B1" w14:textId="77777777" w:rsidR="00B752D5" w:rsidRDefault="00B752D5" w:rsidP="00B752D5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FF5C1" w14:textId="5133CF58" w:rsidR="00B752D5" w:rsidRPr="00B752D5" w:rsidRDefault="00B752D5" w:rsidP="00B752D5">
    <w:pPr>
      <w:pStyle w:val="Pidipagina"/>
      <w:jc w:val="right"/>
      <w:rPr>
        <w:lang w:val="it-IT"/>
      </w:rPr>
    </w:pPr>
    <w:r>
      <w:rPr>
        <w:lang w:val="it-IT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169D8" w14:textId="77777777" w:rsidR="00452258" w:rsidRDefault="00452258" w:rsidP="004A10BE">
      <w:r>
        <w:separator/>
      </w:r>
    </w:p>
  </w:footnote>
  <w:footnote w:type="continuationSeparator" w:id="0">
    <w:p w14:paraId="48DA7BA9" w14:textId="77777777" w:rsidR="00452258" w:rsidRDefault="00452258" w:rsidP="004A1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E752E" w14:textId="77777777" w:rsidR="008573F1" w:rsidRDefault="008573F1" w:rsidP="004A10BE">
    <w:pPr>
      <w:pStyle w:val="Intestazione"/>
    </w:pPr>
  </w:p>
  <w:p w14:paraId="130ED7F7" w14:textId="77777777" w:rsidR="008573F1" w:rsidRDefault="008573F1" w:rsidP="004A10B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50646024">
    <w:abstractNumId w:val="10"/>
  </w:num>
  <w:num w:numId="2" w16cid:durableId="750393910">
    <w:abstractNumId w:val="9"/>
  </w:num>
  <w:num w:numId="3" w16cid:durableId="356346292">
    <w:abstractNumId w:val="7"/>
  </w:num>
  <w:num w:numId="4" w16cid:durableId="1358654758">
    <w:abstractNumId w:val="6"/>
  </w:num>
  <w:num w:numId="5" w16cid:durableId="580407781">
    <w:abstractNumId w:val="5"/>
  </w:num>
  <w:num w:numId="6" w16cid:durableId="1599631251">
    <w:abstractNumId w:val="4"/>
  </w:num>
  <w:num w:numId="7" w16cid:durableId="717901485">
    <w:abstractNumId w:val="8"/>
  </w:num>
  <w:num w:numId="8" w16cid:durableId="1966738853">
    <w:abstractNumId w:val="3"/>
  </w:num>
  <w:num w:numId="9" w16cid:durableId="24867491">
    <w:abstractNumId w:val="2"/>
  </w:num>
  <w:num w:numId="10" w16cid:durableId="1367945614">
    <w:abstractNumId w:val="1"/>
  </w:num>
  <w:num w:numId="11" w16cid:durableId="194083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1D"/>
    <w:rsid w:val="00023672"/>
    <w:rsid w:val="00042329"/>
    <w:rsid w:val="00067A6E"/>
    <w:rsid w:val="0008650E"/>
    <w:rsid w:val="0008702A"/>
    <w:rsid w:val="000A67F8"/>
    <w:rsid w:val="000C134D"/>
    <w:rsid w:val="000E4E26"/>
    <w:rsid w:val="00175CBB"/>
    <w:rsid w:val="001C6EDA"/>
    <w:rsid w:val="00240A26"/>
    <w:rsid w:val="0024773E"/>
    <w:rsid w:val="002657B0"/>
    <w:rsid w:val="002C1A31"/>
    <w:rsid w:val="002C2220"/>
    <w:rsid w:val="002F4D23"/>
    <w:rsid w:val="003202D7"/>
    <w:rsid w:val="00376FB8"/>
    <w:rsid w:val="00407DE2"/>
    <w:rsid w:val="00413509"/>
    <w:rsid w:val="00446258"/>
    <w:rsid w:val="00452258"/>
    <w:rsid w:val="004940DD"/>
    <w:rsid w:val="0049588F"/>
    <w:rsid w:val="004A10BE"/>
    <w:rsid w:val="004B386E"/>
    <w:rsid w:val="004F059E"/>
    <w:rsid w:val="005222BE"/>
    <w:rsid w:val="00527879"/>
    <w:rsid w:val="005341F3"/>
    <w:rsid w:val="00540789"/>
    <w:rsid w:val="0054096B"/>
    <w:rsid w:val="00552069"/>
    <w:rsid w:val="0064261D"/>
    <w:rsid w:val="00664164"/>
    <w:rsid w:val="006E30D9"/>
    <w:rsid w:val="00741F08"/>
    <w:rsid w:val="007B2757"/>
    <w:rsid w:val="008573F1"/>
    <w:rsid w:val="008B220C"/>
    <w:rsid w:val="008D7795"/>
    <w:rsid w:val="009014E2"/>
    <w:rsid w:val="0093733A"/>
    <w:rsid w:val="009438BF"/>
    <w:rsid w:val="00943D39"/>
    <w:rsid w:val="00955C09"/>
    <w:rsid w:val="009624CA"/>
    <w:rsid w:val="009B1602"/>
    <w:rsid w:val="009D5179"/>
    <w:rsid w:val="00A30B08"/>
    <w:rsid w:val="00AA653B"/>
    <w:rsid w:val="00AC4693"/>
    <w:rsid w:val="00AE3304"/>
    <w:rsid w:val="00AE53FE"/>
    <w:rsid w:val="00B752D5"/>
    <w:rsid w:val="00BA33C9"/>
    <w:rsid w:val="00BA675A"/>
    <w:rsid w:val="00BA7E08"/>
    <w:rsid w:val="00C917E9"/>
    <w:rsid w:val="00CC12FB"/>
    <w:rsid w:val="00CE3B9E"/>
    <w:rsid w:val="00CF462E"/>
    <w:rsid w:val="00D0079B"/>
    <w:rsid w:val="00DB2ECB"/>
    <w:rsid w:val="00E435A8"/>
    <w:rsid w:val="00E657B5"/>
    <w:rsid w:val="00E81A31"/>
    <w:rsid w:val="00F623A9"/>
    <w:rsid w:val="00FA2894"/>
    <w:rsid w:val="00FB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7E2809"/>
  <w15:chartTrackingRefBased/>
  <w15:docId w15:val="{378919FB-B2CA-46C1-A956-7FAD518CB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7F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Testofumetto">
    <w:name w:val="Balloon Text"/>
    <w:basedOn w:val="Normale"/>
    <w:link w:val="TestofumettoCarattere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TestofumettoCarattere">
    <w:name w:val="Testo fumetto Carattere"/>
    <w:link w:val="Testofumetto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Rimandocommento">
    <w:name w:val="annotation reference"/>
    <w:rsid w:val="009A3899"/>
    <w:rPr>
      <w:sz w:val="18"/>
      <w:szCs w:val="18"/>
    </w:rPr>
  </w:style>
  <w:style w:type="paragraph" w:styleId="Testocommento">
    <w:name w:val="annotation text"/>
    <w:basedOn w:val="Normale"/>
    <w:link w:val="TestocommentoCarattere"/>
    <w:semiHidden/>
    <w:rsid w:val="009A3899"/>
    <w:rPr>
      <w:rFonts w:eastAsia="Times New Roman"/>
    </w:rPr>
  </w:style>
  <w:style w:type="character" w:customStyle="1" w:styleId="TestocommentoCarattere">
    <w:name w:val="Testo commento Carattere"/>
    <w:link w:val="Testocommento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A3899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nfasicorsivo">
    <w:name w:val="Emphasis"/>
    <w:uiPriority w:val="20"/>
    <w:qFormat/>
    <w:rsid w:val="009A3899"/>
    <w:rPr>
      <w:i/>
      <w:iCs/>
    </w:rPr>
  </w:style>
  <w:style w:type="character" w:styleId="Rimandonotadichiusura">
    <w:name w:val="endnote reference"/>
    <w:semiHidden/>
    <w:rsid w:val="009A3899"/>
    <w:rPr>
      <w:vertAlign w:val="superscript"/>
    </w:rPr>
  </w:style>
  <w:style w:type="paragraph" w:styleId="Testonotadichiusura">
    <w:name w:val="endnote text"/>
    <w:basedOn w:val="Normale"/>
    <w:link w:val="TestonotadichiusuraCarattere"/>
    <w:semiHidden/>
    <w:rsid w:val="009A3899"/>
    <w:rPr>
      <w:rFonts w:ascii="Cambria" w:eastAsia="Cambria" w:hAnsi="Cambria"/>
    </w:rPr>
  </w:style>
  <w:style w:type="character" w:customStyle="1" w:styleId="TestonotadichiusuraCarattere">
    <w:name w:val="Testo nota di chiusura Carattere"/>
    <w:link w:val="Testonotadichiusura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Collegamentovisitato">
    <w:name w:val="FollowedHyperlink"/>
    <w:rsid w:val="009A3899"/>
    <w:rPr>
      <w:color w:val="800080"/>
      <w:u w:val="single"/>
    </w:rPr>
  </w:style>
  <w:style w:type="paragraph" w:styleId="Pidipagina">
    <w:name w:val="footer"/>
    <w:basedOn w:val="Normale"/>
    <w:link w:val="PidipaginaCarattere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PidipaginaCarattere">
    <w:name w:val="Piè di pagina Carattere"/>
    <w:link w:val="Pidipagina"/>
    <w:rsid w:val="009A3899"/>
    <w:rPr>
      <w:rFonts w:ascii="Times New Roman" w:eastAsia="Times New Roman" w:hAnsi="Times New Roman"/>
      <w:sz w:val="20"/>
      <w:szCs w:val="20"/>
    </w:rPr>
  </w:style>
  <w:style w:type="character" w:styleId="Rimandonotaapidipagina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Intestazione">
    <w:name w:val="header"/>
    <w:basedOn w:val="Normale"/>
    <w:link w:val="IntestazioneCarattere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IntestazioneCarattere">
    <w:name w:val="Intestazione Carattere"/>
    <w:link w:val="Intestazione"/>
    <w:rsid w:val="009A3899"/>
    <w:rPr>
      <w:rFonts w:ascii="Times New Roman" w:eastAsia="Times New Roman" w:hAnsi="Times New Roman"/>
      <w:sz w:val="20"/>
      <w:szCs w:val="20"/>
    </w:rPr>
  </w:style>
  <w:style w:type="character" w:styleId="AcronimoHTML">
    <w:name w:val="HTML Acronym"/>
    <w:basedOn w:val="Carpredefinitoparagrafo"/>
    <w:rsid w:val="009A3899"/>
  </w:style>
  <w:style w:type="character" w:styleId="CitazioneHTML">
    <w:name w:val="HTML Cite"/>
    <w:rsid w:val="009A3899"/>
    <w:rPr>
      <w:i/>
      <w:iCs/>
    </w:rPr>
  </w:style>
  <w:style w:type="character" w:styleId="CodiceHTML">
    <w:name w:val="HTML Code"/>
    <w:rsid w:val="009A3899"/>
    <w:rPr>
      <w:rFonts w:ascii="Courier New" w:hAnsi="Courier New" w:cs="Courier New"/>
      <w:sz w:val="20"/>
      <w:szCs w:val="20"/>
    </w:rPr>
  </w:style>
  <w:style w:type="character" w:styleId="DefinizioneHTML">
    <w:name w:val="HTML Definition"/>
    <w:rsid w:val="009A3899"/>
    <w:rPr>
      <w:i/>
      <w:iCs/>
    </w:rPr>
  </w:style>
  <w:style w:type="character" w:styleId="TastieraHTML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PreformattatoHTML">
    <w:name w:val="HTML Preformatted"/>
    <w:basedOn w:val="Normale"/>
    <w:link w:val="PreformattatoHTMLCarattere"/>
    <w:rsid w:val="009A3899"/>
    <w:rPr>
      <w:rFonts w:ascii="Consolas" w:eastAsia="Times New Roman" w:hAnsi="Consolas"/>
    </w:rPr>
  </w:style>
  <w:style w:type="character" w:customStyle="1" w:styleId="PreformattatoHTMLCarattere">
    <w:name w:val="Preformattato HTML Carattere"/>
    <w:link w:val="PreformattatoHTML"/>
    <w:rsid w:val="009A3899"/>
    <w:rPr>
      <w:rFonts w:ascii="Consolas" w:eastAsia="Times New Roman" w:hAnsi="Consolas"/>
      <w:sz w:val="20"/>
      <w:szCs w:val="20"/>
    </w:rPr>
  </w:style>
  <w:style w:type="character" w:styleId="EsempioHTML">
    <w:name w:val="HTML Sample"/>
    <w:rsid w:val="009A3899"/>
    <w:rPr>
      <w:rFonts w:ascii="Courier New" w:hAnsi="Courier New" w:cs="Courier New"/>
    </w:rPr>
  </w:style>
  <w:style w:type="character" w:styleId="MacchinadascrivereHTML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VariabileHTML">
    <w:name w:val="HTML Variable"/>
    <w:rsid w:val="009A3899"/>
    <w:rPr>
      <w:i/>
      <w:iCs/>
    </w:rPr>
  </w:style>
  <w:style w:type="character" w:styleId="Collegamentoipertestuale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Numeroriga">
    <w:name w:val="line number"/>
    <w:basedOn w:val="Carpredefinitoparagrafo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Numeropagina">
    <w:name w:val="page number"/>
    <w:basedOn w:val="Carpredefinitoparagrafo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Enfasigrassetto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e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e"/>
    <w:next w:val="Normale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e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e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e"/>
    <w:next w:val="Normale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e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e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e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e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Normale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e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e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e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e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Carpredefinitoparagrafo"/>
    <w:rsid w:val="00943D39"/>
  </w:style>
  <w:style w:type="character" w:customStyle="1" w:styleId="custom-cit-title">
    <w:name w:val="custom-cit-title"/>
    <w:basedOn w:val="Carpredefinitoparagrafo"/>
    <w:rsid w:val="00943D39"/>
  </w:style>
  <w:style w:type="character" w:customStyle="1" w:styleId="custom-cit-jour-title">
    <w:name w:val="custom-cit-jour-title"/>
    <w:basedOn w:val="Carpredefinitoparagrafo"/>
    <w:rsid w:val="00943D39"/>
  </w:style>
  <w:style w:type="character" w:customStyle="1" w:styleId="custom-cit-volume">
    <w:name w:val="custom-cit-volume"/>
    <w:basedOn w:val="Carpredefinitoparagrafo"/>
    <w:rsid w:val="00943D39"/>
  </w:style>
  <w:style w:type="character" w:customStyle="1" w:styleId="custom-cit-volume-sep">
    <w:name w:val="custom-cit-volume-sep"/>
    <w:basedOn w:val="Carpredefinitoparagrafo"/>
    <w:rsid w:val="00943D39"/>
  </w:style>
  <w:style w:type="character" w:customStyle="1" w:styleId="custom-cit-fpage">
    <w:name w:val="custom-cit-fpage"/>
    <w:basedOn w:val="Carpredefinitoparagrafo"/>
    <w:rsid w:val="00943D39"/>
  </w:style>
  <w:style w:type="character" w:customStyle="1" w:styleId="custom-cit-date">
    <w:name w:val="custom-cit-date"/>
    <w:basedOn w:val="Carpredefinitoparagrafo"/>
    <w:rsid w:val="00943D39"/>
  </w:style>
  <w:style w:type="character" w:styleId="Menzionenonrisolta">
    <w:name w:val="Unresolved Mention"/>
    <w:uiPriority w:val="99"/>
    <w:semiHidden/>
    <w:unhideWhenUsed/>
    <w:rsid w:val="00175CBB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BA7E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"/><Relationship Id="rId18" Type="http://schemas.openxmlformats.org/officeDocument/2006/relationships/image" Target="media/image8.tiff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tif"/><Relationship Id="rId17" Type="http://schemas.openxmlformats.org/officeDocument/2006/relationships/image" Target="media/image7.tif"/><Relationship Id="rId2" Type="http://schemas.openxmlformats.org/officeDocument/2006/relationships/customXml" Target="../customXml/item2.xml"/><Relationship Id="rId16" Type="http://schemas.openxmlformats.org/officeDocument/2006/relationships/image" Target="media/image6.ti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tif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74C7A77CE0514C8EA9972A6AA0B0A5" ma:contentTypeVersion="12" ma:contentTypeDescription="Create a new document." ma:contentTypeScope="" ma:versionID="7e99b502f0bad2f53a83bf4b0d33dbb9">
  <xsd:schema xmlns:xsd="http://www.w3.org/2001/XMLSchema" xmlns:xs="http://www.w3.org/2001/XMLSchema" xmlns:p="http://schemas.microsoft.com/office/2006/metadata/properties" xmlns:ns3="6abc619b-39d1-41b2-8433-a04451f34412" xmlns:ns4="4369a23a-a739-4e75-a877-0d1fab5acdb5" targetNamespace="http://schemas.microsoft.com/office/2006/metadata/properties" ma:root="true" ma:fieldsID="ae3ecaaf132394621abbb87c81b186b7" ns3:_="" ns4:_="">
    <xsd:import namespace="6abc619b-39d1-41b2-8433-a04451f34412"/>
    <xsd:import namespace="4369a23a-a739-4e75-a877-0d1fab5acd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bc619b-39d1-41b2-8433-a04451f344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9a23a-a739-4e75-a877-0d1fab5acd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3AEE76-923C-41C5-99E3-A0990FF220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4FEC25-51F9-4BD7-A980-AEE3F72AD8A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F2AC658-7A56-40DE-922C-1162C1D4B4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bc619b-39d1-41b2-8433-a04451f34412"/>
    <ds:schemaRef ds:uri="4369a23a-a739-4e75-a877-0d1fab5acd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C22948-B307-46AD-A962-58BEE57FA4C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838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Manuscript Template</vt:lpstr>
    </vt:vector>
  </TitlesOfParts>
  <Company>Microsoft</Company>
  <LinksUpToDate>false</LinksUpToDate>
  <CharactersWithSpaces>5305</CharactersWithSpaces>
  <SharedDoc>false</SharedDoc>
  <HLinks>
    <vt:vector size="12" baseType="variant">
      <vt:variant>
        <vt:i4>2228274</vt:i4>
      </vt:variant>
      <vt:variant>
        <vt:i4>3</vt:i4>
      </vt:variant>
      <vt:variant>
        <vt:i4>0</vt:i4>
      </vt:variant>
      <vt:variant>
        <vt:i4>5</vt:i4>
      </vt:variant>
      <vt:variant>
        <vt:lpwstr>https://stm.sciencemag.org/content/information-authors</vt:lpwstr>
      </vt:variant>
      <vt:variant>
        <vt:lpwstr/>
      </vt:variant>
      <vt:variant>
        <vt:i4>2883708</vt:i4>
      </vt:variant>
      <vt:variant>
        <vt:i4>0</vt:i4>
      </vt:variant>
      <vt:variant>
        <vt:i4>0</vt:i4>
      </vt:variant>
      <vt:variant>
        <vt:i4>5</vt:i4>
      </vt:variant>
      <vt:variant>
        <vt:lpwstr>https://cts.sciencemag.org/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Irene Salamon</cp:lastModifiedBy>
  <cp:revision>4</cp:revision>
  <cp:lastPrinted>2012-01-29T18:20:00Z</cp:lastPrinted>
  <dcterms:created xsi:type="dcterms:W3CDTF">2025-12-23T18:18:00Z</dcterms:created>
  <dcterms:modified xsi:type="dcterms:W3CDTF">2026-01-20T16:19:00Z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0x0101009674C7A77CE0514C8EA9972A6AA0B0A5</vt:lpwstr>
  </property>
</Properties>
</file>