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7FD2" w:rsidRPr="00BE29C3" w:rsidRDefault="00BE29C3" w:rsidP="00BE29C3">
      <w:pPr>
        <w:jc w:val="center"/>
        <w:rPr>
          <w:rFonts w:ascii="Times New Roman" w:hAnsi="Times New Roman" w:cs="Times New Roman"/>
          <w:b/>
          <w:sz w:val="28"/>
          <w:szCs w:val="28"/>
        </w:rPr>
      </w:pPr>
      <w:r w:rsidRPr="00BE29C3">
        <w:rPr>
          <w:rFonts w:ascii="Times New Roman" w:hAnsi="Times New Roman" w:cs="Times New Roman"/>
          <w:b/>
          <w:sz w:val="28"/>
          <w:szCs w:val="28"/>
        </w:rPr>
        <w:t>Supplemental Materials—Methods and protocols of single cells</w:t>
      </w:r>
    </w:p>
    <w:p w:rsidR="00BE29C3" w:rsidRPr="00BE29C3" w:rsidRDefault="00BE29C3" w:rsidP="00BE29C3">
      <w:pPr>
        <w:pStyle w:val="a5"/>
        <w:numPr>
          <w:ilvl w:val="0"/>
          <w:numId w:val="1"/>
        </w:numPr>
        <w:spacing w:line="360" w:lineRule="auto"/>
        <w:ind w:firstLineChars="0"/>
        <w:rPr>
          <w:rFonts w:ascii="Times New Roman" w:eastAsia="宋体" w:hAnsi="Times New Roman" w:cs="Times New Roman"/>
          <w:szCs w:val="21"/>
        </w:rPr>
      </w:pPr>
      <w:r w:rsidRPr="00BE29C3">
        <w:rPr>
          <w:rFonts w:ascii="Times New Roman" w:eastAsia="宋体" w:hAnsi="Times New Roman" w:cs="Times New Roman"/>
          <w:b/>
          <w:szCs w:val="21"/>
        </w:rPr>
        <w:t xml:space="preserve">Preparation of single-cell suspensions. </w:t>
      </w:r>
    </w:p>
    <w:p w:rsidR="00BE29C3" w:rsidRPr="00BE29C3" w:rsidRDefault="00BE29C3" w:rsidP="00BE29C3">
      <w:pPr>
        <w:spacing w:line="360" w:lineRule="auto"/>
        <w:rPr>
          <w:rFonts w:ascii="Times New Roman" w:eastAsia="宋体" w:hAnsi="Times New Roman" w:cs="Times New Roman"/>
          <w:szCs w:val="21"/>
        </w:rPr>
      </w:pPr>
      <w:r w:rsidRPr="00BE29C3">
        <w:rPr>
          <w:rFonts w:ascii="Times New Roman" w:eastAsia="宋体" w:hAnsi="Times New Roman" w:cs="Times New Roman"/>
          <w:szCs w:val="21"/>
        </w:rPr>
        <w:t xml:space="preserve">Following resection in the operating room, samples from the tumor and adjacent non-malignant </w:t>
      </w:r>
      <w:r w:rsidR="004C4804" w:rsidRPr="004C4804">
        <w:rPr>
          <w:rFonts w:ascii="Times New Roman" w:eastAsia="宋体" w:hAnsi="Times New Roman" w:cs="Times New Roman"/>
          <w:color w:val="FF0000"/>
          <w:szCs w:val="21"/>
          <w:highlight w:val="yellow"/>
        </w:rPr>
        <w:t>colon</w:t>
      </w:r>
      <w:r w:rsidRPr="004C4804">
        <w:rPr>
          <w:rFonts w:ascii="Times New Roman" w:eastAsia="宋体" w:hAnsi="Times New Roman" w:cs="Times New Roman"/>
          <w:szCs w:val="21"/>
          <w:highlight w:val="yellow"/>
        </w:rPr>
        <w:t xml:space="preserve"> tissue</w:t>
      </w:r>
      <w:bookmarkStart w:id="0" w:name="_GoBack"/>
      <w:bookmarkEnd w:id="0"/>
      <w:r w:rsidRPr="00BE29C3">
        <w:rPr>
          <w:rFonts w:ascii="Times New Roman" w:eastAsia="宋体" w:hAnsi="Times New Roman" w:cs="Times New Roman"/>
          <w:szCs w:val="21"/>
        </w:rPr>
        <w:t xml:space="preserve"> from the same resection specimen at maximal distance (&gt;5 cm) from the tumor were isolated</w:t>
      </w:r>
      <w:r w:rsidRPr="00BE29C3">
        <w:rPr>
          <w:rFonts w:ascii="Times New Roman" w:eastAsia="宋体" w:hAnsi="Times New Roman" w:cs="Times New Roman" w:hint="eastAsia"/>
          <w:szCs w:val="21"/>
        </w:rPr>
        <w:t>,</w:t>
      </w:r>
      <w:r w:rsidRPr="00BE29C3">
        <w:rPr>
          <w:rFonts w:ascii="Times New Roman" w:eastAsia="宋体" w:hAnsi="Times New Roman" w:cs="Times New Roman"/>
          <w:szCs w:val="21"/>
        </w:rPr>
        <w:t xml:space="preserve"> saved in </w:t>
      </w:r>
      <w:r w:rsidRPr="00BE29C3">
        <w:rPr>
          <w:rFonts w:ascii="Times New Roman" w:eastAsia="宋体" w:hAnsi="Times New Roman" w:cs="Times New Roman"/>
          <w:color w:val="333333"/>
          <w:szCs w:val="21"/>
          <w:lang w:val="en"/>
        </w:rPr>
        <w:t>Dulbecco's Modified Eagle Medium (DMEM, Gibco)</w:t>
      </w:r>
      <w:r w:rsidRPr="00BE29C3">
        <w:rPr>
          <w:rFonts w:ascii="Times New Roman" w:eastAsia="宋体" w:hAnsi="Times New Roman" w:cs="Times New Roman"/>
          <w:szCs w:val="21"/>
        </w:rPr>
        <w:t xml:space="preserve"> and transported rapidly to the research facility. On arrival, samples were cut into smaller pieces of less than one </w:t>
      </w:r>
      <w:r w:rsidRPr="00BE29C3">
        <w:rPr>
          <w:rFonts w:ascii="Times New Roman" w:eastAsia="宋体" w:hAnsi="Times New Roman" w:cs="Times New Roman"/>
          <w:i/>
          <w:szCs w:val="21"/>
        </w:rPr>
        <w:t>mm</w:t>
      </w:r>
      <w:r w:rsidRPr="00BE29C3">
        <w:rPr>
          <w:rFonts w:ascii="Times New Roman" w:eastAsia="宋体" w:hAnsi="Times New Roman" w:cs="Times New Roman"/>
          <w:i/>
          <w:szCs w:val="21"/>
          <w:vertAlign w:val="superscript"/>
        </w:rPr>
        <w:t>3</w:t>
      </w:r>
      <w:r w:rsidRPr="00BE29C3">
        <w:rPr>
          <w:rFonts w:ascii="Times New Roman" w:eastAsia="宋体" w:hAnsi="Times New Roman" w:cs="Times New Roman"/>
          <w:szCs w:val="21"/>
        </w:rPr>
        <w:t xml:space="preserve"> and rinsed with Hanks’ balanced salt solution (HBSS, ThermoFisher Scientific), then transferred to 10 ml of digestion medium containing 0.2% collagenase Ⅳ (ThermoFisher Scientific) in DMEM. Samples were incubated for 75 min at 37 °C, with manual shaking every 5 min. Next, 30 ml of ice-cold HBSS was added and samples were filtered using a 40-μ m nylon mesh (ThermoFisher Scientific). Following centrifugation at 120×g and 4 °C for 3 min, the supernatant was decanted and discarded, and the cell pellet was resuspended in 2 ml of red blood cell lysis buffer and transferred to a 2-ml DNA low-binding tube. Following a 5-min incubation at room temperature, samples were centrifuged (120× g, 4 °C, 5 min) using a swing-out rotor. Samples were then resuspended in 2 ml of HBSS and centrifuged (120×g, 4 °C, 2 min) using a swing-out rotor. Samples were resuspended in 2 ml of DMEM containing 10% fetal bovine serum (</w:t>
      </w:r>
      <w:r w:rsidRPr="00BE29C3">
        <w:rPr>
          <w:rFonts w:ascii="Times New Roman" w:eastAsia="宋体" w:hAnsi="Times New Roman" w:cs="Times New Roman"/>
          <w:color w:val="333333"/>
          <w:szCs w:val="21"/>
          <w:lang w:val="en"/>
        </w:rPr>
        <w:t>Gibco</w:t>
      </w:r>
      <w:r w:rsidRPr="00BE29C3">
        <w:rPr>
          <w:rFonts w:ascii="Times New Roman" w:eastAsia="宋体" w:hAnsi="Times New Roman" w:cs="Times New Roman"/>
          <w:szCs w:val="21"/>
        </w:rPr>
        <w:t xml:space="preserve">). </w:t>
      </w:r>
    </w:p>
    <w:p w:rsidR="00BE29C3" w:rsidRPr="00BE29C3" w:rsidRDefault="00BE29C3" w:rsidP="00BE29C3">
      <w:pPr>
        <w:pStyle w:val="a5"/>
        <w:numPr>
          <w:ilvl w:val="0"/>
          <w:numId w:val="1"/>
        </w:numPr>
        <w:autoSpaceDE w:val="0"/>
        <w:autoSpaceDN w:val="0"/>
        <w:adjustRightInd w:val="0"/>
        <w:spacing w:line="360" w:lineRule="auto"/>
        <w:ind w:firstLineChars="0"/>
        <w:jc w:val="left"/>
        <w:rPr>
          <w:rFonts w:ascii="Times New Roman" w:eastAsia="宋体" w:hAnsi="Times New Roman" w:cs="Times New Roman"/>
          <w:color w:val="333333"/>
          <w:szCs w:val="21"/>
          <w:lang w:val="en"/>
        </w:rPr>
      </w:pPr>
      <w:r w:rsidRPr="00BE29C3">
        <w:rPr>
          <w:rFonts w:ascii="Times New Roman" w:eastAsia="宋体" w:hAnsi="Times New Roman" w:cs="Times New Roman"/>
          <w:b/>
          <w:color w:val="333333"/>
          <w:szCs w:val="21"/>
          <w:lang w:val="en"/>
        </w:rPr>
        <w:t>Droplet-based scRNA-seq.</w:t>
      </w:r>
    </w:p>
    <w:p w:rsidR="00BE29C3" w:rsidRPr="00BE29C3" w:rsidRDefault="00BE29C3" w:rsidP="00BE29C3">
      <w:pPr>
        <w:autoSpaceDE w:val="0"/>
        <w:autoSpaceDN w:val="0"/>
        <w:adjustRightInd w:val="0"/>
        <w:spacing w:line="360" w:lineRule="auto"/>
        <w:rPr>
          <w:rFonts w:ascii="Times New Roman" w:eastAsia="宋体" w:hAnsi="Times New Roman" w:cs="Times New Roman"/>
          <w:szCs w:val="21"/>
        </w:rPr>
      </w:pPr>
      <w:r w:rsidRPr="00BE29C3">
        <w:rPr>
          <w:rFonts w:ascii="Times New Roman" w:eastAsia="宋体" w:hAnsi="Times New Roman" w:cs="Times New Roman"/>
          <w:szCs w:val="21"/>
        </w:rPr>
        <w:t>Single-cell suspensions were converted to barcoded scRNA-seq libraries by using the Chromium Single Cell 3’ Library, Gel Bead &amp; Multiplex Kit and Chip Kit (10x Genomics), aiming for an estimated 5,000 cells per library and following the manufacturer’s instructions. Samples are processed using kits pertaining to either the V1 or V2 barcoding chemistry from 10x Genomics. Single samples are always processed in a single well of a PCR plate, allowing all cells from a sample to be treated with the same master mix and in the same reaction vessel. All samples (non-malignant and tumor) were processed in parallel on the same thermal cycler. Libraries were sequenced on an Illumina HiSeq4000 and mapped to the human genome (build hg19) using CellRanger (10x Genomics).</w:t>
      </w:r>
    </w:p>
    <w:p w:rsidR="00BE29C3" w:rsidRPr="00BE29C3" w:rsidRDefault="00BE29C3" w:rsidP="00BE29C3">
      <w:pPr>
        <w:pStyle w:val="a5"/>
        <w:numPr>
          <w:ilvl w:val="0"/>
          <w:numId w:val="1"/>
        </w:numPr>
        <w:autoSpaceDE w:val="0"/>
        <w:autoSpaceDN w:val="0"/>
        <w:adjustRightInd w:val="0"/>
        <w:spacing w:line="360" w:lineRule="auto"/>
        <w:ind w:firstLineChars="0"/>
        <w:rPr>
          <w:rFonts w:ascii="Times New Roman" w:eastAsia="宋体" w:hAnsi="Times New Roman" w:cs="Times New Roman"/>
          <w:b/>
          <w:color w:val="333333"/>
          <w:szCs w:val="21"/>
          <w:lang w:val="en"/>
        </w:rPr>
      </w:pPr>
      <w:r w:rsidRPr="00BE29C3">
        <w:rPr>
          <w:rFonts w:ascii="Times New Roman" w:eastAsia="宋体" w:hAnsi="Times New Roman" w:cs="Times New Roman"/>
          <w:b/>
          <w:color w:val="333333"/>
          <w:szCs w:val="21"/>
          <w:lang w:val="en"/>
        </w:rPr>
        <w:t>Single-cell gene expression quantification and determination of the major cell types.</w:t>
      </w:r>
    </w:p>
    <w:p w:rsidR="00BE29C3" w:rsidRPr="00BE29C3" w:rsidRDefault="00BE29C3" w:rsidP="00BE29C3">
      <w:pPr>
        <w:autoSpaceDE w:val="0"/>
        <w:autoSpaceDN w:val="0"/>
        <w:adjustRightInd w:val="0"/>
        <w:spacing w:line="360" w:lineRule="auto"/>
        <w:rPr>
          <w:rFonts w:ascii="Times New Roman" w:eastAsia="宋体" w:hAnsi="Times New Roman" w:cs="Times New Roman"/>
          <w:color w:val="333333"/>
          <w:szCs w:val="21"/>
          <w:lang w:val="en"/>
        </w:rPr>
      </w:pPr>
      <w:r w:rsidRPr="00BE29C3">
        <w:rPr>
          <w:rFonts w:ascii="Times New Roman" w:eastAsia="宋体" w:hAnsi="Times New Roman" w:cs="Times New Roman"/>
          <w:color w:val="333333"/>
          <w:szCs w:val="21"/>
          <w:lang w:val="en"/>
        </w:rPr>
        <w:t xml:space="preserve">Raw gene expression matrices generated per sample using CellRanger (version 2.0.0) were combined in R (version 3.3.2-Sincere Pumpkin Patch), and converted to a Seurat object using the </w:t>
      </w:r>
      <w:r w:rsidRPr="00BE29C3">
        <w:rPr>
          <w:rFonts w:ascii="Times New Roman" w:eastAsia="宋体" w:hAnsi="Times New Roman" w:cs="Times New Roman"/>
          <w:color w:val="333333"/>
          <w:szCs w:val="21"/>
          <w:lang w:val="en"/>
        </w:rPr>
        <w:lastRenderedPageBreak/>
        <w:t>Seurat R package (version 1.4.0.7). From this, all cells were removed that had either fewer than 201 UMIs, over 6,000 or under 101 expressed genes, or over 10% UMIs derived from the mitochondrial genome. From the remaining cells, gene expression matrices were normalized to total cellular read count and to mitochondrial read count using linear regression as implemented in Seurat’s Regress Out function. As a result, none of the principle components subsequently identified were correlated with transcript count. From the remaining cells, variably expressed genes were selected as having a normalized expression between 0.125 and 3 and a quantile-normalized variance exceeding 0.5. To reduce the dimensionality of this data set, the resulting variably expressed genes were summarized by principle component analysis (PCA), and the first six principle components were further summarized using t-distributed stochastic neighbor embedding (tSNE) dimensionality reduction using the default settings of the Run TSNE function. Cell clusters in the resulting two-dimensional representation were annotated to known biological cell types using canonical marker genes.</w:t>
      </w:r>
    </w:p>
    <w:p w:rsidR="00BE29C3" w:rsidRPr="00BE29C3" w:rsidRDefault="00BE29C3" w:rsidP="00BE29C3">
      <w:pPr>
        <w:pStyle w:val="a5"/>
        <w:numPr>
          <w:ilvl w:val="0"/>
          <w:numId w:val="1"/>
        </w:numPr>
        <w:autoSpaceDE w:val="0"/>
        <w:autoSpaceDN w:val="0"/>
        <w:adjustRightInd w:val="0"/>
        <w:spacing w:line="360" w:lineRule="auto"/>
        <w:ind w:firstLineChars="0"/>
        <w:rPr>
          <w:rFonts w:ascii="Times New Roman" w:eastAsia="宋体" w:hAnsi="Times New Roman" w:cs="Times New Roman"/>
          <w:color w:val="333333"/>
          <w:szCs w:val="21"/>
          <w:lang w:val="en"/>
        </w:rPr>
      </w:pPr>
      <w:r w:rsidRPr="00BE29C3">
        <w:rPr>
          <w:rFonts w:ascii="Times New Roman" w:eastAsia="宋体" w:hAnsi="Times New Roman" w:cs="Times New Roman"/>
          <w:b/>
          <w:color w:val="333333"/>
          <w:szCs w:val="21"/>
          <w:lang w:val="en"/>
        </w:rPr>
        <w:t xml:space="preserve">Subclustering of the major cell types. </w:t>
      </w:r>
    </w:p>
    <w:p w:rsidR="00BE29C3" w:rsidRPr="00BE29C3" w:rsidRDefault="00BE29C3" w:rsidP="00BE29C3">
      <w:pPr>
        <w:autoSpaceDE w:val="0"/>
        <w:autoSpaceDN w:val="0"/>
        <w:adjustRightInd w:val="0"/>
        <w:spacing w:line="360" w:lineRule="auto"/>
        <w:rPr>
          <w:rFonts w:ascii="Times New Roman" w:eastAsia="宋体" w:hAnsi="Times New Roman" w:cs="Times New Roman"/>
          <w:color w:val="333333"/>
          <w:szCs w:val="21"/>
          <w:lang w:val="en"/>
        </w:rPr>
      </w:pPr>
      <w:r w:rsidRPr="00BE29C3">
        <w:rPr>
          <w:rFonts w:ascii="Times New Roman" w:eastAsia="宋体" w:hAnsi="Times New Roman" w:cs="Times New Roman"/>
          <w:color w:val="333333"/>
          <w:szCs w:val="21"/>
          <w:lang w:val="en"/>
        </w:rPr>
        <w:t xml:space="preserve">To identify subclusters within these six cell types, we reanalyzed cells belonging to each of these six cell types separately. Specifically, we applied dimensionality reduction using PCA in each cell type on variably expressed genes as described above. To identify which principle components were informative, we applied Horn’s parallel analysis for PCA as implemented in the R paran package (version 1.5.1), selecting those principle components having eigenvalues that exceed the eigenvalues generated using ten random permutations by &gt; 50%. Using the graph-based clustering approach implemented in the Find Clusters function of the Seurat package, with a conservative resolution of 0.5 and otherwise default parameters, each cell type was reclustered by its principle components. Notably, subclustering was robust to alterations in the number of principle components, in the resolution or in the K parameter. Moreover, few of the subclusters identified contained many cells wherein less than 300 genes were detected, indicating that increasing the threshold of 100 genes would not affect our results. This yielded 28 subclusters in total, as listed in </w:t>
      </w:r>
      <w:r w:rsidRPr="00BE29C3">
        <w:rPr>
          <w:rFonts w:ascii="Times New Roman" w:eastAsia="宋体" w:hAnsi="Times New Roman" w:cs="Times New Roman"/>
          <w:b/>
          <w:color w:val="333333"/>
          <w:szCs w:val="21"/>
          <w:lang w:val="en"/>
        </w:rPr>
        <w:t>Supplementary Table 1</w:t>
      </w:r>
      <w:r w:rsidRPr="00BE29C3">
        <w:rPr>
          <w:rFonts w:ascii="Times New Roman" w:eastAsia="宋体" w:hAnsi="Times New Roman" w:cs="Times New Roman"/>
          <w:color w:val="333333"/>
          <w:szCs w:val="21"/>
          <w:lang w:val="en"/>
        </w:rPr>
        <w:t>. For visualization purposes, these informative principle components were converted into tSNE plots as above.</w:t>
      </w:r>
    </w:p>
    <w:p w:rsidR="00BE29C3" w:rsidRPr="00BE29C3" w:rsidRDefault="00BE29C3" w:rsidP="00BE29C3">
      <w:pPr>
        <w:pStyle w:val="a5"/>
        <w:numPr>
          <w:ilvl w:val="0"/>
          <w:numId w:val="1"/>
        </w:numPr>
        <w:autoSpaceDE w:val="0"/>
        <w:autoSpaceDN w:val="0"/>
        <w:adjustRightInd w:val="0"/>
        <w:spacing w:line="360" w:lineRule="auto"/>
        <w:ind w:firstLineChars="0"/>
        <w:rPr>
          <w:rFonts w:ascii="Times New Roman" w:eastAsia="宋体" w:hAnsi="Times New Roman" w:cs="Times New Roman"/>
          <w:color w:val="333333"/>
          <w:szCs w:val="21"/>
          <w:lang w:val="en"/>
        </w:rPr>
      </w:pPr>
      <w:r w:rsidRPr="00BE29C3">
        <w:rPr>
          <w:rFonts w:ascii="Times New Roman" w:eastAsia="宋体" w:hAnsi="Times New Roman" w:cs="Times New Roman"/>
          <w:b/>
          <w:color w:val="333333"/>
          <w:szCs w:val="21"/>
          <w:lang w:val="en"/>
        </w:rPr>
        <w:t xml:space="preserve">Identification of marker genes. </w:t>
      </w:r>
    </w:p>
    <w:p w:rsidR="00BE29C3" w:rsidRPr="00BE29C3" w:rsidRDefault="00BE29C3" w:rsidP="00BE29C3">
      <w:pPr>
        <w:autoSpaceDE w:val="0"/>
        <w:autoSpaceDN w:val="0"/>
        <w:adjustRightInd w:val="0"/>
        <w:spacing w:line="360" w:lineRule="auto"/>
        <w:rPr>
          <w:rFonts w:ascii="Times New Roman" w:eastAsia="宋体" w:hAnsi="Times New Roman" w:cs="Times New Roman"/>
          <w:color w:val="333333"/>
          <w:szCs w:val="21"/>
          <w:lang w:val="en"/>
        </w:rPr>
      </w:pPr>
      <w:r w:rsidRPr="00BE29C3">
        <w:rPr>
          <w:rFonts w:ascii="Times New Roman" w:eastAsia="宋体" w:hAnsi="Times New Roman" w:cs="Times New Roman"/>
          <w:color w:val="333333"/>
          <w:szCs w:val="21"/>
          <w:lang w:val="en"/>
        </w:rPr>
        <w:t>To identify marker genes for each of these 28 subclusters within these six cell types, we contrasted cells from that subcluster to all other cells of that subcluster using the Seurat Find Markers function. Marker genes were required to have an average expression in that subcluster that was &gt; 2.5-fold higher than the average expression in the other subclusters from that cell type, and a detectable expression in &gt; 15% of all cells from that subcluster. Additionally, marker genes were required to have the highest mean expression in that subcluster.</w:t>
      </w:r>
    </w:p>
    <w:p w:rsidR="00BE29C3" w:rsidRPr="00BE29C3" w:rsidRDefault="00BE29C3" w:rsidP="00BE29C3">
      <w:pPr>
        <w:pStyle w:val="a5"/>
        <w:numPr>
          <w:ilvl w:val="0"/>
          <w:numId w:val="1"/>
        </w:numPr>
        <w:autoSpaceDE w:val="0"/>
        <w:autoSpaceDN w:val="0"/>
        <w:adjustRightInd w:val="0"/>
        <w:spacing w:line="360" w:lineRule="auto"/>
        <w:ind w:firstLineChars="0"/>
        <w:rPr>
          <w:rFonts w:ascii="Times New Roman" w:eastAsia="宋体" w:hAnsi="Times New Roman" w:cs="Times New Roman"/>
          <w:b/>
          <w:color w:val="333333"/>
          <w:szCs w:val="21"/>
          <w:lang w:val="en"/>
        </w:rPr>
      </w:pPr>
      <w:r w:rsidRPr="00BE29C3">
        <w:rPr>
          <w:rFonts w:ascii="Times New Roman" w:eastAsia="宋体" w:hAnsi="Times New Roman" w:cs="Times New Roman"/>
          <w:b/>
          <w:color w:val="333333"/>
          <w:szCs w:val="21"/>
          <w:lang w:val="en"/>
        </w:rPr>
        <w:t xml:space="preserve">Single-cell regulatory network inference and clustering (SCENIC) analysis. </w:t>
      </w:r>
    </w:p>
    <w:p w:rsidR="00BE29C3" w:rsidRPr="00BE29C3" w:rsidRDefault="00BE29C3" w:rsidP="00BE29C3">
      <w:pPr>
        <w:autoSpaceDE w:val="0"/>
        <w:autoSpaceDN w:val="0"/>
        <w:adjustRightInd w:val="0"/>
        <w:spacing w:line="360" w:lineRule="auto"/>
        <w:rPr>
          <w:rFonts w:ascii="Times New Roman" w:eastAsia="宋体" w:hAnsi="Times New Roman" w:cs="Times New Roman"/>
          <w:color w:val="FF0000"/>
          <w:szCs w:val="21"/>
          <w:lang w:val="en"/>
        </w:rPr>
      </w:pPr>
      <w:r w:rsidRPr="00BE29C3">
        <w:rPr>
          <w:rFonts w:ascii="Times New Roman" w:eastAsia="宋体" w:hAnsi="Times New Roman" w:cs="Times New Roman"/>
          <w:color w:val="333333"/>
          <w:szCs w:val="21"/>
          <w:lang w:val="en"/>
        </w:rPr>
        <w:t xml:space="preserve">SCENIC analysis was run as previously described on the 4,777 cells that remained after filtering, using the 20-thousand motifs database for RcisTarget and GRNboost (SCENIC version 0.1.5, which corresponds to RcisTarget 0.99.0 and AUCell 0.99.5; with RcisTarget.hg19.motifDatabases.20k). </w:t>
      </w:r>
    </w:p>
    <w:p w:rsidR="00BE29C3" w:rsidRPr="00BE29C3" w:rsidRDefault="00BE29C3" w:rsidP="00BE29C3">
      <w:pPr>
        <w:pStyle w:val="a5"/>
        <w:numPr>
          <w:ilvl w:val="0"/>
          <w:numId w:val="1"/>
        </w:numPr>
        <w:autoSpaceDE w:val="0"/>
        <w:autoSpaceDN w:val="0"/>
        <w:adjustRightInd w:val="0"/>
        <w:spacing w:line="360" w:lineRule="auto"/>
        <w:ind w:firstLineChars="0"/>
        <w:rPr>
          <w:rFonts w:ascii="Times New Roman" w:eastAsia="宋体" w:hAnsi="Times New Roman" w:cs="Times New Roman"/>
          <w:b/>
          <w:color w:val="333333"/>
          <w:szCs w:val="21"/>
          <w:lang w:val="en"/>
        </w:rPr>
      </w:pPr>
      <w:r w:rsidRPr="00BE29C3">
        <w:rPr>
          <w:rFonts w:ascii="Times New Roman" w:eastAsia="宋体" w:hAnsi="Times New Roman" w:cs="Times New Roman"/>
          <w:b/>
          <w:color w:val="333333"/>
          <w:szCs w:val="21"/>
          <w:lang w:val="en"/>
        </w:rPr>
        <w:t>Analysis of differential pathway or regulon activities.</w:t>
      </w:r>
    </w:p>
    <w:p w:rsidR="00BE29C3" w:rsidRPr="00BE29C3" w:rsidRDefault="00BE29C3" w:rsidP="00BE29C3">
      <w:pPr>
        <w:autoSpaceDE w:val="0"/>
        <w:autoSpaceDN w:val="0"/>
        <w:adjustRightInd w:val="0"/>
        <w:spacing w:line="360" w:lineRule="auto"/>
        <w:rPr>
          <w:rFonts w:ascii="Times New Roman" w:eastAsia="宋体" w:hAnsi="Times New Roman" w:cs="Times New Roman"/>
          <w:color w:val="333333"/>
          <w:szCs w:val="21"/>
          <w:lang w:val="en"/>
        </w:rPr>
      </w:pPr>
      <w:r w:rsidRPr="00BE29C3">
        <w:rPr>
          <w:rFonts w:ascii="Times New Roman" w:eastAsia="宋体" w:hAnsi="Times New Roman" w:cs="Times New Roman"/>
          <w:color w:val="333333"/>
          <w:szCs w:val="21"/>
          <w:lang w:val="en"/>
        </w:rPr>
        <w:t>To assess the differential activities of pathways (GSVA) or regulons (SCENIC) between cell sets (for example, derived from tumor or normal samples, or belonging to different subclusters), we contrasted the activity scores for each cell using a generalized linear model. To avoid inflating signals because of inter individual differences (for example, in the relative frequencies of cells from different patients), we always included the patient of origin as a categorical variable. The results of these linear models were visualized using bar plots or heat maps. For the latter, pathways or regulons that did not show significant changes (Benjamini–Hochberg-corrected P value &gt; 0.05) in any of the cell sets that were contradictory in one analysis were not visualized.</w:t>
      </w:r>
    </w:p>
    <w:p w:rsidR="00BE29C3" w:rsidRPr="00BE29C3" w:rsidRDefault="00BE29C3" w:rsidP="00BE29C3">
      <w:pPr>
        <w:pStyle w:val="a5"/>
        <w:numPr>
          <w:ilvl w:val="0"/>
          <w:numId w:val="1"/>
        </w:numPr>
        <w:autoSpaceDE w:val="0"/>
        <w:autoSpaceDN w:val="0"/>
        <w:adjustRightInd w:val="0"/>
        <w:spacing w:line="360" w:lineRule="auto"/>
        <w:ind w:firstLineChars="0"/>
        <w:rPr>
          <w:rFonts w:ascii="Times New Roman" w:eastAsia="宋体" w:hAnsi="Times New Roman" w:cs="Times New Roman"/>
          <w:b/>
          <w:color w:val="333333"/>
          <w:szCs w:val="21"/>
          <w:lang w:val="en"/>
        </w:rPr>
      </w:pPr>
      <w:r w:rsidRPr="00BE29C3">
        <w:rPr>
          <w:rFonts w:ascii="Times New Roman" w:eastAsia="宋体" w:hAnsi="Times New Roman" w:cs="Times New Roman"/>
          <w:b/>
          <w:color w:val="333333"/>
          <w:szCs w:val="21"/>
          <w:lang w:val="en"/>
        </w:rPr>
        <w:t>Statistics and reproducibility.</w:t>
      </w:r>
    </w:p>
    <w:p w:rsidR="00BE29C3" w:rsidRPr="00BE29C3" w:rsidRDefault="00BE29C3" w:rsidP="00BE29C3">
      <w:pPr>
        <w:autoSpaceDE w:val="0"/>
        <w:autoSpaceDN w:val="0"/>
        <w:adjustRightInd w:val="0"/>
        <w:spacing w:line="360" w:lineRule="auto"/>
        <w:rPr>
          <w:lang w:val="en"/>
        </w:rPr>
      </w:pPr>
      <w:r w:rsidRPr="00BE29C3">
        <w:rPr>
          <w:rFonts w:ascii="Times New Roman" w:eastAsia="宋体" w:hAnsi="Times New Roman" w:cs="Times New Roman"/>
          <w:color w:val="333333"/>
          <w:szCs w:val="21"/>
          <w:lang w:val="en"/>
        </w:rPr>
        <w:t>No statistical method was used to predetermine sample sizes. For all experiments, samples from a single patient were processed in parallel, and cells for each sample of one patient were processed for scRNA-seq (10x Genomics) at the same time, but in separate lanes and vials. Box plots were generated using the R base package and default parameters. Hence, the boxes span the interquartile range (IQR; from the 25th to the 75th percentiles), with the centerline corresponding to the median. Lower whiskers represent data minimum or the 25th percentile minus 1.5×IQR, whichever is greater. Upper whiskers represent the data maximum or the 75th percentile plus 1.5×IQR (lower), whichever is lower. Violin plots were generated using the bean plot R package, and the data distribution band width was estimated by kernel density estimation, as per the built-in ‘nrd0’ option. Bar plots indicate the mean ± standard error of the mean and include individual data points. Given the number of data points represented on box and violin plots, we opted not to display each data point, as this would obscure the overall distribution. Comparisons between two groups were performed using unpaired two-tailed t-tests. One-way analysis of variance (ANOVA) with Tukey’s multiple comparisons tests were used for multiple group comparisons. Linear models were generated when multiple parameters were taken into account. Fitting of Cox proportional hazards regression models was performed using the coxph function in the R survival package, with tied death times handled using the Breslow method. All statistical analyses and presentation of data were performed using R.</w:t>
      </w:r>
    </w:p>
    <w:sectPr w:rsidR="00BE29C3" w:rsidRPr="00BE29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016F" w:rsidRDefault="00D7016F" w:rsidP="00BE29C3">
      <w:r>
        <w:separator/>
      </w:r>
    </w:p>
  </w:endnote>
  <w:endnote w:type="continuationSeparator" w:id="0">
    <w:p w:rsidR="00D7016F" w:rsidRDefault="00D7016F" w:rsidP="00BE2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016F" w:rsidRDefault="00D7016F" w:rsidP="00BE29C3">
      <w:r>
        <w:separator/>
      </w:r>
    </w:p>
  </w:footnote>
  <w:footnote w:type="continuationSeparator" w:id="0">
    <w:p w:rsidR="00D7016F" w:rsidRDefault="00D7016F" w:rsidP="00BE29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617351"/>
    <w:multiLevelType w:val="hybridMultilevel"/>
    <w:tmpl w:val="C5F27D48"/>
    <w:lvl w:ilvl="0" w:tplc="544EBE16">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54E"/>
    <w:rsid w:val="004C4804"/>
    <w:rsid w:val="005847A2"/>
    <w:rsid w:val="00787FD2"/>
    <w:rsid w:val="00A641C8"/>
    <w:rsid w:val="00B1354E"/>
    <w:rsid w:val="00BE29C3"/>
    <w:rsid w:val="00D7016F"/>
    <w:rsid w:val="00D979D9"/>
    <w:rsid w:val="00E56BA9"/>
    <w:rsid w:val="00FE6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CD0C41-05DD-4702-8AC7-4F622457F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29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29C3"/>
    <w:rPr>
      <w:sz w:val="18"/>
      <w:szCs w:val="18"/>
    </w:rPr>
  </w:style>
  <w:style w:type="paragraph" w:styleId="a4">
    <w:name w:val="footer"/>
    <w:basedOn w:val="a"/>
    <w:link w:val="Char0"/>
    <w:uiPriority w:val="99"/>
    <w:unhideWhenUsed/>
    <w:rsid w:val="00BE29C3"/>
    <w:pPr>
      <w:tabs>
        <w:tab w:val="center" w:pos="4153"/>
        <w:tab w:val="right" w:pos="8306"/>
      </w:tabs>
      <w:snapToGrid w:val="0"/>
      <w:jc w:val="left"/>
    </w:pPr>
    <w:rPr>
      <w:sz w:val="18"/>
      <w:szCs w:val="18"/>
    </w:rPr>
  </w:style>
  <w:style w:type="character" w:customStyle="1" w:styleId="Char0">
    <w:name w:val="页脚 Char"/>
    <w:basedOn w:val="a0"/>
    <w:link w:val="a4"/>
    <w:uiPriority w:val="99"/>
    <w:rsid w:val="00BE29C3"/>
    <w:rPr>
      <w:sz w:val="18"/>
      <w:szCs w:val="18"/>
    </w:rPr>
  </w:style>
  <w:style w:type="paragraph" w:styleId="a5">
    <w:name w:val="List Paragraph"/>
    <w:basedOn w:val="a"/>
    <w:uiPriority w:val="34"/>
    <w:qFormat/>
    <w:rsid w:val="00BE29C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1253</Words>
  <Characters>7146</Characters>
  <Application>Microsoft Office Word</Application>
  <DocSecurity>0</DocSecurity>
  <Lines>59</Lines>
  <Paragraphs>16</Paragraphs>
  <ScaleCrop>false</ScaleCrop>
  <Company/>
  <LinksUpToDate>false</LinksUpToDate>
  <CharactersWithSpaces>8383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WangQuan</dc:creator>
  <cp:keywords/>
  <dc:description/>
  <cp:lastModifiedBy>WangQuan</cp:lastModifiedBy>
  <cp:revision>5</cp:revision>
  <dcterms:created xsi:type="dcterms:W3CDTF">2020-04-23T08:59:00Z</dcterms:created>
  <dcterms:modified xsi:type="dcterms:W3CDTF">2020-05-29T16:41:00Z</dcterms:modified>
</cp:coreProperties>
</file>