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41E7" w:rsidRPr="009607F1" w:rsidRDefault="00E341E7" w:rsidP="00E341E7">
      <w:pPr>
        <w:rPr>
          <w:rFonts w:ascii="Times New Roman" w:hAnsi="Times New Roman" w:cs="Times New Roman"/>
          <w:b/>
          <w:sz w:val="24"/>
          <w:szCs w:val="24"/>
        </w:rPr>
      </w:pPr>
      <w:r w:rsidRPr="009607F1">
        <w:rPr>
          <w:rFonts w:ascii="Times New Roman" w:hAnsi="Times New Roman" w:cs="Times New Roman"/>
          <w:b/>
          <w:sz w:val="24"/>
          <w:szCs w:val="24"/>
        </w:rPr>
        <w:t>Legend</w:t>
      </w:r>
      <w:r w:rsidR="00B71FBF" w:rsidRPr="009607F1">
        <w:rPr>
          <w:rFonts w:ascii="Times New Roman" w:hAnsi="Times New Roman" w:cs="Times New Roman"/>
          <w:b/>
          <w:sz w:val="24"/>
          <w:szCs w:val="24"/>
        </w:rPr>
        <w:t>s</w:t>
      </w:r>
      <w:r w:rsidR="009607F1" w:rsidRPr="009607F1">
        <w:rPr>
          <w:rFonts w:ascii="Times New Roman" w:hAnsi="Times New Roman" w:cs="Times New Roman"/>
          <w:b/>
          <w:sz w:val="24"/>
          <w:szCs w:val="24"/>
        </w:rPr>
        <w:t xml:space="preserve"> of Supplementary Table &amp; Figures Supplementary 1 to 8 </w:t>
      </w:r>
    </w:p>
    <w:p w:rsidR="0094454C" w:rsidRDefault="0094454C" w:rsidP="0094454C">
      <w:pPr>
        <w:rPr>
          <w:rFonts w:ascii="Times New Roman" w:hAnsi="Times New Roman" w:cs="Times New Roman"/>
          <w:sz w:val="18"/>
          <w:szCs w:val="18"/>
          <w:highlight w:val="yellow"/>
        </w:rPr>
      </w:pPr>
      <w:bookmarkStart w:id="0" w:name="OLE_LINK14"/>
      <w:bookmarkStart w:id="1" w:name="OLE_LINK15"/>
    </w:p>
    <w:p w:rsidR="006B2B89" w:rsidRDefault="006B2B89" w:rsidP="006B2B8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6B2B89">
        <w:rPr>
          <w:rFonts w:ascii="Times New Roman" w:hAnsi="Times New Roman" w:cs="Times New Roman"/>
          <w:b/>
          <w:sz w:val="24"/>
          <w:szCs w:val="24"/>
          <w:highlight w:val="green"/>
        </w:rPr>
        <w:t>Supplementary Table 1</w:t>
      </w:r>
      <w:r w:rsidRPr="006B2B89">
        <w:rPr>
          <w:rFonts w:ascii="Times New Roman" w:hAnsi="Times New Roman" w:cs="Times New Roman"/>
          <w:sz w:val="24"/>
          <w:szCs w:val="24"/>
          <w:highlight w:val="green"/>
        </w:rPr>
        <w:t xml:space="preserve"> </w:t>
      </w:r>
      <w:r w:rsidRPr="006B2B89">
        <w:rPr>
          <w:rFonts w:ascii="Times New Roman" w:hAnsi="Times New Roman" w:cs="Times New Roman"/>
          <w:b/>
          <w:sz w:val="24"/>
          <w:szCs w:val="24"/>
          <w:highlight w:val="green"/>
        </w:rPr>
        <w:t>(</w:t>
      </w:r>
      <w:r w:rsidRPr="006B2B89">
        <w:rPr>
          <w:rFonts w:ascii="Times New Roman" w:hAnsi="Times New Roman" w:cs="Times New Roman"/>
          <w:b/>
          <w:szCs w:val="21"/>
          <w:highlight w:val="green"/>
        </w:rPr>
        <w:t>Table S1</w:t>
      </w:r>
      <w:r w:rsidRPr="006B2B89">
        <w:rPr>
          <w:rFonts w:ascii="Times New Roman" w:hAnsi="Times New Roman" w:cs="Times New Roman"/>
          <w:b/>
          <w:sz w:val="24"/>
          <w:szCs w:val="24"/>
          <w:highlight w:val="green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Maker genes for cell types and subsets</w:t>
      </w:r>
    </w:p>
    <w:p w:rsidR="006B2B89" w:rsidRPr="006B2B89" w:rsidRDefault="006B2B89" w:rsidP="0094454C">
      <w:pPr>
        <w:rPr>
          <w:rFonts w:ascii="Times New Roman" w:hAnsi="Times New Roman" w:cs="Times New Roman"/>
          <w:sz w:val="18"/>
          <w:szCs w:val="18"/>
          <w:highlight w:val="yellow"/>
        </w:rPr>
      </w:pPr>
    </w:p>
    <w:bookmarkEnd w:id="0"/>
    <w:bookmarkEnd w:id="1"/>
    <w:p w:rsidR="00B71FBF" w:rsidRPr="0094454C" w:rsidRDefault="00B71FBF" w:rsidP="00E341E7">
      <w:pPr>
        <w:rPr>
          <w:rFonts w:ascii="Times New Roman" w:hAnsi="Times New Roman" w:cs="Times New Roman"/>
          <w:sz w:val="24"/>
          <w:szCs w:val="24"/>
        </w:rPr>
      </w:pPr>
    </w:p>
    <w:p w:rsidR="00B71FBF" w:rsidRDefault="00B71FBF" w:rsidP="00E341E7">
      <w:pPr>
        <w:rPr>
          <w:rFonts w:ascii="Times New Roman" w:hAnsi="Times New Roman" w:cs="Times New Roman"/>
          <w:sz w:val="24"/>
          <w:szCs w:val="24"/>
        </w:rPr>
      </w:pPr>
      <w:r w:rsidRPr="00455B85">
        <w:rPr>
          <w:rFonts w:ascii="Times New Roman" w:hAnsi="Times New Roman" w:cs="Times New Roman"/>
          <w:b/>
          <w:sz w:val="24"/>
          <w:szCs w:val="24"/>
          <w:highlight w:val="green"/>
        </w:rPr>
        <w:t>Supplementary Fig.</w:t>
      </w:r>
      <w:r w:rsidR="006974B1" w:rsidRPr="00455B85">
        <w:rPr>
          <w:rFonts w:ascii="Times New Roman" w:hAnsi="Times New Roman" w:cs="Times New Roman"/>
          <w:b/>
          <w:sz w:val="24"/>
          <w:szCs w:val="24"/>
          <w:highlight w:val="green"/>
        </w:rPr>
        <w:t>1</w:t>
      </w:r>
      <w:r w:rsidR="00455B85"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="00455B85" w:rsidRPr="00FD0606">
        <w:rPr>
          <w:rFonts w:ascii="Times New Roman" w:hAnsi="Times New Roman" w:cs="Times New Roman"/>
          <w:b/>
          <w:szCs w:val="21"/>
          <w:highlight w:val="green"/>
        </w:rPr>
        <w:t xml:space="preserve">Fig. </w:t>
      </w:r>
      <w:r w:rsidR="00455B85">
        <w:rPr>
          <w:rFonts w:ascii="Times New Roman" w:hAnsi="Times New Roman" w:cs="Times New Roman"/>
          <w:b/>
          <w:szCs w:val="21"/>
          <w:highlight w:val="green"/>
        </w:rPr>
        <w:t>S</w:t>
      </w:r>
      <w:r w:rsidR="00455B85" w:rsidRPr="00FD0606">
        <w:rPr>
          <w:rFonts w:ascii="Times New Roman" w:hAnsi="Times New Roman" w:cs="Times New Roman"/>
          <w:b/>
          <w:szCs w:val="21"/>
          <w:highlight w:val="green"/>
        </w:rPr>
        <w:t>1</w:t>
      </w:r>
      <w:r w:rsidR="00455B85">
        <w:rPr>
          <w:rFonts w:ascii="Times New Roman" w:hAnsi="Times New Roman" w:cs="Times New Roman"/>
          <w:b/>
          <w:sz w:val="24"/>
          <w:szCs w:val="24"/>
        </w:rPr>
        <w:t>)</w:t>
      </w:r>
      <w:r w:rsidR="006974B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974B1" w:rsidRPr="006974B1">
        <w:rPr>
          <w:rFonts w:ascii="Times New Roman" w:hAnsi="Times New Roman" w:cs="Times New Roman"/>
          <w:sz w:val="24"/>
          <w:szCs w:val="24"/>
        </w:rPr>
        <w:t>Tumor</w:t>
      </w:r>
      <w:r w:rsidR="006974B1">
        <w:rPr>
          <w:rFonts w:ascii="Times New Roman" w:hAnsi="Times New Roman" w:cs="Times New Roman"/>
          <w:sz w:val="24"/>
          <w:szCs w:val="24"/>
        </w:rPr>
        <w:t>ous-</w:t>
      </w:r>
      <w:r w:rsidR="006974B1" w:rsidRPr="006974B1">
        <w:rPr>
          <w:rFonts w:ascii="Times New Roman" w:hAnsi="Times New Roman" w:cs="Times New Roman"/>
          <w:sz w:val="24"/>
          <w:szCs w:val="24"/>
        </w:rPr>
        <w:t xml:space="preserve"> and non-malignant colon tissue sample</w:t>
      </w:r>
      <w:r w:rsidR="006974B1">
        <w:rPr>
          <w:rFonts w:ascii="Times New Roman" w:hAnsi="Times New Roman" w:cs="Times New Roman"/>
          <w:sz w:val="24"/>
          <w:szCs w:val="24"/>
        </w:rPr>
        <w:t xml:space="preserve"> in the specimen.</w:t>
      </w:r>
      <w:r w:rsidR="006974B1" w:rsidRPr="006974B1">
        <w:rPr>
          <w:rFonts w:ascii="Times New Roman" w:hAnsi="Times New Roman" w:cs="Times New Roman"/>
          <w:sz w:val="24"/>
          <w:szCs w:val="24"/>
        </w:rPr>
        <w:t xml:space="preserve"> </w:t>
      </w:r>
      <w:r w:rsidR="006974B1">
        <w:rPr>
          <w:rFonts w:ascii="Times New Roman" w:hAnsi="Times New Roman" w:cs="Times New Roman"/>
          <w:sz w:val="24"/>
          <w:szCs w:val="24"/>
        </w:rPr>
        <w:t>The distance between two samples</w:t>
      </w:r>
      <w:r w:rsidR="006974B1" w:rsidRPr="006974B1">
        <w:rPr>
          <w:rFonts w:ascii="Times New Roman" w:hAnsi="Times New Roman" w:cs="Times New Roman"/>
          <w:sz w:val="24"/>
          <w:szCs w:val="24"/>
        </w:rPr>
        <w:t xml:space="preserve"> was at least 5 cm away</w:t>
      </w:r>
      <w:r w:rsidR="006974B1">
        <w:rPr>
          <w:rFonts w:ascii="Times New Roman" w:hAnsi="Times New Roman" w:cs="Times New Roman"/>
          <w:sz w:val="24"/>
          <w:szCs w:val="24"/>
        </w:rPr>
        <w:t>.</w:t>
      </w:r>
    </w:p>
    <w:p w:rsidR="00455B85" w:rsidRDefault="00455B85" w:rsidP="00E341E7">
      <w:pPr>
        <w:rPr>
          <w:rFonts w:ascii="Times New Roman" w:hAnsi="Times New Roman" w:cs="Times New Roman"/>
          <w:sz w:val="24"/>
          <w:szCs w:val="24"/>
        </w:rPr>
      </w:pPr>
    </w:p>
    <w:p w:rsidR="00455B85" w:rsidRPr="006B2B89" w:rsidRDefault="00455B85" w:rsidP="00455B85">
      <w:pPr>
        <w:rPr>
          <w:rFonts w:ascii="Times New Roman" w:hAnsi="Times New Roman" w:cs="Times New Roman"/>
          <w:szCs w:val="21"/>
        </w:rPr>
      </w:pPr>
      <w:r w:rsidRPr="00455B85">
        <w:rPr>
          <w:rFonts w:ascii="Times New Roman" w:hAnsi="Times New Roman" w:cs="Times New Roman"/>
          <w:b/>
          <w:sz w:val="24"/>
          <w:szCs w:val="24"/>
          <w:highlight w:val="green"/>
        </w:rPr>
        <w:t>Supplementary Fig.2</w:t>
      </w:r>
      <w:r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Pr="00455B85">
        <w:rPr>
          <w:rFonts w:ascii="Times New Roman" w:hAnsi="Times New Roman" w:cs="Times New Roman"/>
          <w:b/>
          <w:szCs w:val="21"/>
          <w:highlight w:val="green"/>
        </w:rPr>
        <w:t>Fig. S2</w:t>
      </w:r>
      <w:r>
        <w:rPr>
          <w:rFonts w:ascii="Times New Roman" w:hAnsi="Times New Roman" w:cs="Times New Roman"/>
          <w:b/>
          <w:sz w:val="24"/>
          <w:szCs w:val="24"/>
        </w:rPr>
        <w:t xml:space="preserve">)  </w:t>
      </w:r>
      <w:r w:rsidRPr="00455B85">
        <w:rPr>
          <w:rFonts w:ascii="Times New Roman" w:hAnsi="Times New Roman" w:cs="Times New Roman"/>
          <w:b/>
          <w:sz w:val="24"/>
          <w:szCs w:val="24"/>
        </w:rPr>
        <w:t>scRNA-seq and cell typing of non-malignant and CAC tissue</w:t>
      </w:r>
      <w:r w:rsidR="006B2B89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6B2B89">
        <w:rPr>
          <w:rFonts w:ascii="Times New Roman" w:hAnsi="Times New Roman" w:cs="Times New Roman"/>
          <w:szCs w:val="21"/>
        </w:rPr>
        <w:t>A). Overview of the study design. Fresh tumor and non-malignant tissues were taken from a 43-year-old Chinese female patient with colon adenocarcinoma classified as pT3N1M0, and this patient had been diagnosed with UC for 8 years; B). tSNE of the 4,777 cells profiled here, color-coded by (left to right) sample type of origin (tumor or non-malignant tissue), the corresponding patient, the associated cell type and the number of transcripts (UMIs) detected in that cell (log scale as defined in the inset); C). Expression of marker genes for the cell types defined above each panel. In addition to cancer cells, we identified myeloid cells, T and B cells, fibroblasts, endothelial cells and epithelial cells; D). For each of the cell subclusters (left to right): the fraction of original cells, and the number of cells.</w:t>
      </w:r>
    </w:p>
    <w:p w:rsidR="00B71FBF" w:rsidRDefault="00B71FBF" w:rsidP="00E341E7">
      <w:pPr>
        <w:rPr>
          <w:rFonts w:ascii="Times New Roman" w:hAnsi="Times New Roman" w:cs="Times New Roman"/>
          <w:sz w:val="24"/>
          <w:szCs w:val="24"/>
        </w:rPr>
      </w:pPr>
    </w:p>
    <w:p w:rsidR="00E341E7" w:rsidRDefault="00E341E7" w:rsidP="00E341E7">
      <w:pPr>
        <w:widowControl/>
        <w:jc w:val="left"/>
        <w:rPr>
          <w:rFonts w:ascii="TimesNewRomanPSMT" w:hAnsi="TimesNewRomanPSMT" w:hint="eastAsia"/>
          <w:color w:val="000000"/>
          <w:sz w:val="24"/>
          <w:szCs w:val="24"/>
        </w:rPr>
      </w:pPr>
      <w:r w:rsidRPr="00DA421E">
        <w:rPr>
          <w:rFonts w:ascii="Times New Roman" w:hAnsi="Times New Roman" w:cs="Times New Roman"/>
          <w:b/>
          <w:sz w:val="24"/>
          <w:szCs w:val="24"/>
          <w:highlight w:val="green"/>
        </w:rPr>
        <w:t>Supplementary Fig.</w:t>
      </w:r>
      <w:r w:rsidR="00DA421E" w:rsidRPr="00DA421E">
        <w:rPr>
          <w:rFonts w:ascii="Times New Roman" w:hAnsi="Times New Roman" w:cs="Times New Roman"/>
          <w:b/>
          <w:sz w:val="24"/>
          <w:szCs w:val="24"/>
          <w:highlight w:val="green"/>
        </w:rPr>
        <w:t>3</w:t>
      </w:r>
      <w:r w:rsidRPr="00DA421E">
        <w:rPr>
          <w:rFonts w:ascii="Times New Roman" w:hAnsi="Times New Roman" w:cs="Times New Roman"/>
          <w:sz w:val="24"/>
          <w:szCs w:val="24"/>
          <w:highlight w:val="green"/>
        </w:rPr>
        <w:t xml:space="preserve"> </w:t>
      </w:r>
      <w:bookmarkStart w:id="2" w:name="OLE_LINK25"/>
      <w:r w:rsidR="00DA421E" w:rsidRPr="00DA421E">
        <w:rPr>
          <w:rFonts w:ascii="Times New Roman" w:hAnsi="Times New Roman" w:cs="Times New Roman"/>
          <w:b/>
          <w:sz w:val="24"/>
          <w:szCs w:val="24"/>
          <w:highlight w:val="green"/>
        </w:rPr>
        <w:t>(</w:t>
      </w:r>
      <w:r w:rsidR="00DA421E" w:rsidRPr="00DA421E">
        <w:rPr>
          <w:rFonts w:ascii="Times New Roman" w:hAnsi="Times New Roman" w:cs="Times New Roman"/>
          <w:b/>
          <w:szCs w:val="21"/>
          <w:highlight w:val="green"/>
        </w:rPr>
        <w:t>Fig. S3</w:t>
      </w:r>
      <w:r w:rsidR="00DA421E">
        <w:rPr>
          <w:rFonts w:ascii="Times New Roman" w:hAnsi="Times New Roman" w:cs="Times New Roman"/>
          <w:b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SCENIC analysis of</w:t>
      </w:r>
      <w:r w:rsidR="00087B63">
        <w:rPr>
          <w:rFonts w:ascii="Times New Roman" w:hAnsi="Times New Roman" w:cs="Times New Roman"/>
          <w:sz w:val="24"/>
          <w:szCs w:val="24"/>
        </w:rPr>
        <w:t xml:space="preserve"> transcription factors involved </w:t>
      </w:r>
      <w:r>
        <w:rPr>
          <w:rFonts w:ascii="Times New Roman" w:hAnsi="Times New Roman" w:cs="Times New Roman"/>
          <w:sz w:val="24"/>
          <w:szCs w:val="24"/>
        </w:rPr>
        <w:t xml:space="preserve">among the </w:t>
      </w:r>
      <w:r w:rsidR="00325338" w:rsidRPr="00325338">
        <w:rPr>
          <w:rFonts w:ascii="Times New Roman" w:hAnsi="Times New Roman" w:cs="Times New Roman"/>
          <w:sz w:val="24"/>
          <w:szCs w:val="24"/>
        </w:rPr>
        <w:t>fibroblasts</w:t>
      </w:r>
      <w:r>
        <w:rPr>
          <w:rFonts w:ascii="Times New Roman" w:hAnsi="Times New Roman" w:cs="Times New Roman"/>
          <w:sz w:val="24"/>
          <w:szCs w:val="24"/>
        </w:rPr>
        <w:t xml:space="preserve"> clusters, and </w:t>
      </w:r>
      <w:r w:rsidRPr="002771C7">
        <w:rPr>
          <w:rFonts w:ascii="TimesNewRomanPSMT" w:hAnsi="TimesNewRomanPSMT"/>
          <w:color w:val="000000"/>
          <w:sz w:val="24"/>
          <w:szCs w:val="24"/>
        </w:rPr>
        <w:t>showed that K</w:t>
      </w:r>
      <w:r w:rsidR="00937A91">
        <w:rPr>
          <w:rFonts w:ascii="TimesNewRomanPSMT" w:hAnsi="TimesNewRomanPSMT"/>
          <w:color w:val="000000"/>
          <w:sz w:val="24"/>
          <w:szCs w:val="24"/>
        </w:rPr>
        <w:t>L</w:t>
      </w:r>
      <w:r w:rsidRPr="002771C7">
        <w:rPr>
          <w:rFonts w:ascii="TimesNewRomanPSMT" w:hAnsi="TimesNewRomanPSMT"/>
          <w:color w:val="000000"/>
          <w:sz w:val="24"/>
          <w:szCs w:val="24"/>
        </w:rPr>
        <w:t>F12, which</w:t>
      </w:r>
      <w:r>
        <w:rPr>
          <w:rFonts w:ascii="TimesNewRomanPSMT" w:hAnsi="TimesNewRomanPSMT"/>
          <w:color w:val="000000"/>
        </w:rPr>
        <w:t xml:space="preserve"> </w:t>
      </w:r>
      <w:r w:rsidRPr="002771C7">
        <w:rPr>
          <w:rFonts w:ascii="TimesNewRomanPSMT" w:hAnsi="TimesNewRomanPSMT"/>
          <w:color w:val="000000"/>
          <w:sz w:val="24"/>
          <w:szCs w:val="24"/>
        </w:rPr>
        <w:t>promotes CRC growth, was highly expressed in cluster 1</w:t>
      </w:r>
    </w:p>
    <w:p w:rsidR="00B71FBF" w:rsidRPr="00325338" w:rsidRDefault="00B71FBF" w:rsidP="00E341E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E341E7" w:rsidRDefault="00E341E7" w:rsidP="00E341E7">
      <w:pPr>
        <w:widowControl/>
        <w:jc w:val="left"/>
        <w:rPr>
          <w:rFonts w:ascii="TimesNewRomanPSMT" w:hAnsi="TimesNewRomanPSMT" w:hint="eastAsia"/>
          <w:color w:val="000000"/>
          <w:sz w:val="24"/>
          <w:szCs w:val="24"/>
        </w:rPr>
      </w:pPr>
      <w:bookmarkStart w:id="3" w:name="OLE_LINK26"/>
      <w:bookmarkStart w:id="4" w:name="OLE_LINK27"/>
      <w:bookmarkEnd w:id="2"/>
      <w:r w:rsidRPr="00DA421E">
        <w:rPr>
          <w:rFonts w:ascii="Times New Roman" w:hAnsi="Times New Roman" w:cs="Times New Roman"/>
          <w:b/>
          <w:sz w:val="24"/>
          <w:szCs w:val="24"/>
          <w:highlight w:val="green"/>
        </w:rPr>
        <w:t>Supplementary Fig.</w:t>
      </w:r>
      <w:r w:rsidR="00DA421E" w:rsidRPr="00DA421E">
        <w:rPr>
          <w:rFonts w:ascii="Times New Roman" w:hAnsi="Times New Roman" w:cs="Times New Roman"/>
          <w:b/>
          <w:sz w:val="24"/>
          <w:szCs w:val="24"/>
          <w:highlight w:val="green"/>
        </w:rPr>
        <w:t>4</w:t>
      </w:r>
      <w:r w:rsidRPr="00DA421E">
        <w:rPr>
          <w:rFonts w:ascii="Times New Roman" w:hAnsi="Times New Roman" w:cs="Times New Roman"/>
          <w:sz w:val="24"/>
          <w:szCs w:val="24"/>
          <w:highlight w:val="green"/>
        </w:rPr>
        <w:t xml:space="preserve"> </w:t>
      </w:r>
      <w:r w:rsidR="00DA421E" w:rsidRPr="00DA421E">
        <w:rPr>
          <w:rFonts w:ascii="Times New Roman" w:hAnsi="Times New Roman" w:cs="Times New Roman"/>
          <w:b/>
          <w:sz w:val="24"/>
          <w:szCs w:val="24"/>
          <w:highlight w:val="green"/>
        </w:rPr>
        <w:t>(</w:t>
      </w:r>
      <w:r w:rsidR="00DA421E" w:rsidRPr="00DA421E">
        <w:rPr>
          <w:rFonts w:ascii="Times New Roman" w:hAnsi="Times New Roman" w:cs="Times New Roman"/>
          <w:b/>
          <w:szCs w:val="21"/>
          <w:highlight w:val="green"/>
        </w:rPr>
        <w:t>Fig. S4</w:t>
      </w:r>
      <w:r w:rsidR="00DA421E" w:rsidRPr="00DA421E">
        <w:rPr>
          <w:rFonts w:ascii="Times New Roman" w:hAnsi="Times New Roman" w:cs="Times New Roman"/>
          <w:b/>
          <w:sz w:val="24"/>
          <w:szCs w:val="24"/>
          <w:highlight w:val="green"/>
        </w:rPr>
        <w:t>)</w:t>
      </w:r>
      <w:r w:rsidR="00DA421E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SCENIC analysis of transcription factors involved among B cell clusters, and </w:t>
      </w:r>
      <w:r w:rsidRPr="001D0D5A">
        <w:rPr>
          <w:rFonts w:ascii="TimesNewRomanPSMT" w:hAnsi="TimesNewRomanPSMT"/>
          <w:color w:val="000000"/>
          <w:sz w:val="24"/>
          <w:szCs w:val="24"/>
        </w:rPr>
        <w:t>SCENIC analysis failed to identify differences between nonmalignant tissue-derived</w:t>
      </w:r>
      <w:r>
        <w:rPr>
          <w:rFonts w:ascii="TimesNewRomanPSMT" w:hAnsi="TimesNewRomanPSMT"/>
          <w:color w:val="000000"/>
        </w:rPr>
        <w:t xml:space="preserve"> </w:t>
      </w:r>
      <w:r w:rsidRPr="001D0D5A">
        <w:rPr>
          <w:rFonts w:ascii="TimesNewRomanPSMT" w:hAnsi="TimesNewRomanPSMT"/>
          <w:color w:val="000000"/>
          <w:sz w:val="24"/>
          <w:szCs w:val="24"/>
        </w:rPr>
        <w:t>and tumor-derived plasma cells</w:t>
      </w:r>
    </w:p>
    <w:p w:rsidR="00B71FBF" w:rsidRDefault="00B71FBF" w:rsidP="00E341E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E341E7" w:rsidRDefault="00E341E7" w:rsidP="00E341E7">
      <w:pPr>
        <w:widowControl/>
        <w:jc w:val="left"/>
        <w:rPr>
          <w:rFonts w:ascii="TimesNewRomanPSMT" w:hAnsi="TimesNewRomanPSMT" w:hint="eastAsia"/>
          <w:color w:val="000000"/>
          <w:sz w:val="24"/>
          <w:szCs w:val="24"/>
        </w:rPr>
      </w:pPr>
      <w:bookmarkStart w:id="5" w:name="OLE_LINK28"/>
      <w:bookmarkStart w:id="6" w:name="OLE_LINK29"/>
      <w:bookmarkEnd w:id="3"/>
      <w:bookmarkEnd w:id="4"/>
      <w:r w:rsidRPr="00DA421E">
        <w:rPr>
          <w:rFonts w:ascii="Times New Roman" w:hAnsi="Times New Roman" w:cs="Times New Roman"/>
          <w:b/>
          <w:sz w:val="24"/>
          <w:szCs w:val="24"/>
          <w:highlight w:val="green"/>
        </w:rPr>
        <w:t>Supplementary Fig.</w:t>
      </w:r>
      <w:r w:rsidR="00DA421E" w:rsidRPr="00DA421E">
        <w:rPr>
          <w:rFonts w:ascii="Times New Roman" w:hAnsi="Times New Roman" w:cs="Times New Roman"/>
          <w:b/>
          <w:sz w:val="24"/>
          <w:szCs w:val="24"/>
          <w:highlight w:val="green"/>
        </w:rPr>
        <w:t>5</w:t>
      </w:r>
      <w:r w:rsidRPr="00DA421E">
        <w:rPr>
          <w:rFonts w:ascii="Times New Roman" w:hAnsi="Times New Roman" w:cs="Times New Roman"/>
          <w:sz w:val="24"/>
          <w:szCs w:val="24"/>
          <w:highlight w:val="green"/>
        </w:rPr>
        <w:t xml:space="preserve"> </w:t>
      </w:r>
      <w:r w:rsidR="00DA421E" w:rsidRPr="00DA421E">
        <w:rPr>
          <w:rFonts w:ascii="Times New Roman" w:hAnsi="Times New Roman" w:cs="Times New Roman"/>
          <w:b/>
          <w:sz w:val="24"/>
          <w:szCs w:val="24"/>
          <w:highlight w:val="green"/>
        </w:rPr>
        <w:t>(</w:t>
      </w:r>
      <w:r w:rsidR="00DA421E" w:rsidRPr="00DA421E">
        <w:rPr>
          <w:rFonts w:ascii="Times New Roman" w:hAnsi="Times New Roman" w:cs="Times New Roman"/>
          <w:b/>
          <w:szCs w:val="21"/>
          <w:highlight w:val="green"/>
        </w:rPr>
        <w:t>Fig. S5</w:t>
      </w:r>
      <w:r w:rsidR="00DA421E" w:rsidRPr="00DA421E">
        <w:rPr>
          <w:rFonts w:ascii="Times New Roman" w:hAnsi="Times New Roman" w:cs="Times New Roman"/>
          <w:b/>
          <w:sz w:val="24"/>
          <w:szCs w:val="24"/>
          <w:highlight w:val="green"/>
        </w:rPr>
        <w:t>)</w:t>
      </w:r>
      <w:r w:rsidR="00DA421E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SCENIC analysis of transcription factors involved among myeloid cell clusters.</w:t>
      </w:r>
      <w:r w:rsidRPr="001D0D5A">
        <w:t xml:space="preserve"> </w:t>
      </w:r>
      <w:r w:rsidRPr="001D0D5A">
        <w:rPr>
          <w:rFonts w:ascii="TimesNewRomanPSMT" w:hAnsi="TimesNewRomanPSMT"/>
          <w:color w:val="000000"/>
          <w:sz w:val="24"/>
          <w:szCs w:val="24"/>
        </w:rPr>
        <w:t>The cell numbers of macrophages and monocytes displayed extensive heterogeneity</w:t>
      </w:r>
      <w:r>
        <w:rPr>
          <w:rFonts w:ascii="TimesNewRomanPSMT" w:hAnsi="TimesNewRomanPSMT"/>
          <w:color w:val="000000"/>
        </w:rPr>
        <w:t xml:space="preserve"> </w:t>
      </w:r>
      <w:r w:rsidRPr="001D0D5A">
        <w:rPr>
          <w:rFonts w:ascii="TimesNewRomanPSMT" w:hAnsi="TimesNewRomanPSMT"/>
          <w:color w:val="000000"/>
          <w:sz w:val="24"/>
          <w:szCs w:val="24"/>
        </w:rPr>
        <w:t>in tumors compared with those in non-malignant tissues, but SCENIC analysis showed</w:t>
      </w:r>
      <w:r>
        <w:rPr>
          <w:rFonts w:ascii="TimesNewRomanPSMT" w:hAnsi="TimesNewRomanPSMT"/>
          <w:color w:val="000000"/>
        </w:rPr>
        <w:t xml:space="preserve"> </w:t>
      </w:r>
      <w:r w:rsidRPr="001D0D5A">
        <w:rPr>
          <w:rFonts w:ascii="TimesNewRomanPSMT" w:hAnsi="TimesNewRomanPSMT"/>
          <w:color w:val="000000"/>
          <w:sz w:val="24"/>
          <w:szCs w:val="24"/>
        </w:rPr>
        <w:t>no significance among the different derived cells</w:t>
      </w:r>
      <w:r>
        <w:rPr>
          <w:rFonts w:ascii="TimesNewRomanPSMT" w:hAnsi="TimesNewRomanPSMT"/>
          <w:color w:val="000000"/>
          <w:sz w:val="24"/>
          <w:szCs w:val="24"/>
        </w:rPr>
        <w:t>.</w:t>
      </w:r>
    </w:p>
    <w:p w:rsidR="00B71FBF" w:rsidRDefault="00B71FBF" w:rsidP="00E341E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E341E7" w:rsidRDefault="00E341E7" w:rsidP="00E341E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bookmarkStart w:id="7" w:name="OLE_LINK30"/>
      <w:bookmarkStart w:id="8" w:name="OLE_LINK31"/>
      <w:bookmarkEnd w:id="5"/>
      <w:bookmarkEnd w:id="6"/>
      <w:r w:rsidRPr="007E0B55">
        <w:rPr>
          <w:rFonts w:ascii="Times New Roman" w:hAnsi="Times New Roman" w:cs="Times New Roman"/>
          <w:b/>
          <w:sz w:val="24"/>
          <w:szCs w:val="24"/>
          <w:highlight w:val="green"/>
        </w:rPr>
        <w:t>Supplementary Fig.</w:t>
      </w:r>
      <w:r w:rsidR="007E0B55" w:rsidRPr="007E0B55">
        <w:rPr>
          <w:rFonts w:ascii="Times New Roman" w:hAnsi="Times New Roman" w:cs="Times New Roman"/>
          <w:b/>
          <w:sz w:val="24"/>
          <w:szCs w:val="24"/>
          <w:highlight w:val="green"/>
        </w:rPr>
        <w:t>6 (</w:t>
      </w:r>
      <w:r w:rsidR="007E0B55" w:rsidRPr="007E0B55">
        <w:rPr>
          <w:rFonts w:ascii="Times New Roman" w:hAnsi="Times New Roman" w:cs="Times New Roman"/>
          <w:b/>
          <w:szCs w:val="21"/>
          <w:highlight w:val="green"/>
        </w:rPr>
        <w:t>Fig. S6</w:t>
      </w:r>
      <w:r w:rsidR="007E0B55" w:rsidRPr="007E0B55">
        <w:rPr>
          <w:rFonts w:ascii="Times New Roman" w:hAnsi="Times New Roman" w:cs="Times New Roman"/>
          <w:b/>
          <w:sz w:val="24"/>
          <w:szCs w:val="24"/>
          <w:highlight w:val="green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SCENIC analysis of transcription factors involved among the epithelial clusters.</w:t>
      </w:r>
      <w:r w:rsidRPr="00992AFC">
        <w:t xml:space="preserve"> </w:t>
      </w:r>
      <w:r>
        <w:rPr>
          <w:rFonts w:ascii="TimesNewRomanPSMT" w:hAnsi="TimesNewRomanPSMT"/>
          <w:color w:val="000000"/>
          <w:sz w:val="24"/>
          <w:szCs w:val="24"/>
        </w:rPr>
        <w:t>T</w:t>
      </w:r>
      <w:r w:rsidRPr="00992AFC">
        <w:rPr>
          <w:rFonts w:ascii="TimesNewRomanPSMT" w:hAnsi="TimesNewRomanPSMT"/>
          <w:color w:val="000000"/>
          <w:sz w:val="24"/>
          <w:szCs w:val="24"/>
        </w:rPr>
        <w:t>he transcription factors CDX2 and</w:t>
      </w:r>
      <w:r>
        <w:rPr>
          <w:rFonts w:ascii="TimesNewRomanPSMT" w:hAnsi="TimesNewRomanPSMT"/>
          <w:color w:val="000000"/>
        </w:rPr>
        <w:t xml:space="preserve"> </w:t>
      </w:r>
      <w:r w:rsidRPr="00992AFC">
        <w:rPr>
          <w:rFonts w:ascii="TimesNewRomanPSMT" w:hAnsi="TimesNewRomanPSMT"/>
          <w:color w:val="000000"/>
          <w:sz w:val="24"/>
          <w:szCs w:val="24"/>
        </w:rPr>
        <w:t>STAT3 were significantly upregulated in cluster 1, but showed almost no expression in</w:t>
      </w:r>
      <w:r>
        <w:rPr>
          <w:rFonts w:ascii="TimesNewRomanPSMT" w:hAnsi="TimesNewRomanPSMT"/>
          <w:color w:val="000000"/>
        </w:rPr>
        <w:t xml:space="preserve"> </w:t>
      </w:r>
      <w:r w:rsidRPr="00992AFC">
        <w:rPr>
          <w:rFonts w:ascii="TimesNewRomanPSMT" w:hAnsi="TimesNewRomanPSMT"/>
          <w:color w:val="000000"/>
          <w:sz w:val="24"/>
          <w:szCs w:val="24"/>
        </w:rPr>
        <w:t>other clusters besides cluster 3</w:t>
      </w:r>
      <w:r>
        <w:rPr>
          <w:rFonts w:ascii="TimesNewRomanPSMT" w:hAnsi="TimesNewRomanPSMT"/>
          <w:color w:val="000000"/>
          <w:sz w:val="24"/>
          <w:szCs w:val="24"/>
        </w:rPr>
        <w:t>.</w:t>
      </w:r>
    </w:p>
    <w:bookmarkEnd w:id="7"/>
    <w:bookmarkEnd w:id="8"/>
    <w:p w:rsidR="00E341E7" w:rsidRDefault="00E341E7" w:rsidP="00E341E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94454C" w:rsidRPr="00244BD7" w:rsidRDefault="00244BD7" w:rsidP="0094454C">
      <w:pPr>
        <w:rPr>
          <w:rFonts w:ascii="Times New Roman" w:hAnsi="Times New Roman" w:cs="Times New Roman"/>
          <w:color w:val="000000"/>
          <w:szCs w:val="21"/>
        </w:rPr>
      </w:pPr>
      <w:r w:rsidRPr="007E0B55">
        <w:rPr>
          <w:rFonts w:ascii="Times New Roman" w:hAnsi="Times New Roman" w:cs="Times New Roman"/>
          <w:b/>
          <w:sz w:val="24"/>
          <w:szCs w:val="24"/>
          <w:highlight w:val="green"/>
        </w:rPr>
        <w:t>Supplementary Fig.</w:t>
      </w:r>
      <w:r>
        <w:rPr>
          <w:rFonts w:ascii="Times New Roman" w:hAnsi="Times New Roman" w:cs="Times New Roman"/>
          <w:b/>
          <w:sz w:val="24"/>
          <w:szCs w:val="24"/>
          <w:highlight w:val="green"/>
        </w:rPr>
        <w:t>7</w:t>
      </w:r>
      <w:r w:rsidRPr="007E0B55">
        <w:rPr>
          <w:rFonts w:ascii="Times New Roman" w:hAnsi="Times New Roman" w:cs="Times New Roman"/>
          <w:b/>
          <w:sz w:val="24"/>
          <w:szCs w:val="24"/>
          <w:highlight w:val="green"/>
        </w:rPr>
        <w:t xml:space="preserve"> (</w:t>
      </w:r>
      <w:r w:rsidRPr="007E0B55">
        <w:rPr>
          <w:rFonts w:ascii="Times New Roman" w:hAnsi="Times New Roman" w:cs="Times New Roman"/>
          <w:b/>
          <w:szCs w:val="21"/>
          <w:highlight w:val="green"/>
        </w:rPr>
        <w:t>Fig. S</w:t>
      </w:r>
      <w:r>
        <w:rPr>
          <w:rFonts w:ascii="Times New Roman" w:hAnsi="Times New Roman" w:cs="Times New Roman"/>
          <w:b/>
          <w:szCs w:val="21"/>
          <w:highlight w:val="green"/>
        </w:rPr>
        <w:t>7</w:t>
      </w:r>
      <w:r w:rsidRPr="007E0B55">
        <w:rPr>
          <w:rFonts w:ascii="Times New Roman" w:hAnsi="Times New Roman" w:cs="Times New Roman"/>
          <w:b/>
          <w:sz w:val="24"/>
          <w:szCs w:val="24"/>
          <w:highlight w:val="green"/>
        </w:rPr>
        <w:t>)</w:t>
      </w: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244BD7">
        <w:rPr>
          <w:rFonts w:ascii="Times New Roman" w:hAnsi="Times New Roman" w:cs="Times New Roman"/>
          <w:b/>
          <w:sz w:val="24"/>
          <w:szCs w:val="24"/>
        </w:rPr>
        <w:t>Evolutionary trajectory of disease development and internal variation in crucial genes</w:t>
      </w:r>
      <w:r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94454C" w:rsidRPr="00244BD7">
        <w:rPr>
          <w:rFonts w:ascii="Times New Roman" w:hAnsi="Times New Roman" w:cs="Times New Roman"/>
          <w:b/>
          <w:szCs w:val="21"/>
        </w:rPr>
        <w:t>A</w:t>
      </w:r>
      <w:r w:rsidRPr="00244BD7">
        <w:rPr>
          <w:rFonts w:ascii="Times New Roman" w:hAnsi="Times New Roman" w:cs="Times New Roman"/>
          <w:b/>
          <w:szCs w:val="21"/>
        </w:rPr>
        <w:t>)</w:t>
      </w:r>
      <w:r w:rsidR="0094454C" w:rsidRPr="00244BD7">
        <w:rPr>
          <w:rFonts w:ascii="Times New Roman" w:hAnsi="Times New Roman" w:cs="Times New Roman"/>
          <w:szCs w:val="21"/>
        </w:rPr>
        <w:t xml:space="preserve">. </w:t>
      </w:r>
      <w:r w:rsidR="0094454C" w:rsidRPr="00244BD7">
        <w:rPr>
          <w:rFonts w:ascii="Times New Roman" w:hAnsi="Times New Roman" w:cs="Times New Roman"/>
          <w:color w:val="000000"/>
          <w:szCs w:val="21"/>
        </w:rPr>
        <w:t>Transcriptional similarity-based</w:t>
      </w:r>
      <w:r w:rsidR="0094454C" w:rsidRPr="00244BD7">
        <w:rPr>
          <w:rFonts w:ascii="Times New Roman" w:hAnsi="Times New Roman" w:cs="Times New Roman"/>
          <w:szCs w:val="21"/>
        </w:rPr>
        <w:t xml:space="preserve"> </w:t>
      </w:r>
      <w:r w:rsidR="0094454C" w:rsidRPr="00244BD7">
        <w:rPr>
          <w:rFonts w:ascii="Times New Roman" w:hAnsi="Times New Roman" w:cs="Times New Roman"/>
          <w:color w:val="000000"/>
          <w:szCs w:val="21"/>
        </w:rPr>
        <w:t>pseudotime analysis was used to order epithelial cells and indicated their developmental trajectories</w:t>
      </w:r>
      <w:r w:rsidR="0094454C" w:rsidRPr="00244BD7">
        <w:rPr>
          <w:rFonts w:ascii="Times New Roman" w:hAnsi="Times New Roman" w:cs="Times New Roman"/>
          <w:szCs w:val="21"/>
        </w:rPr>
        <w:t xml:space="preserve"> All the cells from each cluster aggregated into nine states based on pseudotime analysis</w:t>
      </w:r>
      <w:r>
        <w:rPr>
          <w:rFonts w:ascii="Times New Roman" w:hAnsi="Times New Roman" w:cs="Times New Roman"/>
          <w:szCs w:val="21"/>
        </w:rPr>
        <w:t xml:space="preserve">; </w:t>
      </w:r>
      <w:r w:rsidR="0094454C" w:rsidRPr="00244BD7">
        <w:rPr>
          <w:rFonts w:ascii="Times New Roman" w:hAnsi="Times New Roman" w:cs="Times New Roman"/>
          <w:b/>
          <w:szCs w:val="21"/>
        </w:rPr>
        <w:t>B</w:t>
      </w:r>
      <w:r w:rsidRPr="00244BD7">
        <w:rPr>
          <w:rFonts w:ascii="Times New Roman" w:hAnsi="Times New Roman" w:cs="Times New Roman"/>
          <w:b/>
          <w:szCs w:val="21"/>
        </w:rPr>
        <w:t>)</w:t>
      </w:r>
      <w:r w:rsidR="0094454C" w:rsidRPr="00244BD7">
        <w:rPr>
          <w:rFonts w:ascii="Times New Roman" w:hAnsi="Times New Roman" w:cs="Times New Roman"/>
          <w:szCs w:val="21"/>
        </w:rPr>
        <w:t>. Distribution of the cells originally from the tumor and non-malignant tissues into six clusters (left to right)</w:t>
      </w:r>
      <w:r>
        <w:rPr>
          <w:rFonts w:ascii="Times New Roman" w:hAnsi="Times New Roman" w:cs="Times New Roman"/>
          <w:szCs w:val="21"/>
        </w:rPr>
        <w:t xml:space="preserve">; </w:t>
      </w:r>
      <w:r w:rsidR="0094454C" w:rsidRPr="00244BD7">
        <w:rPr>
          <w:rFonts w:ascii="Times New Roman" w:hAnsi="Times New Roman" w:cs="Times New Roman"/>
          <w:b/>
          <w:szCs w:val="21"/>
        </w:rPr>
        <w:t>C</w:t>
      </w:r>
      <w:r w:rsidRPr="00244BD7">
        <w:rPr>
          <w:rFonts w:ascii="Times New Roman" w:hAnsi="Times New Roman" w:cs="Times New Roman"/>
          <w:b/>
          <w:szCs w:val="21"/>
        </w:rPr>
        <w:t>)</w:t>
      </w:r>
      <w:r w:rsidR="0094454C" w:rsidRPr="00244BD7">
        <w:rPr>
          <w:rFonts w:ascii="Times New Roman" w:hAnsi="Times New Roman" w:cs="Times New Roman"/>
          <w:szCs w:val="21"/>
        </w:rPr>
        <w:t xml:space="preserve">. </w:t>
      </w:r>
      <w:r w:rsidR="0094454C" w:rsidRPr="00244BD7">
        <w:rPr>
          <w:rFonts w:ascii="Times New Roman" w:hAnsi="Times New Roman" w:cs="Times New Roman"/>
          <w:color w:val="000000"/>
          <w:szCs w:val="21"/>
        </w:rPr>
        <w:t xml:space="preserve">Following this trajectory, the differentially expressed genes were identified, and these genes might </w:t>
      </w:r>
      <w:r w:rsidR="0094454C" w:rsidRPr="00244BD7">
        <w:rPr>
          <w:rFonts w:ascii="Times New Roman" w:hAnsi="Times New Roman" w:cs="Times New Roman"/>
          <w:color w:val="000000"/>
          <w:szCs w:val="21"/>
        </w:rPr>
        <w:lastRenderedPageBreak/>
        <w:t>play crucial roles in the evolution from colitis to cancer. Top 3 differential expressed genes (CD74, CLCA1 and DPEP1) were showed along with evolutionary trajectory</w:t>
      </w:r>
      <w:r>
        <w:rPr>
          <w:rFonts w:ascii="Times New Roman" w:hAnsi="Times New Roman" w:cs="Times New Roman"/>
          <w:color w:val="000000"/>
          <w:szCs w:val="21"/>
        </w:rPr>
        <w:t xml:space="preserve">; </w:t>
      </w:r>
      <w:r w:rsidR="0094454C" w:rsidRPr="00244BD7">
        <w:rPr>
          <w:rFonts w:ascii="Times New Roman" w:hAnsi="Times New Roman" w:cs="Times New Roman"/>
          <w:b/>
          <w:color w:val="000000"/>
          <w:szCs w:val="21"/>
        </w:rPr>
        <w:t>D</w:t>
      </w:r>
      <w:r w:rsidRPr="00244BD7">
        <w:rPr>
          <w:rFonts w:ascii="Times New Roman" w:hAnsi="Times New Roman" w:cs="Times New Roman"/>
          <w:b/>
          <w:color w:val="000000"/>
          <w:szCs w:val="21"/>
        </w:rPr>
        <w:t>)</w:t>
      </w:r>
      <w:r w:rsidR="0094454C" w:rsidRPr="00244BD7">
        <w:rPr>
          <w:rFonts w:ascii="Times New Roman" w:hAnsi="Times New Roman" w:cs="Times New Roman"/>
          <w:color w:val="000000"/>
          <w:szCs w:val="21"/>
        </w:rPr>
        <w:t xml:space="preserve">. Different degrees of </w:t>
      </w:r>
      <w:r w:rsidR="00087B63">
        <w:rPr>
          <w:rFonts w:ascii="Times New Roman" w:hAnsi="Times New Roman" w:cs="Times New Roman"/>
          <w:color w:val="000000"/>
          <w:szCs w:val="21"/>
        </w:rPr>
        <w:t>IHC</w:t>
      </w:r>
      <w:r w:rsidR="0094454C" w:rsidRPr="00244BD7">
        <w:rPr>
          <w:rFonts w:ascii="Times New Roman" w:hAnsi="Times New Roman" w:cs="Times New Roman"/>
          <w:color w:val="000000"/>
          <w:szCs w:val="21"/>
        </w:rPr>
        <w:t xml:space="preserve"> staining between normal and tumor tissues for CD74, CLCA1 and DPEP1 from the public data website of The Human Protein Atlas</w:t>
      </w:r>
      <w:r>
        <w:rPr>
          <w:rFonts w:ascii="Times New Roman" w:hAnsi="Times New Roman" w:cs="Times New Roman"/>
          <w:color w:val="000000"/>
          <w:szCs w:val="21"/>
        </w:rPr>
        <w:t xml:space="preserve">; </w:t>
      </w:r>
      <w:r w:rsidR="0094454C" w:rsidRPr="00244BD7">
        <w:rPr>
          <w:rFonts w:ascii="Times New Roman" w:hAnsi="Times New Roman" w:cs="Times New Roman"/>
          <w:b/>
          <w:color w:val="000000"/>
          <w:szCs w:val="21"/>
        </w:rPr>
        <w:t>E</w:t>
      </w:r>
      <w:r w:rsidRPr="00244BD7">
        <w:rPr>
          <w:rFonts w:ascii="Times New Roman" w:hAnsi="Times New Roman" w:cs="Times New Roman"/>
          <w:b/>
          <w:color w:val="000000"/>
          <w:szCs w:val="21"/>
        </w:rPr>
        <w:t>)</w:t>
      </w:r>
      <w:r w:rsidR="0094454C" w:rsidRPr="00244BD7">
        <w:rPr>
          <w:rFonts w:ascii="Times New Roman" w:hAnsi="Times New Roman" w:cs="Times New Roman"/>
          <w:color w:val="000000"/>
          <w:szCs w:val="21"/>
        </w:rPr>
        <w:t>. Different expression of genes (</w:t>
      </w:r>
      <w:r w:rsidR="0094454C" w:rsidRPr="00087B63">
        <w:rPr>
          <w:rFonts w:ascii="Times New Roman" w:hAnsi="Times New Roman" w:cs="Times New Roman"/>
          <w:i/>
          <w:color w:val="000000"/>
          <w:szCs w:val="21"/>
        </w:rPr>
        <w:t>CD74, CLCA1</w:t>
      </w:r>
      <w:r w:rsidR="0094454C" w:rsidRPr="00244BD7">
        <w:rPr>
          <w:rFonts w:ascii="Times New Roman" w:hAnsi="Times New Roman" w:cs="Times New Roman"/>
          <w:color w:val="000000"/>
          <w:szCs w:val="21"/>
        </w:rPr>
        <w:t xml:space="preserve"> and </w:t>
      </w:r>
      <w:bookmarkStart w:id="9" w:name="_GoBack"/>
      <w:r w:rsidR="0094454C" w:rsidRPr="00087B63">
        <w:rPr>
          <w:rFonts w:ascii="Times New Roman" w:hAnsi="Times New Roman" w:cs="Times New Roman"/>
          <w:i/>
          <w:color w:val="000000"/>
          <w:szCs w:val="21"/>
        </w:rPr>
        <w:t>DPEP1</w:t>
      </w:r>
      <w:bookmarkEnd w:id="9"/>
      <w:r w:rsidR="0094454C" w:rsidRPr="00244BD7">
        <w:rPr>
          <w:rFonts w:ascii="Times New Roman" w:hAnsi="Times New Roman" w:cs="Times New Roman"/>
          <w:color w:val="000000"/>
          <w:szCs w:val="21"/>
        </w:rPr>
        <w:t>) in tumor and normal tissues from TCGA. TCGA data showed that the expression of CD74 was significantly high in normal tissues (p&lt;0.05), the expression of DPEP1 was significantly high in tumor tissues (p&lt;0.05), but there was no significance for the expression of CLCA1 between tumor and normal tissues (p=0.0715</w:t>
      </w:r>
      <w:r>
        <w:rPr>
          <w:rFonts w:ascii="Times New Roman" w:hAnsi="Times New Roman" w:cs="Times New Roman"/>
          <w:color w:val="000000"/>
          <w:szCs w:val="21"/>
        </w:rPr>
        <w:t xml:space="preserve">); </w:t>
      </w:r>
      <w:r w:rsidR="0094454C" w:rsidRPr="00244BD7">
        <w:rPr>
          <w:rFonts w:ascii="Times New Roman" w:hAnsi="Times New Roman" w:cs="Times New Roman"/>
          <w:b/>
          <w:color w:val="000000"/>
          <w:szCs w:val="21"/>
        </w:rPr>
        <w:t>F</w:t>
      </w:r>
      <w:r w:rsidRPr="00244BD7">
        <w:rPr>
          <w:rFonts w:ascii="Times New Roman" w:hAnsi="Times New Roman" w:cs="Times New Roman"/>
          <w:b/>
          <w:color w:val="000000"/>
          <w:szCs w:val="21"/>
        </w:rPr>
        <w:t>)</w:t>
      </w:r>
      <w:r w:rsidR="0094454C" w:rsidRPr="00244BD7">
        <w:rPr>
          <w:rFonts w:ascii="Times New Roman" w:hAnsi="Times New Roman" w:cs="Times New Roman"/>
          <w:color w:val="000000"/>
          <w:szCs w:val="21"/>
        </w:rPr>
        <w:t>. The relationships between gene expression levels and survival time. The patients with high CD74 expression had better survival (p=0.0048), but there were no relevance between CLCA1 or DPEP1 expression and the prognosis of patients (CLCA1, p=0.36; DPEP1, p=0.093)</w:t>
      </w:r>
    </w:p>
    <w:p w:rsidR="0094454C" w:rsidRPr="00E45A20" w:rsidRDefault="0094454C" w:rsidP="0094454C">
      <w:pPr>
        <w:rPr>
          <w:rFonts w:ascii="Times New Roman" w:hAnsi="Times New Roman" w:cs="Times New Roman"/>
          <w:b/>
          <w:sz w:val="24"/>
          <w:szCs w:val="24"/>
          <w:highlight w:val="green"/>
        </w:rPr>
      </w:pPr>
    </w:p>
    <w:p w:rsidR="0094454C" w:rsidRPr="00244BD7" w:rsidRDefault="00244BD7" w:rsidP="0094454C">
      <w:pPr>
        <w:rPr>
          <w:szCs w:val="21"/>
        </w:rPr>
      </w:pPr>
      <w:r w:rsidRPr="007E0B55">
        <w:rPr>
          <w:rFonts w:ascii="Times New Roman" w:hAnsi="Times New Roman" w:cs="Times New Roman"/>
          <w:b/>
          <w:sz w:val="24"/>
          <w:szCs w:val="24"/>
          <w:highlight w:val="green"/>
        </w:rPr>
        <w:t>Supplementary Fig.</w:t>
      </w:r>
      <w:r>
        <w:rPr>
          <w:rFonts w:ascii="Times New Roman" w:hAnsi="Times New Roman" w:cs="Times New Roman"/>
          <w:b/>
          <w:sz w:val="24"/>
          <w:szCs w:val="24"/>
          <w:highlight w:val="green"/>
        </w:rPr>
        <w:t>8</w:t>
      </w:r>
      <w:r w:rsidRPr="007E0B55">
        <w:rPr>
          <w:rFonts w:ascii="Times New Roman" w:hAnsi="Times New Roman" w:cs="Times New Roman"/>
          <w:b/>
          <w:sz w:val="24"/>
          <w:szCs w:val="24"/>
          <w:highlight w:val="green"/>
        </w:rPr>
        <w:t xml:space="preserve"> </w:t>
      </w:r>
      <w:r w:rsidRPr="0038308B">
        <w:rPr>
          <w:rFonts w:ascii="Times New Roman" w:hAnsi="Times New Roman" w:cs="Times New Roman"/>
          <w:b/>
          <w:szCs w:val="21"/>
          <w:highlight w:val="green"/>
        </w:rPr>
        <w:t>(Fig. S8)</w:t>
      </w: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94454C" w:rsidRPr="00244BD7">
        <w:rPr>
          <w:rFonts w:ascii="Times New Roman" w:hAnsi="Times New Roman" w:cs="Times New Roman"/>
          <w:b/>
          <w:sz w:val="24"/>
          <w:szCs w:val="24"/>
        </w:rPr>
        <w:t>Intra-tumor landscape and statement of TME of UC-associated colon cancer</w:t>
      </w:r>
      <w:r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94454C" w:rsidRPr="00244BD7">
        <w:rPr>
          <w:rFonts w:ascii="Times New Roman" w:hAnsi="Times New Roman" w:cs="Times New Roman"/>
          <w:szCs w:val="21"/>
        </w:rPr>
        <w:t>(The red words mean the cluster of tumor cells, while the blue words represent the cluster of non-malignant tissues and the others belong to the mixed both tumorous- and non-malignant tissues cells)</w:t>
      </w:r>
    </w:p>
    <w:p w:rsidR="0094454C" w:rsidRPr="0094454C" w:rsidRDefault="0094454C"/>
    <w:sectPr w:rsidR="0094454C" w:rsidRPr="009445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D2D54" w:rsidRDefault="006D2D54" w:rsidP="00651C27">
      <w:r>
        <w:separator/>
      </w:r>
    </w:p>
  </w:endnote>
  <w:endnote w:type="continuationSeparator" w:id="0">
    <w:p w:rsidR="006D2D54" w:rsidRDefault="006D2D54" w:rsidP="00651C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D2D54" w:rsidRDefault="006D2D54" w:rsidP="00651C27">
      <w:r>
        <w:separator/>
      </w:r>
    </w:p>
  </w:footnote>
  <w:footnote w:type="continuationSeparator" w:id="0">
    <w:p w:rsidR="006D2D54" w:rsidRDefault="006D2D54" w:rsidP="00651C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41E7"/>
    <w:rsid w:val="00087B63"/>
    <w:rsid w:val="00244BD7"/>
    <w:rsid w:val="00325338"/>
    <w:rsid w:val="0038308B"/>
    <w:rsid w:val="00421413"/>
    <w:rsid w:val="00455B85"/>
    <w:rsid w:val="00651C27"/>
    <w:rsid w:val="006974B1"/>
    <w:rsid w:val="006B2B89"/>
    <w:rsid w:val="006D2D54"/>
    <w:rsid w:val="007E0B55"/>
    <w:rsid w:val="00937A91"/>
    <w:rsid w:val="0094454C"/>
    <w:rsid w:val="009607F1"/>
    <w:rsid w:val="00A138AE"/>
    <w:rsid w:val="00B71FBF"/>
    <w:rsid w:val="00D95E3A"/>
    <w:rsid w:val="00DA421E"/>
    <w:rsid w:val="00E341E7"/>
    <w:rsid w:val="00E45A20"/>
    <w:rsid w:val="00EC64BF"/>
    <w:rsid w:val="00FC35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494990B-6920-4ABA-BC58-C9CD55E823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341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51C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51C2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51C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51C2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604</Words>
  <Characters>3443</Characters>
  <Application>Microsoft Office Word</Application>
  <DocSecurity>0</DocSecurity>
  <Lines>28</Lines>
  <Paragraphs>8</Paragraphs>
  <ScaleCrop>false</ScaleCrop>
  <Company/>
  <LinksUpToDate>false</LinksUpToDate>
  <CharactersWithSpaces>4039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 wang</dc:creator>
  <cp:keywords/>
  <dc:description/>
  <cp:lastModifiedBy>WangQuan</cp:lastModifiedBy>
  <cp:revision>16</cp:revision>
  <dcterms:created xsi:type="dcterms:W3CDTF">2019-03-26T01:18:00Z</dcterms:created>
  <dcterms:modified xsi:type="dcterms:W3CDTF">2020-06-05T16:03:00Z</dcterms:modified>
</cp:coreProperties>
</file>