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FD41DB" w14:textId="77777777" w:rsidR="00A01E89" w:rsidRPr="00A141A9" w:rsidRDefault="00A01E89" w:rsidP="00A01E89">
      <w:pPr>
        <w:spacing w:line="480" w:lineRule="auto"/>
        <w:jc w:val="center"/>
        <w:rPr>
          <w:b/>
          <w:bCs/>
        </w:rPr>
      </w:pPr>
      <w:r w:rsidRPr="00A141A9">
        <w:rPr>
          <w:b/>
          <w:bCs/>
        </w:rPr>
        <w:t>Appendix B</w:t>
      </w:r>
    </w:p>
    <w:p w14:paraId="66D43B22" w14:textId="77777777" w:rsidR="00A01E89" w:rsidRDefault="00A01E89" w:rsidP="00A01E89">
      <w:pPr>
        <w:spacing w:line="480" w:lineRule="auto"/>
        <w:jc w:val="center"/>
        <w:rPr>
          <w:b/>
          <w:bCs/>
        </w:rPr>
      </w:pPr>
      <w:r w:rsidRPr="00A141A9">
        <w:rPr>
          <w:b/>
          <w:bCs/>
        </w:rPr>
        <w:t>Behavioral Insights Coding Process</w:t>
      </w:r>
      <w:r>
        <w:rPr>
          <w:b/>
          <w:bCs/>
        </w:rPr>
        <w:t xml:space="preserve"> and Results</w:t>
      </w:r>
    </w:p>
    <w:p w14:paraId="76ED799D" w14:textId="77777777" w:rsidR="00A01E89" w:rsidRDefault="00A01E89" w:rsidP="00A01E89">
      <w:pPr>
        <w:spacing w:line="480" w:lineRule="auto"/>
        <w:rPr>
          <w:b/>
          <w:bCs/>
        </w:rPr>
      </w:pPr>
      <w:r>
        <w:rPr>
          <w:b/>
          <w:bCs/>
        </w:rPr>
        <w:t>Methods</w:t>
      </w:r>
    </w:p>
    <w:p w14:paraId="0F5F7C51" w14:textId="77777777" w:rsidR="00A01E89" w:rsidRPr="00A141A9" w:rsidRDefault="00A01E89" w:rsidP="00A01E89">
      <w:pPr>
        <w:spacing w:line="480" w:lineRule="auto"/>
        <w:ind w:firstLine="720"/>
        <w:jc w:val="both"/>
      </w:pPr>
      <w:r w:rsidRPr="00A141A9">
        <w:t xml:space="preserve">Figure 1 displays the multi-step process we used to analyze the qualitative interviews. </w:t>
      </w:r>
      <w:r w:rsidRPr="00500D7F">
        <w:t>In Step 1, three investigators (</w:t>
      </w:r>
      <w:proofErr w:type="spellStart"/>
      <w:r w:rsidRPr="00500D7F">
        <w:t>BSL</w:t>
      </w:r>
      <w:proofErr w:type="spellEnd"/>
      <w:r w:rsidRPr="00500D7F">
        <w:t xml:space="preserve">, </w:t>
      </w:r>
      <w:r>
        <w:t>CET</w:t>
      </w:r>
      <w:r w:rsidRPr="00500D7F">
        <w:t xml:space="preserve">, and </w:t>
      </w:r>
      <w:proofErr w:type="spellStart"/>
      <w:r w:rsidRPr="00500D7F">
        <w:t>SHS</w:t>
      </w:r>
      <w:proofErr w:type="spellEnd"/>
      <w:r w:rsidRPr="00500D7F">
        <w:t xml:space="preserve">) separately reviewed </w:t>
      </w:r>
      <w:proofErr w:type="gramStart"/>
      <w:r w:rsidRPr="00500D7F">
        <w:t>all of</w:t>
      </w:r>
      <w:proofErr w:type="gramEnd"/>
      <w:r w:rsidRPr="00500D7F">
        <w:t xml:space="preserve"> the qualitative interview transcripts. </w:t>
      </w:r>
      <w:r w:rsidRPr="00A141A9">
        <w:t xml:space="preserve">Investigators </w:t>
      </w:r>
      <w:r w:rsidRPr="00500D7F">
        <w:t xml:space="preserve">met and </w:t>
      </w:r>
      <w:r>
        <w:t xml:space="preserve">coded </w:t>
      </w:r>
      <w:r w:rsidRPr="00A141A9">
        <w:t xml:space="preserve">the determinants </w:t>
      </w:r>
      <w:r>
        <w:t xml:space="preserve">of TN </w:t>
      </w:r>
      <w:r w:rsidRPr="00A141A9">
        <w:t xml:space="preserve">use. Codes </w:t>
      </w:r>
      <w:r>
        <w:t xml:space="preserve">largely </w:t>
      </w:r>
      <w:r w:rsidRPr="00A141A9">
        <w:t>reflected clinicians’</w:t>
      </w:r>
      <w:r>
        <w:t xml:space="preserve"> responses to questions about the barriers </w:t>
      </w:r>
      <w:r w:rsidRPr="00A141A9">
        <w:t xml:space="preserve">(i.e., what prevents) </w:t>
      </w:r>
      <w:r>
        <w:t xml:space="preserve">and facilitators </w:t>
      </w:r>
      <w:r w:rsidRPr="00A141A9">
        <w:t>(i.e., what helps)</w:t>
      </w:r>
      <w:r>
        <w:t xml:space="preserve"> TN implementation (see Appendix A for interview questions), though other </w:t>
      </w:r>
      <w:r w:rsidRPr="00A141A9">
        <w:t xml:space="preserve">TN determinants </w:t>
      </w:r>
      <w:r>
        <w:t xml:space="preserve">were inferred. For example, some codes were “complex trauma,” “community violence,” “back-to-back sessions.” </w:t>
      </w:r>
      <w:r w:rsidRPr="00B3180D">
        <w:t>In Step 2, using a thematic analytic approach</w:t>
      </w:r>
      <w:r w:rsidRPr="00B3180D">
        <w:rPr>
          <w:rStyle w:val="CommentReference"/>
          <w:sz w:val="24"/>
          <w:szCs w:val="24"/>
        </w:rPr>
        <w:t>, these determinants were organized into themes (e.g., “</w:t>
      </w:r>
      <w:r>
        <w:rPr>
          <w:rStyle w:val="CommentReference"/>
          <w:sz w:val="24"/>
          <w:szCs w:val="24"/>
        </w:rPr>
        <w:t>c</w:t>
      </w:r>
      <w:r w:rsidRPr="00B3180D">
        <w:rPr>
          <w:rStyle w:val="CommentReference"/>
          <w:sz w:val="24"/>
          <w:szCs w:val="24"/>
        </w:rPr>
        <w:t xml:space="preserve">lient </w:t>
      </w:r>
      <w:r>
        <w:rPr>
          <w:rStyle w:val="CommentReference"/>
          <w:sz w:val="24"/>
          <w:szCs w:val="24"/>
        </w:rPr>
        <w:t>c</w:t>
      </w:r>
      <w:r w:rsidRPr="00B3180D">
        <w:rPr>
          <w:rStyle w:val="CommentReference"/>
          <w:sz w:val="24"/>
          <w:szCs w:val="24"/>
        </w:rPr>
        <w:t>haracteristics,” “</w:t>
      </w:r>
      <w:r>
        <w:rPr>
          <w:rStyle w:val="CommentReference"/>
          <w:sz w:val="24"/>
          <w:szCs w:val="24"/>
        </w:rPr>
        <w:t>c</w:t>
      </w:r>
      <w:r w:rsidRPr="00B3180D">
        <w:rPr>
          <w:rStyle w:val="CommentReference"/>
          <w:sz w:val="24"/>
          <w:szCs w:val="24"/>
        </w:rPr>
        <w:t xml:space="preserve">linician </w:t>
      </w:r>
      <w:r>
        <w:rPr>
          <w:rStyle w:val="CommentReference"/>
          <w:sz w:val="24"/>
          <w:szCs w:val="24"/>
        </w:rPr>
        <w:t>a</w:t>
      </w:r>
      <w:r w:rsidRPr="00B3180D">
        <w:rPr>
          <w:rStyle w:val="CommentReference"/>
          <w:sz w:val="24"/>
          <w:szCs w:val="24"/>
        </w:rPr>
        <w:t xml:space="preserve">ffective </w:t>
      </w:r>
      <w:r>
        <w:rPr>
          <w:rStyle w:val="CommentReference"/>
          <w:sz w:val="24"/>
          <w:szCs w:val="24"/>
        </w:rPr>
        <w:t>e</w:t>
      </w:r>
      <w:r w:rsidRPr="00B3180D">
        <w:rPr>
          <w:rStyle w:val="CommentReference"/>
          <w:sz w:val="24"/>
          <w:szCs w:val="24"/>
        </w:rPr>
        <w:t>xperience,” “</w:t>
      </w:r>
      <w:r>
        <w:rPr>
          <w:rStyle w:val="CommentReference"/>
          <w:sz w:val="24"/>
          <w:szCs w:val="24"/>
        </w:rPr>
        <w:t>a</w:t>
      </w:r>
      <w:r w:rsidRPr="00B3180D">
        <w:rPr>
          <w:rStyle w:val="CommentReference"/>
          <w:sz w:val="24"/>
          <w:szCs w:val="24"/>
        </w:rPr>
        <w:t xml:space="preserve">gency </w:t>
      </w:r>
      <w:r>
        <w:rPr>
          <w:rStyle w:val="CommentReference"/>
          <w:sz w:val="24"/>
          <w:szCs w:val="24"/>
        </w:rPr>
        <w:t>n</w:t>
      </w:r>
      <w:r w:rsidRPr="00B3180D">
        <w:rPr>
          <w:rStyle w:val="CommentReference"/>
          <w:sz w:val="24"/>
          <w:szCs w:val="24"/>
        </w:rPr>
        <w:t xml:space="preserve">orms,” etc.). </w:t>
      </w:r>
      <w:r w:rsidRPr="00B3180D">
        <w:t>In Step 3, as a validation check, investigators coded four transcripts together and synthesized and deduplicated further. Through discussion and consensus, coders distilled</w:t>
      </w:r>
      <w:r>
        <w:t xml:space="preserve"> and reduced </w:t>
      </w:r>
      <w:r w:rsidRPr="00440CF5">
        <w:t xml:space="preserve">the codes </w:t>
      </w:r>
      <w:r w:rsidRPr="00E91785">
        <w:t>and</w:t>
      </w:r>
      <w:r>
        <w:t xml:space="preserve"> </w:t>
      </w:r>
      <w:r w:rsidRPr="00E91785">
        <w:t>broad themes</w:t>
      </w:r>
      <w:r w:rsidRPr="00821282">
        <w:t xml:space="preserve">. </w:t>
      </w:r>
    </w:p>
    <w:p w14:paraId="5D30E1B4" w14:textId="77777777" w:rsidR="00A01E89" w:rsidRPr="00B05DF0" w:rsidRDefault="00A01E89" w:rsidP="00A01E89">
      <w:pPr>
        <w:spacing w:line="480" w:lineRule="auto"/>
        <w:ind w:firstLine="720"/>
        <w:jc w:val="both"/>
      </w:pPr>
      <w:r>
        <w:t xml:space="preserve">In Step 4, </w:t>
      </w:r>
      <w:r w:rsidRPr="00821282">
        <w:t>three investigators (</w:t>
      </w:r>
      <w:proofErr w:type="spellStart"/>
      <w:r w:rsidRPr="00821282">
        <w:t>BSL</w:t>
      </w:r>
      <w:proofErr w:type="spellEnd"/>
      <w:r w:rsidRPr="00821282">
        <w:t xml:space="preserve">, </w:t>
      </w:r>
      <w:r>
        <w:t>CET</w:t>
      </w:r>
      <w:r w:rsidRPr="00821282">
        <w:t xml:space="preserve">, and </w:t>
      </w:r>
      <w:proofErr w:type="spellStart"/>
      <w:r w:rsidRPr="00821282">
        <w:t>SHS</w:t>
      </w:r>
      <w:proofErr w:type="spellEnd"/>
      <w:r w:rsidRPr="00821282">
        <w:t xml:space="preserve">) mapped </w:t>
      </w:r>
      <w:r w:rsidRPr="00A141A9">
        <w:t>the TN determinants</w:t>
      </w:r>
      <w:r w:rsidRPr="00821282">
        <w:t xml:space="preserve">, coded in the </w:t>
      </w:r>
      <w:r w:rsidRPr="00A141A9">
        <w:t>clinicians’</w:t>
      </w:r>
      <w:r w:rsidRPr="00821282">
        <w:t xml:space="preserve"> own language, onto </w:t>
      </w:r>
      <w:r>
        <w:t xml:space="preserve">a predetermined set of behavioral insights that are described in the Behavioral Economics Guide 2018 </w:t>
      </w:r>
      <w:r w:rsidRPr="00A141A9">
        <w:fldChar w:fldCharType="begin"/>
      </w:r>
      <w:r>
        <w:instrText xml:space="preserve"> ADDIN ZOTERO_ITEM CSL_CITATION {"citationID":"cwAG2k2x","properties":{"formattedCitation":"(58)","plainCitation":"(58)","noteIndex":0},"citationItems":[{"id":14098,"uris":["http://zotero.org/users/3403152/items/XPIE7IMP"],"uri":["http://zotero.org/users/3403152/items/XPIE7IMP"],"itemData":{"id":14098,"type":"report","collection-title":"The Behavioral Economics Guide","publisher":"Behavioral Economics Group","title":"The Behavioral Economics Guide 2018","URL":"https://www.behavioraleconomics.com/the-be-guide/the-behavioral-economics-guide-2018/","collection-editor":[{"family":"Samson","given":"Alain"}],"issued":{"date-parts":[["2018"]]}}}],"schema":"https://github.com/citation-style-language/schema/raw/master/csl-citation.json"} </w:instrText>
      </w:r>
      <w:r w:rsidRPr="00A141A9">
        <w:fldChar w:fldCharType="separate"/>
      </w:r>
      <w:r>
        <w:rPr>
          <w:noProof/>
        </w:rPr>
        <w:t>(58)</w:t>
      </w:r>
      <w:r w:rsidRPr="00A141A9">
        <w:fldChar w:fldCharType="end"/>
      </w:r>
      <w:r>
        <w:t>.</w:t>
      </w:r>
      <w:r w:rsidRPr="00500D7F">
        <w:t xml:space="preserve"> </w:t>
      </w:r>
      <w:r>
        <w:t xml:space="preserve">Table </w:t>
      </w:r>
      <w:r w:rsidRPr="00A141A9">
        <w:t>1</w:t>
      </w:r>
      <w:r>
        <w:t xml:space="preserve"> provides definitions of the behavioral insights that we mapped onto the </w:t>
      </w:r>
      <w:r w:rsidRPr="00A141A9">
        <w:t>TN determinants</w:t>
      </w:r>
      <w:r>
        <w:t xml:space="preserve"> (see the guide for the full list). There were several cases </w:t>
      </w:r>
      <w:r w:rsidRPr="00A141A9">
        <w:t>in which</w:t>
      </w:r>
      <w:r>
        <w:t xml:space="preserve"> well-established </w:t>
      </w:r>
      <w:r w:rsidRPr="00A141A9">
        <w:t>behavioral insights were</w:t>
      </w:r>
      <w:r>
        <w:t xml:space="preserve"> not listed in the guide. For example, “reinforcement” is a psychological principle </w:t>
      </w:r>
      <w:r w:rsidRPr="00A141A9">
        <w:fldChar w:fldCharType="begin"/>
      </w:r>
      <w:r>
        <w:instrText xml:space="preserve"> ADDIN ZOTERO_ITEM CSL_CITATION {"citationID":"zW5ywU81","properties":{"formattedCitation":"(97)","plainCitation":"(97)","noteIndex":0},"citationItems":[{"id":14103,"uris":["http://zotero.org/users/3403152/items/ZUQ36K3A"],"uri":["http://zotero.org/users/3403152/items/ZUQ36K3A"],"itemData":{"id":14103,"type":"article-journal","container-title":"Annual review of psychology","DOI":"https://doi.org/10.1146/annurev.psych.54.101601.145124","issue":"1","page":"115-144","title":"Operant conditioning","volume":"54","author":[{"family":"Staddon","given":"John ER"},{"family":"Cerutti","given":"Daniel T."}],"issued":{"date-parts":[["2003"]]}}}],"schema":"https://github.com/citation-style-language/schema/raw/master/csl-citation.json"} </w:instrText>
      </w:r>
      <w:r w:rsidRPr="00A141A9">
        <w:fldChar w:fldCharType="separate"/>
      </w:r>
      <w:r>
        <w:rPr>
          <w:noProof/>
        </w:rPr>
        <w:t>(97)</w:t>
      </w:r>
      <w:r w:rsidRPr="00A141A9">
        <w:fldChar w:fldCharType="end"/>
      </w:r>
      <w:r>
        <w:t xml:space="preserve"> that is not explicitly in the guide (though related insights such as “incentives” are). When these occasions arose, coders discussed whether it was appropriate to include these </w:t>
      </w:r>
      <w:r w:rsidRPr="00A141A9">
        <w:t xml:space="preserve">behavioral insights in our coding process, which resulted in several additions. </w:t>
      </w:r>
      <w:r>
        <w:rPr>
          <w:rFonts w:eastAsia="Times New Roman"/>
          <w:iCs/>
          <w:shd w:val="clear" w:color="auto" w:fill="FFFFFF"/>
        </w:rPr>
        <w:t>W</w:t>
      </w:r>
      <w:r w:rsidRPr="00A141A9">
        <w:rPr>
          <w:rFonts w:eastAsia="Times New Roman"/>
          <w:iCs/>
          <w:shd w:val="clear" w:color="auto" w:fill="FFFFFF"/>
        </w:rPr>
        <w:t xml:space="preserve">e consider </w:t>
      </w:r>
      <w:r>
        <w:rPr>
          <w:rFonts w:eastAsia="Times New Roman"/>
          <w:iCs/>
          <w:shd w:val="clear" w:color="auto" w:fill="FFFFFF"/>
        </w:rPr>
        <w:t>the few additions</w:t>
      </w:r>
      <w:r w:rsidRPr="00A141A9">
        <w:rPr>
          <w:rFonts w:eastAsia="Times New Roman"/>
          <w:iCs/>
          <w:shd w:val="clear" w:color="auto" w:fill="FFFFFF"/>
        </w:rPr>
        <w:t xml:space="preserve"> </w:t>
      </w:r>
      <w:r>
        <w:rPr>
          <w:rFonts w:eastAsia="Times New Roman"/>
          <w:iCs/>
          <w:shd w:val="clear" w:color="auto" w:fill="FFFFFF"/>
        </w:rPr>
        <w:t xml:space="preserve">to </w:t>
      </w:r>
      <w:r w:rsidRPr="00A141A9">
        <w:rPr>
          <w:rFonts w:eastAsia="Times New Roman"/>
          <w:iCs/>
          <w:shd w:val="clear" w:color="auto" w:fill="FFFFFF"/>
        </w:rPr>
        <w:t xml:space="preserve">be behavioral insights insofar as they derive from the </w:t>
      </w:r>
      <w:r>
        <w:rPr>
          <w:rFonts w:eastAsia="Times New Roman"/>
          <w:iCs/>
          <w:shd w:val="clear" w:color="auto" w:fill="FFFFFF"/>
        </w:rPr>
        <w:t>behavioral science</w:t>
      </w:r>
      <w:r w:rsidRPr="00A141A9">
        <w:rPr>
          <w:rFonts w:eastAsia="Times New Roman"/>
          <w:iCs/>
          <w:shd w:val="clear" w:color="auto" w:fill="FFFFFF"/>
        </w:rPr>
        <w:t xml:space="preserve"> literature, have been shown to determine behavior, and can be shaped through</w:t>
      </w:r>
      <w:r>
        <w:rPr>
          <w:rFonts w:eastAsia="Times New Roman"/>
          <w:iCs/>
          <w:shd w:val="clear" w:color="auto" w:fill="FFFFFF"/>
        </w:rPr>
        <w:t xml:space="preserve"> behavioral insights</w:t>
      </w:r>
      <w:r w:rsidRPr="00A141A9">
        <w:rPr>
          <w:rFonts w:eastAsia="Times New Roman"/>
          <w:iCs/>
          <w:shd w:val="clear" w:color="auto" w:fill="FFFFFF"/>
        </w:rPr>
        <w:t xml:space="preserve"> strategies.</w:t>
      </w:r>
      <w:r w:rsidRPr="000709E0">
        <w:rPr>
          <w:shd w:val="clear" w:color="auto" w:fill="FFFFFF"/>
        </w:rPr>
        <w:t xml:space="preserve"> </w:t>
      </w:r>
      <w:r w:rsidRPr="00500D7F">
        <w:t xml:space="preserve">In this step, it was possible for several </w:t>
      </w:r>
      <w:r>
        <w:t>behavioral insights</w:t>
      </w:r>
      <w:r w:rsidRPr="00500D7F">
        <w:t xml:space="preserve"> to map onto one </w:t>
      </w:r>
      <w:r w:rsidRPr="00A141A9">
        <w:t>TN determinant, which explains why several behavioral insights are associated with one TN code (see Table 3).</w:t>
      </w:r>
      <w:r w:rsidRPr="00500D7F">
        <w:t xml:space="preserve"> For example, “social norms” and “defaults</w:t>
      </w:r>
      <w:r w:rsidRPr="00A141A9">
        <w:t xml:space="preserve">” map onto the </w:t>
      </w:r>
      <w:r>
        <w:t xml:space="preserve">TN </w:t>
      </w:r>
      <w:r w:rsidRPr="00A141A9">
        <w:t xml:space="preserve">determinant code relating to common practices at a particular agency. </w:t>
      </w:r>
    </w:p>
    <w:p w14:paraId="374F8BA9" w14:textId="77777777" w:rsidR="00A01E89" w:rsidRDefault="00A01E89" w:rsidP="00A01E89">
      <w:pPr>
        <w:spacing w:line="480" w:lineRule="auto"/>
      </w:pPr>
      <w:r>
        <w:t xml:space="preserve">In Step 5, to ensure the validity of the </w:t>
      </w:r>
      <w:r w:rsidRPr="00A141A9">
        <w:t>TN determinants</w:t>
      </w:r>
      <w:r>
        <w:t xml:space="preserve"> and behavioral insights generated from Steps 1-4, we conducted an expert validation check. </w:t>
      </w:r>
      <w:proofErr w:type="spellStart"/>
      <w:r>
        <w:t>BSL</w:t>
      </w:r>
      <w:proofErr w:type="spellEnd"/>
      <w:r>
        <w:t xml:space="preserve"> (</w:t>
      </w:r>
      <w:r w:rsidRPr="00EE7A11">
        <w:t xml:space="preserve">a </w:t>
      </w:r>
      <w:r w:rsidRPr="00537DAD">
        <w:t xml:space="preserve">graduate student with clinical experience </w:t>
      </w:r>
      <w:r w:rsidRPr="00A0630C">
        <w:t>conducting TF-</w:t>
      </w:r>
      <w:r w:rsidRPr="00427B49">
        <w:t>CBT and research expertise in clinical decision-making</w:t>
      </w:r>
      <w:r>
        <w:t>)</w:t>
      </w:r>
      <w:r w:rsidRPr="00427B49">
        <w:t xml:space="preserve"> worked with </w:t>
      </w:r>
      <w:proofErr w:type="spellStart"/>
      <w:r w:rsidRPr="00A564A4">
        <w:t>AMB</w:t>
      </w:r>
      <w:proofErr w:type="spellEnd"/>
      <w:r w:rsidRPr="00A564A4">
        <w:t xml:space="preserve"> (an expert in </w:t>
      </w:r>
      <w:r>
        <w:t>behavioral insights</w:t>
      </w:r>
      <w:r w:rsidRPr="00A564A4">
        <w:t xml:space="preserve">) and </w:t>
      </w:r>
      <w:proofErr w:type="spellStart"/>
      <w:r w:rsidRPr="00A564A4">
        <w:t>RSB</w:t>
      </w:r>
      <w:proofErr w:type="spellEnd"/>
      <w:r w:rsidRPr="00A564A4">
        <w:t xml:space="preserve"> (a licensed clinical psychologist and expert in implementation science)</w:t>
      </w:r>
      <w:r>
        <w:t xml:space="preserve"> to </w:t>
      </w:r>
      <w:r w:rsidRPr="00A141A9">
        <w:t>validate</w:t>
      </w:r>
      <w:r>
        <w:t xml:space="preserve"> the </w:t>
      </w:r>
      <w:r w:rsidRPr="00A141A9">
        <w:t>TN determinants</w:t>
      </w:r>
      <w:r>
        <w:t xml:space="preserve"> and behavioral insights </w:t>
      </w:r>
      <w:r w:rsidRPr="00A564A4">
        <w:t>based on the literature</w:t>
      </w:r>
      <w:r>
        <w:t xml:space="preserve"> and</w:t>
      </w:r>
      <w:r w:rsidRPr="00A564A4">
        <w:t xml:space="preserve"> their research and clinical expertise. After this final list of hypotheses w</w:t>
      </w:r>
      <w:r>
        <w:t>as</w:t>
      </w:r>
      <w:r w:rsidRPr="00A564A4">
        <w:t xml:space="preserve"> </w:t>
      </w:r>
      <w:r w:rsidRPr="00A141A9">
        <w:t>validated</w:t>
      </w:r>
      <w:r w:rsidRPr="00A564A4">
        <w:t xml:space="preserve">, for Step </w:t>
      </w:r>
      <w:r>
        <w:t>6</w:t>
      </w:r>
      <w:r w:rsidRPr="00A564A4">
        <w:t xml:space="preserve">, </w:t>
      </w:r>
      <w:proofErr w:type="spellStart"/>
      <w:r>
        <w:t>BSL</w:t>
      </w:r>
      <w:proofErr w:type="spellEnd"/>
      <w:r>
        <w:t xml:space="preserve"> and</w:t>
      </w:r>
      <w:r w:rsidRPr="00A564A4">
        <w:t xml:space="preserve"> </w:t>
      </w:r>
      <w:proofErr w:type="spellStart"/>
      <w:r w:rsidRPr="00A564A4">
        <w:t>RSB</w:t>
      </w:r>
      <w:proofErr w:type="spellEnd"/>
      <w:r w:rsidRPr="00A564A4">
        <w:t xml:space="preserve"> integrated the </w:t>
      </w:r>
      <w:r>
        <w:t>behavioral insights</w:t>
      </w:r>
      <w:r w:rsidRPr="00A564A4">
        <w:t xml:space="preserve"> and implementation science literature to generate implementation strategies, </w:t>
      </w:r>
      <w:r w:rsidRPr="00A141A9">
        <w:t>using</w:t>
      </w:r>
      <w:r w:rsidRPr="00A564A4">
        <w:t xml:space="preserve"> the EAST framework </w:t>
      </w:r>
      <w:r w:rsidRPr="00A141A9">
        <w:t>to structure this process.</w:t>
      </w:r>
    </w:p>
    <w:p w14:paraId="01ADA100" w14:textId="77777777" w:rsidR="00A01E89" w:rsidRPr="00A141A9" w:rsidRDefault="00A01E89" w:rsidP="00A01E89">
      <w:pPr>
        <w:spacing w:line="480" w:lineRule="auto"/>
        <w:rPr>
          <w:b/>
          <w:bCs/>
        </w:rPr>
      </w:pPr>
      <w:r>
        <w:rPr>
          <w:b/>
          <w:bCs/>
        </w:rPr>
        <w:t>Coding Results</w:t>
      </w:r>
    </w:p>
    <w:p w14:paraId="7D061EDD" w14:textId="77777777" w:rsidR="00A01E89" w:rsidRPr="00A141A9" w:rsidRDefault="00A01E89" w:rsidP="00A01E89">
      <w:pPr>
        <w:spacing w:line="480" w:lineRule="auto"/>
        <w:ind w:firstLine="720"/>
        <w:jc w:val="both"/>
      </w:pPr>
      <w:r w:rsidRPr="00A141A9">
        <w:t xml:space="preserve">Step 1 generated 53 TN determinants, coded in the clinicians’ own language. In Step 2, we organized these 53 TN determinants into 11 broad themes using a thematic analysis. In Step 3, coders further reduced, distilled, and synthesized the TN determinants into 36 TN determinants under the 11 broad themes. In Step 4, the codes were mapped onto behavioral insights, and resulted in 18 behavioral insights organized under three broad themes, which the experts validated in Step 5. In Step 6, coders mapped the 18 behavioral insights (organized under three broad themes) onto 9 EAST-informed implementation strategies. </w:t>
      </w:r>
    </w:p>
    <w:p w14:paraId="6EDB0862" w14:textId="77777777" w:rsidR="00A01E89" w:rsidRPr="00A141A9" w:rsidRDefault="00A01E89" w:rsidP="00A01E89">
      <w:pPr>
        <w:spacing w:line="480" w:lineRule="auto"/>
        <w:ind w:firstLine="720"/>
        <w:jc w:val="both"/>
      </w:pPr>
      <w:r w:rsidRPr="00A141A9">
        <w:t xml:space="preserve">Table 3 displays the final list of three broad themes that organize the final set of TN determinants; the behavioral insights that correspond to them; and behavioral insights informed implementation strategies generated from this process. Exemplar quotes from clinicians are also included in the table to demonstrate the data we used to generate the TN determinants, behavioral insights, and implementation strategies. </w:t>
      </w:r>
    </w:p>
    <w:p w14:paraId="63DD915C" w14:textId="77777777" w:rsidR="00A01E89" w:rsidRPr="00A141A9" w:rsidRDefault="00A01E89" w:rsidP="00A01E89">
      <w:pPr>
        <w:spacing w:line="480" w:lineRule="auto"/>
        <w:ind w:firstLine="720"/>
        <w:jc w:val="both"/>
      </w:pPr>
      <w:r w:rsidRPr="00A141A9">
        <w:t xml:space="preserve">It is important to note that the final broad themes, though sufficiently separable, are not entirely distinct. For example, many clinicians described the cognitive burden of being faced with too many decisions, but this choice overload was not entirely separable from the affective experience of being overwhelmed and anxious, nor was it entirely distinct from the agency norms that provided additional support surrounding </w:t>
      </w:r>
      <w:proofErr w:type="spellStart"/>
      <w:r w:rsidRPr="00A141A9">
        <w:t>TN</w:t>
      </w:r>
      <w:r>
        <w:t>s</w:t>
      </w:r>
      <w:proofErr w:type="spellEnd"/>
      <w:r w:rsidRPr="00A141A9">
        <w:t xml:space="preserve">. </w:t>
      </w:r>
      <w:r>
        <w:t>T</w:t>
      </w:r>
      <w:r w:rsidRPr="00A141A9">
        <w:t xml:space="preserve">hese conceptual categories are abstractions to organize the data and cannot reflect the complex overdetermination of implementation behavior. Our analysis shows that the behavioral insights, due to their scientific validity, </w:t>
      </w:r>
      <w:r>
        <w:t>may offer</w:t>
      </w:r>
      <w:r w:rsidRPr="00A141A9">
        <w:t xml:space="preserve"> a closer approximation </w:t>
      </w:r>
      <w:r>
        <w:t>of</w:t>
      </w:r>
      <w:r w:rsidRPr="00A141A9">
        <w:t xml:space="preserve"> the underlying mechanism determining behavior. </w:t>
      </w:r>
    </w:p>
    <w:p w14:paraId="461E56B4" w14:textId="77777777" w:rsidR="00A01E89" w:rsidRPr="00A141A9" w:rsidRDefault="00A01E89" w:rsidP="00A01E89">
      <w:pPr>
        <w:spacing w:line="480" w:lineRule="auto"/>
        <w:jc w:val="both"/>
        <w:rPr>
          <w:b/>
          <w:bCs/>
          <w:i/>
          <w:iCs/>
        </w:rPr>
      </w:pPr>
      <w:r w:rsidRPr="00A141A9">
        <w:rPr>
          <w:b/>
          <w:bCs/>
          <w:i/>
          <w:iCs/>
        </w:rPr>
        <w:t xml:space="preserve">Decision Complexity </w:t>
      </w:r>
    </w:p>
    <w:p w14:paraId="14F120E5" w14:textId="77777777" w:rsidR="00A01E89" w:rsidRPr="00A141A9" w:rsidRDefault="00A01E89" w:rsidP="00A01E89">
      <w:pPr>
        <w:spacing w:line="480" w:lineRule="auto"/>
        <w:jc w:val="both"/>
      </w:pPr>
      <w:r w:rsidRPr="00A141A9">
        <w:rPr>
          <w:b/>
          <w:bCs/>
        </w:rPr>
        <w:tab/>
        <w:t xml:space="preserve">Overview of Coding Results. </w:t>
      </w:r>
      <w:r w:rsidRPr="00A141A9">
        <w:t>Step 1 generated several TN determinant codes such as “</w:t>
      </w:r>
      <w:r>
        <w:t>c</w:t>
      </w:r>
      <w:r w:rsidRPr="00A141A9">
        <w:t>omplex trauma,” “</w:t>
      </w:r>
      <w:r>
        <w:t>c</w:t>
      </w:r>
      <w:r w:rsidRPr="00A141A9">
        <w:t>ognitive level of client,” and “</w:t>
      </w:r>
      <w:r>
        <w:t>i</w:t>
      </w:r>
      <w:r w:rsidRPr="00A141A9">
        <w:t>ncorporating other therapies.” In Step 2, these codes were organized into broad themes such as “</w:t>
      </w:r>
      <w:r>
        <w:t>p</w:t>
      </w:r>
      <w:r w:rsidRPr="00A141A9">
        <w:t>atient complexity,” “</w:t>
      </w:r>
      <w:r>
        <w:t>s</w:t>
      </w:r>
      <w:r w:rsidRPr="00A141A9">
        <w:t>ocial context,” and “</w:t>
      </w:r>
      <w:r>
        <w:t>t</w:t>
      </w:r>
      <w:r w:rsidRPr="00A141A9">
        <w:t xml:space="preserve">herapist flexibility/creativity.” In Step 3, these codes were further distilled and synthesized. In Step 4, these codes were organized into three broad themes, including decision complexity, and mapped onto several behavioral insights using the Behavioral Economics Guide. In Step 5, behavioral insights experts provided a check to validate the analysis of broad themes, TN determinants, and hypothesized behavioral insights. In Step 6, </w:t>
      </w:r>
      <w:proofErr w:type="spellStart"/>
      <w:r w:rsidRPr="00A141A9">
        <w:t>BSL</w:t>
      </w:r>
      <w:proofErr w:type="spellEnd"/>
      <w:r w:rsidRPr="00A141A9">
        <w:t xml:space="preserve"> and </w:t>
      </w:r>
      <w:proofErr w:type="spellStart"/>
      <w:r w:rsidRPr="00A141A9">
        <w:t>RSB</w:t>
      </w:r>
      <w:proofErr w:type="spellEnd"/>
      <w:r w:rsidRPr="00A141A9">
        <w:t xml:space="preserve"> generated implementation strategies leveraging clinicians’ self-reported strategies and using EAST, the behavioral insights informed </w:t>
      </w:r>
      <w:r>
        <w:t>framework</w:t>
      </w:r>
      <w:r w:rsidRPr="00A141A9">
        <w:t xml:space="preserve">. </w:t>
      </w:r>
    </w:p>
    <w:p w14:paraId="01879B15" w14:textId="77777777" w:rsidR="00A01E89" w:rsidRPr="00A141A9" w:rsidRDefault="00A01E89" w:rsidP="00A01E89">
      <w:pPr>
        <w:spacing w:line="480" w:lineRule="auto"/>
        <w:jc w:val="both"/>
        <w:rPr>
          <w:b/>
          <w:bCs/>
          <w:i/>
          <w:iCs/>
        </w:rPr>
      </w:pPr>
      <w:r w:rsidRPr="00A141A9">
        <w:rPr>
          <w:b/>
          <w:bCs/>
          <w:i/>
          <w:iCs/>
        </w:rPr>
        <w:t>Clinicians Affective Experience</w:t>
      </w:r>
    </w:p>
    <w:p w14:paraId="4A551659" w14:textId="77777777" w:rsidR="00A01E89" w:rsidRPr="00A141A9" w:rsidRDefault="00A01E89" w:rsidP="00A01E89">
      <w:pPr>
        <w:spacing w:line="480" w:lineRule="auto"/>
        <w:ind w:firstLine="720"/>
        <w:jc w:val="both"/>
      </w:pPr>
      <w:r w:rsidRPr="00A141A9">
        <w:rPr>
          <w:b/>
          <w:bCs/>
        </w:rPr>
        <w:t>Overview of Coding Results</w:t>
      </w:r>
      <w:r w:rsidRPr="00A141A9">
        <w:t>. Step 1 generated several TN determinant codes such as “</w:t>
      </w:r>
      <w:r>
        <w:t>r</w:t>
      </w:r>
      <w:r w:rsidRPr="00A141A9">
        <w:t>oadmap,” “</w:t>
      </w:r>
      <w:r>
        <w:t>h</w:t>
      </w:r>
      <w:r w:rsidRPr="00A141A9">
        <w:t>opelessness,” “</w:t>
      </w:r>
      <w:r>
        <w:t>f</w:t>
      </w:r>
      <w:r w:rsidRPr="00A141A9">
        <w:t xml:space="preserve">ear of </w:t>
      </w:r>
      <w:r>
        <w:t>d</w:t>
      </w:r>
      <w:r w:rsidRPr="00A141A9">
        <w:t>ecompensation, “I lose momentum,” and “</w:t>
      </w:r>
      <w:r>
        <w:t>g</w:t>
      </w:r>
      <w:r w:rsidRPr="00A141A9">
        <w:t xml:space="preserve">ory </w:t>
      </w:r>
      <w:r>
        <w:t>d</w:t>
      </w:r>
      <w:r w:rsidRPr="00A141A9">
        <w:t>etails.” In Step 2, these codes were organized into broad themes such as “</w:t>
      </w:r>
      <w:r>
        <w:t>c</w:t>
      </w:r>
      <w:r w:rsidRPr="00A141A9">
        <w:t xml:space="preserve">linician </w:t>
      </w:r>
      <w:r>
        <w:t>c</w:t>
      </w:r>
      <w:r w:rsidRPr="00A141A9">
        <w:t>onfidence,” “</w:t>
      </w:r>
      <w:r>
        <w:t>p</w:t>
      </w:r>
      <w:r w:rsidRPr="00A141A9">
        <w:t xml:space="preserve">ublic </w:t>
      </w:r>
      <w:r>
        <w:t>h</w:t>
      </w:r>
      <w:r w:rsidRPr="00A141A9">
        <w:t xml:space="preserve">ealth </w:t>
      </w:r>
      <w:r>
        <w:t>c</w:t>
      </w:r>
      <w:r w:rsidRPr="00A141A9">
        <w:t>ontext,” and “</w:t>
      </w:r>
      <w:r>
        <w:t>c</w:t>
      </w:r>
      <w:r w:rsidRPr="00A141A9">
        <w:t xml:space="preserve">linician </w:t>
      </w:r>
      <w:r>
        <w:t>a</w:t>
      </w:r>
      <w:r w:rsidRPr="00A141A9">
        <w:t xml:space="preserve">ffective </w:t>
      </w:r>
      <w:r>
        <w:t>e</w:t>
      </w:r>
      <w:r w:rsidRPr="00A141A9">
        <w:t xml:space="preserve">xperience.” In Step 3, these codes were further reduced and deduplicated. In Step 4, these codes were organized into three broad themes, including clinician affective experience, and mapped onto behavioral insights. In Step 5, behavioral insights experts provided an expert check on the broad themes, TN determinants, and hypothesized behavioral insights. In Step 6, coders generated implementation strategies leveraging clinicians’ self-reported strategies and using EAST.  </w:t>
      </w:r>
    </w:p>
    <w:p w14:paraId="3D472422" w14:textId="77777777" w:rsidR="00A01E89" w:rsidRPr="00A141A9" w:rsidRDefault="00A01E89" w:rsidP="00A01E89">
      <w:pPr>
        <w:spacing w:line="480" w:lineRule="auto"/>
        <w:jc w:val="both"/>
        <w:rPr>
          <w:b/>
          <w:bCs/>
          <w:i/>
          <w:iCs/>
        </w:rPr>
      </w:pPr>
      <w:r w:rsidRPr="00A141A9">
        <w:rPr>
          <w:b/>
          <w:bCs/>
          <w:i/>
          <w:iCs/>
        </w:rPr>
        <w:t>Agency Norms</w:t>
      </w:r>
    </w:p>
    <w:p w14:paraId="6D41FC73" w14:textId="77777777" w:rsidR="00A01E89" w:rsidRPr="00A141A9" w:rsidRDefault="00A01E89" w:rsidP="00A01E89">
      <w:pPr>
        <w:spacing w:line="480" w:lineRule="auto"/>
        <w:ind w:firstLine="720"/>
        <w:jc w:val="both"/>
      </w:pPr>
      <w:r w:rsidRPr="00A141A9">
        <w:rPr>
          <w:b/>
          <w:bCs/>
        </w:rPr>
        <w:t>Overview of Coding Results</w:t>
      </w:r>
      <w:r w:rsidRPr="00A141A9">
        <w:t>. Step 1 generated several TN determinant codes such as “</w:t>
      </w:r>
      <w:r>
        <w:t>s</w:t>
      </w:r>
      <w:r w:rsidRPr="00A141A9">
        <w:t>upervisor support,” “</w:t>
      </w:r>
      <w:r>
        <w:t>a</w:t>
      </w:r>
      <w:r w:rsidRPr="00A141A9">
        <w:t xml:space="preserve">gency </w:t>
      </w:r>
      <w:r>
        <w:t>s</w:t>
      </w:r>
      <w:r w:rsidRPr="00A141A9">
        <w:t>upport” and “</w:t>
      </w:r>
      <w:r>
        <w:t>j</w:t>
      </w:r>
      <w:r w:rsidRPr="00A141A9">
        <w:t xml:space="preserve">ust </w:t>
      </w:r>
      <w:r>
        <w:t>w</w:t>
      </w:r>
      <w:r w:rsidRPr="00A141A9">
        <w:t xml:space="preserve">hat </w:t>
      </w:r>
      <w:r>
        <w:t>w</w:t>
      </w:r>
      <w:r w:rsidRPr="00A141A9">
        <w:t xml:space="preserve">e </w:t>
      </w:r>
      <w:r>
        <w:t>d</w:t>
      </w:r>
      <w:r w:rsidRPr="00A141A9">
        <w:t>o.” In Step 2, these codes were organized into the broad theme of “</w:t>
      </w:r>
      <w:r>
        <w:t>a</w:t>
      </w:r>
      <w:r w:rsidRPr="00A141A9">
        <w:t xml:space="preserve">gency </w:t>
      </w:r>
      <w:r>
        <w:t>n</w:t>
      </w:r>
      <w:r w:rsidRPr="00A141A9">
        <w:t>orm</w:t>
      </w:r>
      <w:r>
        <w:t>s</w:t>
      </w:r>
      <w:r w:rsidRPr="00A141A9">
        <w:t xml:space="preserve">.” In Step 3, these codes were further reduced to one code relating to agency norms, which </w:t>
      </w:r>
      <w:r>
        <w:t xml:space="preserve">became a </w:t>
      </w:r>
      <w:r w:rsidRPr="00A141A9">
        <w:t>broad theme in Step 4. In Step 4, the code “agency norms” was mapped onto behavioral insights, with expert validation in Step 5, and strategy de</w:t>
      </w:r>
      <w:r>
        <w:t>sign</w:t>
      </w:r>
      <w:r w:rsidRPr="00A141A9">
        <w:t xml:space="preserve"> in Step 6 using EAST. </w:t>
      </w:r>
    </w:p>
    <w:p w14:paraId="177EA84A" w14:textId="77777777" w:rsidR="00A01E89" w:rsidRDefault="00A01E89" w:rsidP="00A01E89"/>
    <w:p w14:paraId="710AD08F" w14:textId="77777777" w:rsidR="00A01E89" w:rsidRPr="00A564A4" w:rsidRDefault="00A01E89" w:rsidP="00A01E89"/>
    <w:p w14:paraId="17F63D20" w14:textId="77777777" w:rsidR="0053425E" w:rsidRDefault="0053425E"/>
    <w:sectPr w:rsidR="0053425E" w:rsidSect="00E2740A">
      <w:headerReference w:type="even" r:id="rId4"/>
      <w:headerReference w:type="default" r:id="rId5"/>
      <w:headerReference w:type="first" r:id="rI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4582643"/>
      <w:docPartObj>
        <w:docPartGallery w:val="Page Numbers (Top of Page)"/>
        <w:docPartUnique/>
      </w:docPartObj>
    </w:sdtPr>
    <w:sdtEndPr>
      <w:rPr>
        <w:rStyle w:val="PageNumber"/>
      </w:rPr>
    </w:sdtEndPr>
    <w:sdtContent>
      <w:p w14:paraId="46EFE833" w14:textId="77777777" w:rsidR="00D14953" w:rsidRDefault="00A01E89" w:rsidP="00E6474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ABB5E1" w14:textId="77777777" w:rsidR="00D14953" w:rsidRDefault="00A01E89" w:rsidP="001D444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49520144"/>
      <w:docPartObj>
        <w:docPartGallery w:val="Page Numbers (Top of Page)"/>
        <w:docPartUnique/>
      </w:docPartObj>
    </w:sdtPr>
    <w:sdtEndPr>
      <w:rPr>
        <w:rStyle w:val="PageNumber"/>
      </w:rPr>
    </w:sdtEndPr>
    <w:sdtContent>
      <w:p w14:paraId="1BC5B2E3" w14:textId="77777777" w:rsidR="00D14953" w:rsidRPr="00382682" w:rsidRDefault="00A01E89" w:rsidP="00E64744">
        <w:pPr>
          <w:pStyle w:val="Header"/>
          <w:framePr w:wrap="none" w:vAnchor="text" w:hAnchor="margin" w:xAlign="right" w:y="1"/>
          <w:rPr>
            <w:rStyle w:val="PageNumber"/>
          </w:rPr>
        </w:pPr>
        <w:r w:rsidRPr="000B7FC4">
          <w:rPr>
            <w:rStyle w:val="PageNumber"/>
          </w:rPr>
          <w:fldChar w:fldCharType="begin"/>
        </w:r>
        <w:r w:rsidRPr="000B7FC4">
          <w:rPr>
            <w:rStyle w:val="PageNumber"/>
          </w:rPr>
          <w:instrText xml:space="preserve"> PAGE </w:instrText>
        </w:r>
        <w:r w:rsidRPr="000B7FC4">
          <w:rPr>
            <w:rStyle w:val="PageNumber"/>
          </w:rPr>
          <w:fldChar w:fldCharType="separate"/>
        </w:r>
        <w:r>
          <w:rPr>
            <w:rStyle w:val="PageNumber"/>
            <w:noProof/>
          </w:rPr>
          <w:t>51</w:t>
        </w:r>
        <w:r w:rsidRPr="000B7FC4">
          <w:rPr>
            <w:rStyle w:val="PageNumber"/>
          </w:rPr>
          <w:fldChar w:fldCharType="end"/>
        </w:r>
      </w:p>
    </w:sdtContent>
  </w:sdt>
  <w:p w14:paraId="0A6C5E93" w14:textId="77777777" w:rsidR="00D14953" w:rsidRPr="000B7FC4" w:rsidRDefault="00A01E89" w:rsidP="00463B31">
    <w:pPr>
      <w:pStyle w:val="Header"/>
    </w:pPr>
    <w:r w:rsidRPr="000B7FC4">
      <w:t xml:space="preserve">TRAUMA NARRATIVE </w:t>
    </w:r>
    <w:r>
      <w:t>BEHAVIORAL INSIGHTS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AAC304" w14:textId="77777777" w:rsidR="00D14953" w:rsidRPr="001D4448" w:rsidRDefault="00A01E89" w:rsidP="001D444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E89"/>
    <w:rsid w:val="0053425E"/>
    <w:rsid w:val="00A01E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4B8F8"/>
  <w15:chartTrackingRefBased/>
  <w15:docId w15:val="{E2003815-D5BC-467C-9BD3-CA98DA933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E89"/>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A01E89"/>
    <w:rPr>
      <w:sz w:val="16"/>
      <w:szCs w:val="16"/>
    </w:rPr>
  </w:style>
  <w:style w:type="paragraph" w:styleId="Header">
    <w:name w:val="header"/>
    <w:basedOn w:val="Normal"/>
    <w:link w:val="HeaderChar"/>
    <w:uiPriority w:val="99"/>
    <w:unhideWhenUsed/>
    <w:rsid w:val="00A01E89"/>
    <w:pPr>
      <w:tabs>
        <w:tab w:val="center" w:pos="4680"/>
        <w:tab w:val="right" w:pos="9360"/>
      </w:tabs>
    </w:pPr>
  </w:style>
  <w:style w:type="character" w:customStyle="1" w:styleId="HeaderChar">
    <w:name w:val="Header Char"/>
    <w:basedOn w:val="DefaultParagraphFont"/>
    <w:link w:val="Header"/>
    <w:uiPriority w:val="99"/>
    <w:rsid w:val="00A01E89"/>
    <w:rPr>
      <w:rFonts w:ascii="Times New Roman" w:hAnsi="Times New Roman" w:cs="Times New Roman"/>
      <w:sz w:val="24"/>
      <w:szCs w:val="24"/>
    </w:rPr>
  </w:style>
  <w:style w:type="character" w:styleId="PageNumber">
    <w:name w:val="page number"/>
    <w:basedOn w:val="DefaultParagraphFont"/>
    <w:uiPriority w:val="99"/>
    <w:semiHidden/>
    <w:unhideWhenUsed/>
    <w:rsid w:val="00A01E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1286</Words>
  <Characters>7335</Characters>
  <Application>Microsoft Office Word</Application>
  <DocSecurity>0</DocSecurity>
  <Lines>61</Lines>
  <Paragraphs>17</Paragraphs>
  <ScaleCrop>false</ScaleCrop>
  <Company/>
  <LinksUpToDate>false</LinksUpToDate>
  <CharactersWithSpaces>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2020-12-31T13:53:00Z</dcterms:created>
  <dcterms:modified xsi:type="dcterms:W3CDTF">2020-12-31T13:53:00Z</dcterms:modified>
</cp:coreProperties>
</file>