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AE2EDD" w14:textId="77777777" w:rsidR="00B05162" w:rsidRPr="00955298" w:rsidRDefault="00B05162" w:rsidP="00B05162">
      <w:pPr>
        <w:spacing w:line="360" w:lineRule="auto"/>
        <w:jc w:val="center"/>
        <w:rPr>
          <w:rFonts w:ascii="Times New Roman" w:hAnsi="Times New Roman" w:cs="Times New Roman"/>
          <w:b/>
          <w:bCs/>
          <w:lang w:val="en-US"/>
        </w:rPr>
      </w:pPr>
      <w:r w:rsidRPr="00955298">
        <w:rPr>
          <w:rFonts w:ascii="Times New Roman" w:hAnsi="Times New Roman" w:cs="Times New Roman"/>
          <w:b/>
          <w:bCs/>
          <w:lang w:val="en-US"/>
        </w:rPr>
        <w:t xml:space="preserve">Additional file 2: </w:t>
      </w:r>
    </w:p>
    <w:p w14:paraId="6848B83D" w14:textId="32387946" w:rsidR="00B05162" w:rsidRPr="00955298" w:rsidRDefault="00B05162" w:rsidP="00B05162">
      <w:pPr>
        <w:spacing w:line="360" w:lineRule="auto"/>
        <w:jc w:val="center"/>
        <w:rPr>
          <w:rFonts w:ascii="Times New Roman" w:hAnsi="Times New Roman" w:cs="Times New Roman"/>
          <w:b/>
          <w:bCs/>
          <w:lang w:val="en-US"/>
        </w:rPr>
      </w:pPr>
      <w:r w:rsidRPr="00955298">
        <w:rPr>
          <w:rFonts w:ascii="Times New Roman" w:hAnsi="Times New Roman" w:cs="Times New Roman"/>
          <w:b/>
          <w:bCs/>
          <w:lang w:val="en-US"/>
        </w:rPr>
        <w:t>Definition of each working condition and risk factor for inclusion.</w:t>
      </w:r>
    </w:p>
    <w:p w14:paraId="48D0E1D6" w14:textId="77777777" w:rsidR="00B05162" w:rsidRPr="00955298" w:rsidRDefault="00B05162" w:rsidP="00B05162">
      <w:pPr>
        <w:spacing w:line="360" w:lineRule="auto"/>
        <w:jc w:val="center"/>
        <w:rPr>
          <w:rFonts w:ascii="Times New Roman" w:hAnsi="Times New Roman" w:cs="Times New Roman"/>
          <w:b/>
          <w:bCs/>
          <w:highlight w:val="yellow"/>
          <w:lang w:val="en-US"/>
        </w:rPr>
      </w:pPr>
    </w:p>
    <w:tbl>
      <w:tblPr>
        <w:tblStyle w:val="TableGrid"/>
        <w:tblW w:w="9351" w:type="dxa"/>
        <w:tblLook w:val="04A0" w:firstRow="1" w:lastRow="0" w:firstColumn="1" w:lastColumn="0" w:noHBand="0" w:noVBand="1"/>
      </w:tblPr>
      <w:tblGrid>
        <w:gridCol w:w="1456"/>
        <w:gridCol w:w="2508"/>
        <w:gridCol w:w="2977"/>
        <w:gridCol w:w="2410"/>
      </w:tblGrid>
      <w:tr w:rsidR="00B05162" w14:paraId="46F75E39" w14:textId="77777777" w:rsidTr="002F03AC">
        <w:trPr>
          <w:trHeight w:val="1089"/>
        </w:trPr>
        <w:tc>
          <w:tcPr>
            <w:tcW w:w="1456" w:type="dxa"/>
            <w:vAlign w:val="center"/>
          </w:tcPr>
          <w:p w14:paraId="1074BB3E" w14:textId="77777777" w:rsidR="00B05162" w:rsidRPr="0047013A" w:rsidRDefault="00B05162" w:rsidP="002F03AC">
            <w:pPr>
              <w:spacing w:line="480" w:lineRule="auto"/>
              <w:jc w:val="center"/>
              <w:rPr>
                <w:rFonts w:ascii="Times New Roman" w:hAnsi="Times New Roman" w:cs="Times New Roman"/>
                <w:b/>
                <w:bCs/>
                <w:sz w:val="20"/>
                <w:szCs w:val="20"/>
                <w:lang w:val="en-US"/>
              </w:rPr>
            </w:pPr>
            <w:r w:rsidRPr="0047013A">
              <w:rPr>
                <w:rFonts w:ascii="Times New Roman" w:hAnsi="Times New Roman" w:cs="Times New Roman"/>
                <w:b/>
                <w:bCs/>
                <w:sz w:val="20"/>
                <w:szCs w:val="20"/>
                <w:lang w:val="en-US"/>
              </w:rPr>
              <w:t>Working Condition/ Risk Factor</w:t>
            </w:r>
          </w:p>
        </w:tc>
        <w:tc>
          <w:tcPr>
            <w:tcW w:w="2508" w:type="dxa"/>
            <w:vAlign w:val="center"/>
          </w:tcPr>
          <w:p w14:paraId="693FED99" w14:textId="77777777" w:rsidR="00B05162" w:rsidRPr="0047013A" w:rsidRDefault="00B05162" w:rsidP="002F03AC">
            <w:pPr>
              <w:spacing w:line="480" w:lineRule="auto"/>
              <w:jc w:val="center"/>
              <w:rPr>
                <w:rFonts w:ascii="Times New Roman" w:hAnsi="Times New Roman" w:cs="Times New Roman"/>
                <w:b/>
                <w:bCs/>
                <w:sz w:val="20"/>
                <w:szCs w:val="20"/>
                <w:lang w:val="en-US"/>
              </w:rPr>
            </w:pPr>
            <w:r w:rsidRPr="0047013A">
              <w:rPr>
                <w:rFonts w:ascii="Times New Roman" w:hAnsi="Times New Roman" w:cs="Times New Roman"/>
                <w:b/>
                <w:bCs/>
                <w:sz w:val="20"/>
                <w:szCs w:val="20"/>
                <w:lang w:val="en-US"/>
              </w:rPr>
              <w:t>Definition</w:t>
            </w:r>
          </w:p>
        </w:tc>
        <w:tc>
          <w:tcPr>
            <w:tcW w:w="2977" w:type="dxa"/>
            <w:vAlign w:val="center"/>
          </w:tcPr>
          <w:p w14:paraId="548AE9A3" w14:textId="77777777" w:rsidR="00B05162" w:rsidRPr="0047013A" w:rsidRDefault="00B05162" w:rsidP="002F03AC">
            <w:pPr>
              <w:spacing w:line="480" w:lineRule="auto"/>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Measure*</w:t>
            </w:r>
          </w:p>
        </w:tc>
        <w:tc>
          <w:tcPr>
            <w:tcW w:w="2410" w:type="dxa"/>
            <w:vAlign w:val="center"/>
          </w:tcPr>
          <w:p w14:paraId="7031F0FF" w14:textId="77777777" w:rsidR="00B05162" w:rsidRDefault="00B05162" w:rsidP="002F03AC">
            <w:pPr>
              <w:spacing w:line="480" w:lineRule="auto"/>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V</w:t>
            </w:r>
            <w:r w:rsidRPr="00DA3C36">
              <w:rPr>
                <w:rFonts w:ascii="Times New Roman" w:hAnsi="Times New Roman" w:cs="Times New Roman"/>
                <w:b/>
                <w:bCs/>
                <w:sz w:val="20"/>
                <w:szCs w:val="20"/>
                <w:lang w:val="en-US"/>
              </w:rPr>
              <w:t>ariable operationalization</w:t>
            </w:r>
          </w:p>
        </w:tc>
      </w:tr>
      <w:tr w:rsidR="00B05162" w14:paraId="266B9EE4" w14:textId="77777777" w:rsidTr="002F03AC">
        <w:tc>
          <w:tcPr>
            <w:tcW w:w="1456" w:type="dxa"/>
          </w:tcPr>
          <w:p w14:paraId="1AE686A7" w14:textId="77777777" w:rsidR="00B05162" w:rsidRPr="0025358B" w:rsidRDefault="00B05162" w:rsidP="002F03AC">
            <w:pPr>
              <w:spacing w:before="100" w:beforeAutospacing="1" w:after="100" w:afterAutospacing="1" w:line="480" w:lineRule="auto"/>
              <w:contextualSpacing/>
              <w:jc w:val="both"/>
              <w:outlineLvl w:val="1"/>
              <w:rPr>
                <w:rFonts w:ascii="Times New Roman" w:eastAsia="Times New Roman" w:hAnsi="Times New Roman" w:cs="Times New Roman"/>
                <w:b/>
                <w:bCs/>
                <w:i/>
                <w:iCs/>
                <w:color w:val="000000" w:themeColor="text1"/>
                <w:sz w:val="20"/>
                <w:szCs w:val="20"/>
                <w:lang w:val="en-US" w:eastAsia="es-ES_tradnl"/>
              </w:rPr>
            </w:pPr>
            <w:r w:rsidRPr="0025358B">
              <w:rPr>
                <w:rFonts w:ascii="Times New Roman" w:eastAsia="Times New Roman" w:hAnsi="Times New Roman" w:cs="Times New Roman"/>
                <w:b/>
                <w:bCs/>
                <w:i/>
                <w:iCs/>
                <w:color w:val="000000" w:themeColor="text1"/>
                <w:sz w:val="20"/>
                <w:szCs w:val="20"/>
                <w:lang w:val="en-US" w:eastAsia="es-ES_tradnl"/>
              </w:rPr>
              <w:t xml:space="preserve">Job Strain </w:t>
            </w:r>
          </w:p>
          <w:p w14:paraId="18C87542" w14:textId="77777777" w:rsidR="00B05162" w:rsidRPr="0025358B" w:rsidRDefault="00B05162" w:rsidP="002F03AC">
            <w:pPr>
              <w:spacing w:before="100" w:beforeAutospacing="1" w:after="100" w:afterAutospacing="1" w:line="480" w:lineRule="auto"/>
              <w:contextualSpacing/>
              <w:jc w:val="both"/>
              <w:outlineLvl w:val="1"/>
              <w:rPr>
                <w:rFonts w:ascii="Times New Roman" w:hAnsi="Times New Roman" w:cs="Times New Roman"/>
                <w:sz w:val="20"/>
                <w:szCs w:val="20"/>
                <w:lang w:val="en-US"/>
              </w:rPr>
            </w:pPr>
          </w:p>
        </w:tc>
        <w:tc>
          <w:tcPr>
            <w:tcW w:w="2508" w:type="dxa"/>
          </w:tcPr>
          <w:p w14:paraId="5D472E7B" w14:textId="77777777" w:rsidR="00B05162" w:rsidRPr="009E1F68" w:rsidRDefault="00B05162" w:rsidP="002F03AC">
            <w:pPr>
              <w:spacing w:before="100" w:beforeAutospacing="1" w:after="100" w:afterAutospacing="1" w:line="480" w:lineRule="auto"/>
              <w:contextualSpacing/>
              <w:jc w:val="both"/>
              <w:outlineLvl w:val="1"/>
              <w:rPr>
                <w:rFonts w:ascii="Times New Roman" w:eastAsia="Arial Unicode MS" w:hAnsi="Times New Roman" w:cs="Times New Roman"/>
                <w:color w:val="000000" w:themeColor="text1"/>
                <w:sz w:val="20"/>
                <w:szCs w:val="20"/>
                <w:shd w:val="clear" w:color="auto" w:fill="FFFFFF"/>
                <w:lang w:val="en-US"/>
              </w:rPr>
            </w:pPr>
            <w:r w:rsidRPr="009E1F68">
              <w:rPr>
                <w:rFonts w:ascii="Times New Roman" w:hAnsi="Times New Roman" w:cs="Times New Roman"/>
                <w:color w:val="000000" w:themeColor="text1"/>
                <w:sz w:val="20"/>
                <w:szCs w:val="20"/>
                <w:lang w:val="en-US"/>
              </w:rPr>
              <w:t xml:space="preserve">According to the </w:t>
            </w:r>
            <w:proofErr w:type="spellStart"/>
            <w:r w:rsidRPr="009E1F68">
              <w:rPr>
                <w:rFonts w:ascii="Times New Roman" w:hAnsi="Times New Roman" w:cs="Times New Roman"/>
                <w:color w:val="000000" w:themeColor="text1"/>
                <w:sz w:val="20"/>
                <w:szCs w:val="20"/>
                <w:lang w:val="en-US"/>
              </w:rPr>
              <w:t>Karasek´s</w:t>
            </w:r>
            <w:proofErr w:type="spellEnd"/>
            <w:r w:rsidRPr="009E1F68">
              <w:rPr>
                <w:rFonts w:ascii="Times New Roman" w:hAnsi="Times New Roman" w:cs="Times New Roman"/>
                <w:color w:val="000000" w:themeColor="text1"/>
                <w:sz w:val="20"/>
                <w:szCs w:val="20"/>
                <w:lang w:val="en-US"/>
              </w:rPr>
              <w:t xml:space="preserve"> model, job strain is the consequence of a combination of high job demand and </w:t>
            </w:r>
            <w:r w:rsidRPr="009E1F68">
              <w:rPr>
                <w:rFonts w:ascii="Times New Roman" w:eastAsia="Arial Unicode MS" w:hAnsi="Times New Roman" w:cs="Times New Roman"/>
                <w:color w:val="000000" w:themeColor="text1"/>
                <w:sz w:val="20"/>
                <w:szCs w:val="20"/>
                <w:shd w:val="clear" w:color="auto" w:fill="FFFFFF"/>
                <w:lang w:val="en-US"/>
              </w:rPr>
              <w:t xml:space="preserve">low individual control over those demands </w:t>
            </w:r>
            <w:r w:rsidRPr="009E1F68">
              <w:rPr>
                <w:rFonts w:ascii="Times New Roman" w:hAnsi="Times New Roman" w:cs="Times New Roman"/>
                <w:color w:val="000000" w:themeColor="text1"/>
                <w:sz w:val="20"/>
                <w:szCs w:val="20"/>
                <w:lang w:val="en-US"/>
              </w:rPr>
              <w:fldChar w:fldCharType="begin" w:fldLock="1"/>
            </w:r>
            <w:r>
              <w:rPr>
                <w:rFonts w:ascii="Times New Roman" w:hAnsi="Times New Roman" w:cs="Times New Roman"/>
                <w:color w:val="000000" w:themeColor="text1"/>
                <w:sz w:val="20"/>
                <w:szCs w:val="20"/>
                <w:lang w:val="en-US"/>
              </w:rPr>
              <w:instrText>ADDIN CSL_CITATION {"citationItems":[{"id":"ITEM-1","itemData":{"DOI":"10.1016/j.pcad.2013.03.009","ISSN":"00330620","abstract":"Worldwide, there is variation in the incidence CVD with the greater burden being borne by low and middle-income countries. Traditional risk factors do not fully explain the CVD risk in populations, and there is increasing awareness of the impact the social environment and psychological factors have on CVD incidence and outcomes. The measurement of psychosocial variables is uniquely complex as variables are difficult to define objectively and local understanding of psychosocial risk factors may be subject to cultural influences. Notwithstanding this, there is a growing evidence base for the independent role they play in the pathogenesis of CVD. Consistent associations have been seen for general psychological stress, work-related stress, locus of control and depression with CVD risk. Despite the strength of this association the results from behavioural and pharmacological interventions have not clearly resulted in improved outcomes. © 2013 Elsevier Inc.","author":[{"dropping-particle":"","family":"Neylon","given":"Antoinette","non-dropping-particle":"","parse-names":false,"suffix":""},{"dropping-particle":"","family":"Canniffe","given":"Carla","non-dropping-particle":"","parse-names":false,"suffix":""},{"dropping-particle":"","family":"Anand","given":"Sonia","non-dropping-particle":"","parse-names":false,"suffix":""},{"dropping-particle":"","family":"Kreatsoulas","given":"Catherine","non-dropping-particle":"","parse-names":false,"suffix":""},{"dropping-particle":"","family":"Blake","given":"Gavin J.","non-dropping-particle":"","parse-names":false,"suffix":""},{"dropping-particle":"","family":"Sugrue","given":"Declan","non-dropping-particle":"","parse-names":false,"suffix":""},{"dropping-particle":"","family":"McGorrian","given":"Catherine","non-dropping-particle":"","parse-names":false,"suffix":""}],"container-title":"Progress in Cardiovascular Diseases","id":"ITEM-1","issue":"6","issued":{"date-parts":[["2013"]]},"page":"574-581","publisher":"Elsevier Inc.","title":"A Global perspective on psychosocial risk factors for cardiovascular disease","type":"article-journal","volume":"55"},"uris":["http://www.mendeley.com/documents/?uuid=51fa5296-7c79-4ad6-85d2-d5826f309efe"]}],"mendeley":{"formattedCitation":"(1)","plainTextFormattedCitation":"(1)","previouslyFormattedCitation":"(4)"},"properties":{"noteIndex":0},"schema":"https://github.com/citation-style-language/schema/raw/master/csl-citation.json"}</w:instrText>
            </w:r>
            <w:r w:rsidRPr="009E1F68">
              <w:rPr>
                <w:rFonts w:ascii="Times New Roman" w:hAnsi="Times New Roman" w:cs="Times New Roman"/>
                <w:color w:val="000000" w:themeColor="text1"/>
                <w:sz w:val="20"/>
                <w:szCs w:val="20"/>
                <w:lang w:val="en-US"/>
              </w:rPr>
              <w:fldChar w:fldCharType="separate"/>
            </w:r>
            <w:r w:rsidRPr="00B05162">
              <w:rPr>
                <w:rFonts w:ascii="Times New Roman" w:hAnsi="Times New Roman" w:cs="Times New Roman"/>
                <w:noProof/>
                <w:color w:val="000000" w:themeColor="text1"/>
                <w:sz w:val="20"/>
                <w:szCs w:val="20"/>
                <w:lang w:val="en-US"/>
              </w:rPr>
              <w:t>(1)</w:t>
            </w:r>
            <w:r w:rsidRPr="009E1F68">
              <w:rPr>
                <w:rFonts w:ascii="Times New Roman" w:hAnsi="Times New Roman" w:cs="Times New Roman"/>
                <w:color w:val="000000" w:themeColor="text1"/>
                <w:sz w:val="20"/>
                <w:szCs w:val="20"/>
                <w:lang w:val="en-US"/>
              </w:rPr>
              <w:fldChar w:fldCharType="end"/>
            </w:r>
            <w:r w:rsidRPr="009E1F68">
              <w:rPr>
                <w:rFonts w:ascii="Times New Roman" w:eastAsia="Arial Unicode MS" w:hAnsi="Times New Roman" w:cs="Times New Roman"/>
                <w:color w:val="000000" w:themeColor="text1"/>
                <w:sz w:val="20"/>
                <w:szCs w:val="20"/>
                <w:shd w:val="clear" w:color="auto" w:fill="FFFFFF"/>
                <w:lang w:val="en-US"/>
              </w:rPr>
              <w:t xml:space="preserve"> </w:t>
            </w:r>
            <w:r w:rsidRPr="009E1F68">
              <w:rPr>
                <w:rFonts w:ascii="Times New Roman" w:eastAsia="Arial Unicode MS" w:hAnsi="Times New Roman" w:cs="Times New Roman"/>
                <w:color w:val="000000" w:themeColor="text1"/>
                <w:sz w:val="20"/>
                <w:szCs w:val="20"/>
                <w:shd w:val="clear" w:color="auto" w:fill="FFFFFF"/>
                <w:lang w:val="en-US"/>
              </w:rPr>
              <w:fldChar w:fldCharType="begin" w:fldLock="1"/>
            </w:r>
            <w:r>
              <w:rPr>
                <w:rFonts w:ascii="Times New Roman" w:eastAsia="Arial Unicode MS" w:hAnsi="Times New Roman" w:cs="Times New Roman"/>
                <w:color w:val="000000" w:themeColor="text1"/>
                <w:sz w:val="20"/>
                <w:szCs w:val="20"/>
                <w:shd w:val="clear" w:color="auto" w:fill="FFFFFF"/>
                <w:lang w:val="en-US"/>
              </w:rPr>
              <w:instrText>ADDIN CSL_CITATION {"citationItems":[{"id":"ITEM-1","itemData":{"DOI":"10.1007/s11886-015-0630-8","ISSN":"15343170","abstract":"The role of psychosocial work stress as a risk factor for chronic disease has been the subject of considerable debate. Many researchers argue in support of a causal connection while others remain skeptical and have argued that the effect on specific health conditions is either negligible or confounded. This review of evidence from over 600,000 men and women from 27 cohort studies in Europe, the USA and Japan suggests that work stressors, such as job strain and long working hours, are associated with a moderately elevated risk of incident coronary heart disease and stroke. The excess risk for exposed individuals is 10–40 % compared with those free of such stressors. Differences between men and women, younger versus older employees and workers from different socioeconomic backgrounds appear to be small, indicating that the association is robust. Meta-analyses of a wider range of health outcomes show additionally an association between work stress and type 2 diabetes, though not with common cancers or chronic obstructive pulmonary disease, suggesting outcome specificity. Few studies have addressed whether mitigation of work stressors would reduce the risk of cardiovascular disease. In view of the limited interventional evidence on benefits, harms and cost-effectiveness, definitive recommendations have not been made (e.g. by the US Preventive Services Taskforce) for the primary prevention of cardiovascular disease via workplace stress reduction. Nevertheless, governments are already launching healthy workplace campaigns, and preventing excessive work stress is a legal obligation in several countries. Promoting awareness of the link between stress and health among both employers and workers is an important component of workplace health promotion.","author":[{"dropping-particle":"","family":"Kivimäki","given":"Mika","non-dropping-particle":"","parse-names":false,"suffix":""},{"dropping-particle":"","family":"Kawachi","given":"Ichiro","non-dropping-particle":"","parse-names":false,"suffix":""}],"container-title":"Current Cardiology Reports","id":"ITEM-1","issue":"9","issued":{"date-parts":[["2015"]]},"title":"Work Stress as a Risk Factor for Cardiovascular Disease","type":"article-journal","volume":"17"},"uris":["http://www.mendeley.com/documents/?uuid=57259671-1305-4dea-99b9-3caeb3e50478"]}],"mendeley":{"formattedCitation":"(2)","plainTextFormattedCitation":"(2)","previouslyFormattedCitation":"(9)"},"properties":{"noteIndex":0},"schema":"https://github.com/citation-style-language/schema/raw/master/csl-citation.json"}</w:instrText>
            </w:r>
            <w:r w:rsidRPr="009E1F68">
              <w:rPr>
                <w:rFonts w:ascii="Times New Roman" w:eastAsia="Arial Unicode MS" w:hAnsi="Times New Roman" w:cs="Times New Roman"/>
                <w:color w:val="000000" w:themeColor="text1"/>
                <w:sz w:val="20"/>
                <w:szCs w:val="20"/>
                <w:shd w:val="clear" w:color="auto" w:fill="FFFFFF"/>
                <w:lang w:val="en-US"/>
              </w:rPr>
              <w:fldChar w:fldCharType="separate"/>
            </w:r>
            <w:r w:rsidRPr="00B05162">
              <w:rPr>
                <w:rFonts w:ascii="Times New Roman" w:eastAsia="Arial Unicode MS" w:hAnsi="Times New Roman" w:cs="Times New Roman"/>
                <w:noProof/>
                <w:color w:val="000000" w:themeColor="text1"/>
                <w:sz w:val="20"/>
                <w:szCs w:val="20"/>
                <w:shd w:val="clear" w:color="auto" w:fill="FFFFFF"/>
                <w:lang w:val="en-US"/>
              </w:rPr>
              <w:t>(2)</w:t>
            </w:r>
            <w:r w:rsidRPr="009E1F68">
              <w:rPr>
                <w:rFonts w:ascii="Times New Roman" w:eastAsia="Arial Unicode MS" w:hAnsi="Times New Roman" w:cs="Times New Roman"/>
                <w:color w:val="000000" w:themeColor="text1"/>
                <w:sz w:val="20"/>
                <w:szCs w:val="20"/>
                <w:shd w:val="clear" w:color="auto" w:fill="FFFFFF"/>
                <w:lang w:val="en-US"/>
              </w:rPr>
              <w:fldChar w:fldCharType="end"/>
            </w:r>
          </w:p>
        </w:tc>
        <w:tc>
          <w:tcPr>
            <w:tcW w:w="2977" w:type="dxa"/>
          </w:tcPr>
          <w:p w14:paraId="0ECF05CB" w14:textId="77777777" w:rsidR="00B05162" w:rsidRPr="001C3410" w:rsidRDefault="00B05162" w:rsidP="002F03AC">
            <w:pPr>
              <w:spacing w:before="100" w:beforeAutospacing="1" w:after="100" w:afterAutospacing="1" w:line="480" w:lineRule="auto"/>
              <w:contextualSpacing/>
              <w:outlineLvl w:val="1"/>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J</w:t>
            </w:r>
            <w:r w:rsidRPr="001C3410">
              <w:rPr>
                <w:rFonts w:ascii="Times New Roman" w:hAnsi="Times New Roman" w:cs="Times New Roman"/>
                <w:color w:val="000000" w:themeColor="text1"/>
                <w:sz w:val="20"/>
                <w:szCs w:val="20"/>
                <w:lang w:val="en-US"/>
              </w:rPr>
              <w:t>ob-</w:t>
            </w:r>
            <w:r>
              <w:rPr>
                <w:rFonts w:ascii="Times New Roman" w:hAnsi="Times New Roman" w:cs="Times New Roman"/>
                <w:color w:val="000000" w:themeColor="text1"/>
                <w:sz w:val="20"/>
                <w:szCs w:val="20"/>
                <w:lang w:val="en-US"/>
              </w:rPr>
              <w:t>C</w:t>
            </w:r>
            <w:r w:rsidRPr="001C3410">
              <w:rPr>
                <w:rFonts w:ascii="Times New Roman" w:hAnsi="Times New Roman" w:cs="Times New Roman"/>
                <w:color w:val="000000" w:themeColor="text1"/>
                <w:sz w:val="20"/>
                <w:szCs w:val="20"/>
                <w:lang w:val="en-US"/>
              </w:rPr>
              <w:t xml:space="preserve">ontent </w:t>
            </w:r>
            <w:r>
              <w:rPr>
                <w:rFonts w:ascii="Times New Roman" w:hAnsi="Times New Roman" w:cs="Times New Roman"/>
                <w:color w:val="000000" w:themeColor="text1"/>
                <w:sz w:val="20"/>
                <w:szCs w:val="20"/>
                <w:lang w:val="en-US"/>
              </w:rPr>
              <w:t>Q</w:t>
            </w:r>
            <w:r w:rsidRPr="001C3410">
              <w:rPr>
                <w:rFonts w:ascii="Times New Roman" w:hAnsi="Times New Roman" w:cs="Times New Roman"/>
                <w:color w:val="000000" w:themeColor="text1"/>
                <w:sz w:val="20"/>
                <w:szCs w:val="20"/>
                <w:lang w:val="en-US"/>
              </w:rPr>
              <w:t>uestionnaire</w:t>
            </w:r>
            <w:r>
              <w:rPr>
                <w:rFonts w:ascii="Times New Roman" w:hAnsi="Times New Roman" w:cs="Times New Roman"/>
                <w:color w:val="000000" w:themeColor="text1"/>
                <w:sz w:val="20"/>
                <w:szCs w:val="20"/>
                <w:lang w:val="en-US"/>
              </w:rPr>
              <w:t xml:space="preserve"> </w:t>
            </w:r>
            <w:r>
              <w:rPr>
                <w:rFonts w:ascii="Times New Roman" w:hAnsi="Times New Roman" w:cs="Times New Roman"/>
                <w:color w:val="000000" w:themeColor="text1"/>
                <w:sz w:val="20"/>
                <w:szCs w:val="20"/>
                <w:lang w:val="en-US"/>
              </w:rPr>
              <w:fldChar w:fldCharType="begin" w:fldLock="1"/>
            </w:r>
            <w:r>
              <w:rPr>
                <w:rFonts w:ascii="Times New Roman" w:hAnsi="Times New Roman" w:cs="Times New Roman"/>
                <w:color w:val="000000" w:themeColor="text1"/>
                <w:sz w:val="20"/>
                <w:szCs w:val="20"/>
                <w:lang w:val="en-US"/>
              </w:rPr>
              <w:instrText>ADDIN CSL_CITATION {"citationItems":[{"id":"ITEM-1","itemData":{"DOI":"10.1017/S003329171600355X","author":[{"dropping-particle":"","family":"Madsen","given":"I E H","non-dropping-particle":"","parse-names":false,"suffix":""},{"dropping-particle":"","family":"Nyberg","given":"S T","non-dropping-particle":"","parse-names":false,"suffix":""},{"dropping-particle":"","family":"Hanson","given":"L L Magnusson","non-dropping-particle":"","parse-names":false,"suffix":""},{"dropping-particle":"","family":"Ferrie","given":"J E","non-dropping-particle":"","parse-names":false,"suffix":""},{"dropping-particle":"","family":"Ahola","given":"K","non-dropping-particle":"","parse-names":false,"suffix":""},{"dropping-particle":"","family":"Alfredsson","given":"L","non-dropping-particle":"","parse-names":false,"suffix":""}],"id":"ITEM-1","issued":{"date-parts":[["2017"]]},"page":"1342-1356","title":"Job strain as a risk factor for clinical depression : systematic review and meta-analysis with additional individual participant data","type":"article-journal"},"uris":["http://www.mendeley.com/documents/?uuid=b5b01acf-080b-4951-8268-ae7369ee13ea"]}],"mendeley":{"formattedCitation":"(3)","plainTextFormattedCitation":"(3)","previouslyFormattedCitation":"(21)"},"properties":{"noteIndex":0},"schema":"https://github.com/citation-style-language/schema/raw/master/csl-citation.json"}</w:instrText>
            </w:r>
            <w:r>
              <w:rPr>
                <w:rFonts w:ascii="Times New Roman" w:hAnsi="Times New Roman" w:cs="Times New Roman"/>
                <w:color w:val="000000" w:themeColor="text1"/>
                <w:sz w:val="20"/>
                <w:szCs w:val="20"/>
                <w:lang w:val="en-US"/>
              </w:rPr>
              <w:fldChar w:fldCharType="separate"/>
            </w:r>
            <w:r w:rsidRPr="00B05162">
              <w:rPr>
                <w:rFonts w:ascii="Times New Roman" w:hAnsi="Times New Roman" w:cs="Times New Roman"/>
                <w:noProof/>
                <w:color w:val="000000" w:themeColor="text1"/>
                <w:sz w:val="20"/>
                <w:szCs w:val="20"/>
                <w:lang w:val="en-US"/>
              </w:rPr>
              <w:t>(3)</w:t>
            </w:r>
            <w:r>
              <w:rPr>
                <w:rFonts w:ascii="Times New Roman" w:hAnsi="Times New Roman" w:cs="Times New Roman"/>
                <w:color w:val="000000" w:themeColor="text1"/>
                <w:sz w:val="20"/>
                <w:szCs w:val="20"/>
                <w:lang w:val="en-US"/>
              </w:rPr>
              <w:fldChar w:fldCharType="end"/>
            </w:r>
            <w:r w:rsidRPr="001C3410">
              <w:rPr>
                <w:rFonts w:ascii="Times New Roman" w:hAnsi="Times New Roman" w:cs="Times New Roman"/>
                <w:color w:val="000000" w:themeColor="text1"/>
                <w:sz w:val="20"/>
                <w:szCs w:val="20"/>
                <w:lang w:val="en-US"/>
              </w:rPr>
              <w:t xml:space="preserve"> </w:t>
            </w:r>
            <w:r>
              <w:rPr>
                <w:rFonts w:ascii="Times New Roman" w:hAnsi="Times New Roman" w:cs="Times New Roman"/>
                <w:color w:val="000000" w:themeColor="text1"/>
                <w:sz w:val="20"/>
                <w:szCs w:val="20"/>
                <w:lang w:val="en-US"/>
              </w:rPr>
              <w:t>a</w:t>
            </w:r>
            <w:r w:rsidRPr="001C3410">
              <w:rPr>
                <w:rFonts w:ascii="Times New Roman" w:hAnsi="Times New Roman" w:cs="Times New Roman"/>
                <w:color w:val="000000" w:themeColor="text1"/>
                <w:sz w:val="20"/>
                <w:szCs w:val="20"/>
                <w:lang w:val="en-US"/>
              </w:rPr>
              <w:t xml:space="preserve">nd </w:t>
            </w:r>
            <w:r>
              <w:rPr>
                <w:rFonts w:ascii="Times New Roman" w:hAnsi="Times New Roman" w:cs="Times New Roman"/>
                <w:color w:val="000000" w:themeColor="text1"/>
                <w:sz w:val="20"/>
                <w:szCs w:val="20"/>
                <w:lang w:val="en-US"/>
              </w:rPr>
              <w:t>D</w:t>
            </w:r>
            <w:r w:rsidRPr="001C3410">
              <w:rPr>
                <w:rFonts w:ascii="Times New Roman" w:hAnsi="Times New Roman" w:cs="Times New Roman"/>
                <w:color w:val="000000" w:themeColor="text1"/>
                <w:sz w:val="20"/>
                <w:szCs w:val="20"/>
                <w:lang w:val="en-US"/>
              </w:rPr>
              <w:t>emand-</w:t>
            </w:r>
            <w:r>
              <w:rPr>
                <w:rFonts w:ascii="Times New Roman" w:hAnsi="Times New Roman" w:cs="Times New Roman"/>
                <w:color w:val="000000" w:themeColor="text1"/>
                <w:sz w:val="20"/>
                <w:szCs w:val="20"/>
                <w:lang w:val="en-US"/>
              </w:rPr>
              <w:t>C</w:t>
            </w:r>
            <w:r w:rsidRPr="001C3410">
              <w:rPr>
                <w:rFonts w:ascii="Times New Roman" w:hAnsi="Times New Roman" w:cs="Times New Roman"/>
                <w:color w:val="000000" w:themeColor="text1"/>
                <w:sz w:val="20"/>
                <w:szCs w:val="20"/>
                <w:lang w:val="en-US"/>
              </w:rPr>
              <w:t xml:space="preserve">ontrol </w:t>
            </w:r>
            <w:r>
              <w:rPr>
                <w:rFonts w:ascii="Times New Roman" w:hAnsi="Times New Roman" w:cs="Times New Roman"/>
                <w:color w:val="000000" w:themeColor="text1"/>
                <w:sz w:val="20"/>
                <w:szCs w:val="20"/>
                <w:lang w:val="en-US"/>
              </w:rPr>
              <w:t>Q</w:t>
            </w:r>
            <w:r w:rsidRPr="001C3410">
              <w:rPr>
                <w:rFonts w:ascii="Times New Roman" w:hAnsi="Times New Roman" w:cs="Times New Roman"/>
                <w:color w:val="000000" w:themeColor="text1"/>
                <w:sz w:val="20"/>
                <w:szCs w:val="20"/>
                <w:lang w:val="en-US"/>
              </w:rPr>
              <w:t xml:space="preserve">uestionnaire </w:t>
            </w:r>
            <w:r w:rsidRPr="001C3410">
              <w:rPr>
                <w:rFonts w:ascii="Times New Roman" w:hAnsi="Times New Roman" w:cs="Times New Roman"/>
                <w:color w:val="000000" w:themeColor="text1"/>
                <w:sz w:val="20"/>
                <w:szCs w:val="20"/>
                <w:lang w:val="en-US"/>
              </w:rPr>
              <w:fldChar w:fldCharType="begin" w:fldLock="1"/>
            </w:r>
            <w:r>
              <w:rPr>
                <w:rFonts w:ascii="Times New Roman" w:hAnsi="Times New Roman" w:cs="Times New Roman"/>
                <w:color w:val="000000" w:themeColor="text1"/>
                <w:sz w:val="20"/>
                <w:szCs w:val="20"/>
                <w:lang w:val="en-US"/>
              </w:rPr>
              <w:instrText>ADDIN CSL_CITATION {"citationItems":[{"id":"ITEM-1","itemData":{"DOI":"10.1016/S0140-6736(15)60295-1","ISSN":"1474547X","PMID":"26298822","abstract":"Background Long working hours might increase the risk of cardiovascular disease, but prospective evidence is scarce, imprecise, and mostly limited to coronary heart disease. We aimed to assess long working hours as a risk factor for incident coronary heart disease and stroke. Methods We identified published studies through a systematic review of PubMed and Embase from inception to Aug 20, 2014. We obtained unpublished data for 20 cohort studies from the Individual-Participant-Data Meta-analysis in Working Populations (IPD-Work) Consortium and open-access data archives. We used cumulative random-effects meta-analysis to combine effect estimates from published and unpublished data. Findings We included 25 studies from 24 cohorts in Europe, the USA, and Australia. The meta-analysis of coronary heart disease comprised data for 603 838 men and women who were free from coronary heart disease at baseline; the meta-analysis of stroke comprised data for 528 908 men and women who were free from stroke at baseline. Follow-up for coronary heart disease was 5·1 million person-years (mean 8·5 years), in which 4768 events were recorded, and for stroke was 3·8 million person-years (mean 7·2 years), in which 1722 events were recorded. In cumulative meta-analysis adjusted for age, sex, and socioeconomic status, compared with standard hours (35-40 h per week), working long hours (≥55 h per week) was associated with an increase in risk of incident coronary heart disease (relative risk [RR] 1·13, 95% CI 1·02-1·26; p=0·02) and incident stroke (1·33, 1·11-1·61; p=0·002). The excess risk of stroke remained unchanged in analyses that addressed reverse causation, multivariable adjustments for other risk factors, and different methods of stroke ascertainment (range of RR estimates 1·30-1·42). We recorded a dose-response association for stroke, with RR estimates of 1·10 (95% CI 0·94-1·28; p=0·24) for 41-48 working hours, 1·27 (1·03-1·56; p=0·03) for 49-54 working hours, and 1·33 (1·11-1·61; p=0·002) for 55 working hours or more per week compared with standard working hours (ptrend&lt;0·0001). Interpretation Employees who work long hours have a higher risk of stroke than those working standard hours; the association with coronary heart disease is weaker. These findings suggest that more attention should be paid to the management of vascular risk factors in individuals who work long hours. Funding Medical Research Council, Economic and Social Research Council, European Union New and Em…","author":[{"dropping-particle":"","family":"Kivimäki","given":"Mika","non-dropping-particle":"","parse-names":false,"suffix":""},{"dropping-particle":"","family":"Jokela","given":"Markus","non-dropping-particle":"","parse-names":false,"suffix":""},{"dropping-particle":"","family":"Nyberg","given":"Solja T.","non-dropping-particle":"","parse-names":false,"suffix":""},{"dropping-particle":"","family":"Singh-Manoux","given":"Archana","non-dropping-particle":"","parse-names":false,"suffix":""},{"dropping-particle":"","family":"Fransson","given":"Eleonor I.","non-dropping-particle":"","parse-names":false,"suffix":""},{"dropping-particle":"","family":"Alfredsson","given":"Lars","non-dropping-particle":"","parse-names":false,"suffix":""},{"dropping-particle":"","family":"Bjorner","given":"Jakob B.","non-dropping-particle":"","parse-names":false,"suffix":""},{"dropping-particle":"","family":"Borritz","given":"Marianne","non-dropping-particle":"","parse-names":false,"suffix":""},{"dropping-particle":"","family":"Burr","given":"Hermann","non-dropping-particle":"","parse-names":false,"suffix":""},{"dropping-particle":"","family":"Casini","given":"Annalisa","non-dropping-particle":"","parse-names":false,"suffix":""},{"dropping-particle":"","family":"Clays","given":"Els","non-dropping-particle":"","parse-names":false,"suffix":""},{"dropping-particle":"","family":"Bacquer","given":"Dirk","non-dropping-particle":"De","parse-names":false,"suffix":""},{"dropping-particle":"","family":"Dragano","given":"Nico","non-dropping-particle":"","parse-names":false,"suffix":""},{"dropping-particle":"","family":"Erbel","given":"Raimund","non-dropping-particle":"","parse-names":false,"suffix":""},{"dropping-particle":"","family":"Geuskens","given":"Goedele A.","non-dropping-particle":"","parse-names":false,"suffix":""},{"dropping-particle":"","family":"Hamer","given":"Mark","non-dropping-particle":"","parse-names":false,"suffix":""},{"dropping-particle":"","family":"Hooftman","given":"Wendela E.","non-dropping-particle":"","parse-names":false,"suffix":""},{"dropping-particle":"","family":"Houtman","given":"Irene L.","non-dropping-particle":"","parse-names":false,"suffix":""},{"dropping-particle":"","family":"Jöckel","given":"Karl Heinz","non-dropping-particle":"","parse-names":false,"suffix":""},{"dropping-particle":"","family":"Kittel","given":"France","non-dropping-particle":"","parse-names":false,"suffix":""},{"dropping-particle":"","family":"Knutsson","given":"Anders","non-dropping-particle":"","parse-names":false,"suffix":""},{"dropping-particle":"","family":"Koskenvuo","given":"Markku","non-dropping-particle":"","parse-names":false,"suffix":""},{"dropping-particle":"","family":"Lunau","given":"Thorsten","non-dropping-particle":"","parse-names":false,"suffix":""},{"dropping-particle":"","family":"Madsen","given":"Ida E.H.","non-dropping-particle":"","parse-names":false,"suffix":""},{"dropping-particle":"","family":"Nielsen","given":"Martin L.","non-dropping-particle":"","parse-names":false,"suffix":""},{"dropping-particle":"","family":"Nordin","given":"Maria","non-dropping-particle":"","parse-names":false,"suffix":""},{"dropping-particle":"","family":"Oksanen","given":"Tuula","non-dropping-particle":"","parse-names":false,"suffix":""},{"dropping-particle":"","family":"Pejtersen","given":"Jan H.","non-dropping-particle":"","parse-names":false,"suffix":""},{"dropping-particle":"","family":"Pentti","given":"Jaana","non-dropping-particle":"","parse-names":false,"suffix":""},{"dropping-particle":"","family":"Rugulies","given":"Reiner","non-dropping-particle":"","parse-names":false,"suffix":""},{"dropping-particle":"","family":"Salo","given":"Paula","non-dropping-particle":"","parse-names":false,"suffix":""},{"dropping-particle":"","family":"Shipley","given":"Martin J.","non-dropping-particle":"","parse-names":false,"suffix":""},{"dropping-particle":"","family":"Siegrist","given":"Johannes","non-dropping-particle":"","parse-names":false,"suffix":""},{"dropping-particle":"","family":"Steptoe","given":"Andrew","non-dropping-particle":"","parse-names":false,"suffix":""},{"dropping-particle":"","family":"Suominen","given":"Sakari B.","non-dropping-particle":"","parse-names":false,"suffix":""},{"dropping-particle":"","family":"Theorell","given":"Töres","non-dropping-particle":"","parse-names":false,"suffix":""},{"dropping-particle":"","family":"Vahtera","given":"Jussi","non-dropping-particle":"","parse-names":false,"suffix":""},{"dropping-particle":"","family":"Westerholm","given":"Peter J.M.","non-dropping-particle":"","parse-names":false,"suffix":""},{"dropping-particle":"","family":"Westerlund","given":"Hugo","non-dropping-particle":"","parse-names":false,"suffix":""},{"dropping-particle":"","family":"O'Reilly","given":"Dermot","non-dropping-particle":"","parse-names":false,"suffix":""},{"dropping-particle":"","family":"Kumari","given":"Meena","non-dropping-particle":"","parse-names":false,"suffix":""},{"dropping-particle":"","family":"Batty","given":"G. David","non-dropping-particle":"","parse-names":false,"suffix":""},{"dropping-particle":"","family":"Ferrie","given":"Jane E.","non-dropping-particle":"","parse-names":false,"suffix":""},{"dropping-particle":"","family":"Virtanen","given":"Marianna","non-dropping-particle":"","parse-names":false,"suffix":""}],"container-title":"The Lancet","id":"ITEM-1","issue":"10005","issued":{"date-parts":[["2015"]]},"page":"1739-1746","title":"Long working hours and risk of coronary heart disease and stroke: A systematic review and meta-analysis of published and unpublished data for 603 838 individuals","type":"article-journal","volume":"386"},"uris":["http://www.mendeley.com/documents/?uuid=8e8cec0d-af1f-4d4b-813f-32f01422a352"]}],"mendeley":{"formattedCitation":"(4)","plainTextFormattedCitation":"(4)","previouslyFormattedCitation":"(22)"},"properties":{"noteIndex":0},"schema":"https://github.com/citation-style-language/schema/raw/master/csl-citation.json"}</w:instrText>
            </w:r>
            <w:r w:rsidRPr="001C3410">
              <w:rPr>
                <w:rFonts w:ascii="Times New Roman" w:hAnsi="Times New Roman" w:cs="Times New Roman"/>
                <w:color w:val="000000" w:themeColor="text1"/>
                <w:sz w:val="20"/>
                <w:szCs w:val="20"/>
                <w:lang w:val="en-US"/>
              </w:rPr>
              <w:fldChar w:fldCharType="separate"/>
            </w:r>
            <w:r w:rsidRPr="00B05162">
              <w:rPr>
                <w:rFonts w:ascii="Times New Roman" w:hAnsi="Times New Roman" w:cs="Times New Roman"/>
                <w:noProof/>
                <w:color w:val="000000" w:themeColor="text1"/>
                <w:sz w:val="20"/>
                <w:szCs w:val="20"/>
                <w:lang w:val="en-US"/>
              </w:rPr>
              <w:t>(4)</w:t>
            </w:r>
            <w:r w:rsidRPr="001C3410">
              <w:rPr>
                <w:rFonts w:ascii="Times New Roman" w:hAnsi="Times New Roman" w:cs="Times New Roman"/>
                <w:color w:val="000000" w:themeColor="text1"/>
                <w:sz w:val="20"/>
                <w:szCs w:val="20"/>
                <w:lang w:val="en-US"/>
              </w:rPr>
              <w:fldChar w:fldCharType="end"/>
            </w:r>
          </w:p>
          <w:p w14:paraId="371DFFCF" w14:textId="77777777" w:rsidR="00B05162" w:rsidRPr="00B329CB" w:rsidRDefault="00B05162" w:rsidP="002F03AC">
            <w:pPr>
              <w:autoSpaceDE w:val="0"/>
              <w:autoSpaceDN w:val="0"/>
              <w:adjustRightInd w:val="0"/>
              <w:rPr>
                <w:rFonts w:ascii="Times New Roman" w:hAnsi="Times New Roman" w:cs="Times New Roman"/>
                <w:color w:val="000000" w:themeColor="text1"/>
                <w:sz w:val="20"/>
                <w:szCs w:val="20"/>
                <w:lang w:val="en-US"/>
              </w:rPr>
            </w:pPr>
          </w:p>
        </w:tc>
        <w:tc>
          <w:tcPr>
            <w:tcW w:w="2410" w:type="dxa"/>
          </w:tcPr>
          <w:p w14:paraId="14EB717B" w14:textId="77777777" w:rsidR="00B05162" w:rsidRPr="00F31435" w:rsidRDefault="00B05162" w:rsidP="002F03AC">
            <w:pPr>
              <w:spacing w:before="100" w:beforeAutospacing="1" w:after="100" w:afterAutospacing="1" w:line="480" w:lineRule="auto"/>
              <w:contextualSpacing/>
              <w:outlineLvl w:val="1"/>
              <w:rPr>
                <w:rFonts w:ascii="Times New Roman" w:hAnsi="Times New Roman" w:cs="Times New Roman"/>
                <w:color w:val="000000" w:themeColor="text1"/>
                <w:sz w:val="20"/>
                <w:szCs w:val="20"/>
                <w:lang w:val="en-US"/>
              </w:rPr>
            </w:pPr>
            <w:r w:rsidRPr="00F31435">
              <w:rPr>
                <w:rFonts w:ascii="Times New Roman" w:hAnsi="Times New Roman" w:cs="Times New Roman"/>
                <w:color w:val="000000" w:themeColor="text1"/>
                <w:sz w:val="20"/>
                <w:szCs w:val="20"/>
                <w:lang w:val="en-US"/>
              </w:rPr>
              <w:t xml:space="preserve">Combination of high demands and low control (four-quadrant diagram) </w:t>
            </w:r>
            <w:r w:rsidRPr="00F31435">
              <w:rPr>
                <w:rFonts w:ascii="Times New Roman" w:hAnsi="Times New Roman" w:cs="Times New Roman"/>
                <w:color w:val="000000" w:themeColor="text1"/>
                <w:sz w:val="20"/>
                <w:szCs w:val="20"/>
                <w:lang w:val="en-US"/>
              </w:rPr>
              <w:fldChar w:fldCharType="begin" w:fldLock="1"/>
            </w:r>
            <w:r>
              <w:rPr>
                <w:rFonts w:ascii="Times New Roman" w:hAnsi="Times New Roman" w:cs="Times New Roman"/>
                <w:color w:val="000000" w:themeColor="text1"/>
                <w:sz w:val="20"/>
                <w:szCs w:val="20"/>
                <w:lang w:val="en-US"/>
              </w:rPr>
              <w:instrText>ADDIN CSL_CITATION {"citationItems":[{"id":"ITEM-1","itemData":{"author":[{"dropping-particle":"","family":"Karasek","given":"Robert","non-dropping-particle":"","parse-names":false,"suffix":""},{"dropping-particle":"","family":"Brisson","given":"Chantal","non-dropping-particle":"","parse-names":false,"suffix":""},{"dropping-particle":"","family":"Houtman","given":"Irene","non-dropping-particle":"","parse-names":false,"suffix":""},{"dropping-particle":"","family":"Bongers","given":"Paulien","non-dropping-particle":"","parse-names":false,"suffix":""},{"dropping-particle":"","family":"Amick","given":"Benjamin","non-dropping-particle":"","parse-names":false,"suffix":""}],"container-title":"Occupational Health Psychology","id":"ITEM-1","issue":"4","issued":{"date-parts":[["1998"]]},"page":"322-355","title":"The Job Content Questionnaire (JCQ): An Instrument for Internationally Comparative Assessments of Psychosocial Job Characteristics","type":"article-journal","volume":"3"},"uris":["http://www.mendeley.com/documents/?uuid=d2fbf250-35f9-4026-8176-0144ef0be935"]}],"mendeley":{"formattedCitation":"(5)","plainTextFormattedCitation":"(5)","previouslyFormattedCitation":"(23)"},"properties":{"noteIndex":0},"schema":"https://github.com/citation-style-language/schema/raw/master/csl-citation.json"}</w:instrText>
            </w:r>
            <w:r w:rsidRPr="00F31435">
              <w:rPr>
                <w:rFonts w:ascii="Times New Roman" w:hAnsi="Times New Roman" w:cs="Times New Roman"/>
                <w:color w:val="000000" w:themeColor="text1"/>
                <w:sz w:val="20"/>
                <w:szCs w:val="20"/>
                <w:lang w:val="en-US"/>
              </w:rPr>
              <w:fldChar w:fldCharType="separate"/>
            </w:r>
            <w:r w:rsidRPr="00B05162">
              <w:rPr>
                <w:rFonts w:ascii="Times New Roman" w:hAnsi="Times New Roman" w:cs="Times New Roman"/>
                <w:noProof/>
                <w:color w:val="000000" w:themeColor="text1"/>
                <w:sz w:val="20"/>
                <w:szCs w:val="20"/>
                <w:lang w:val="en-US"/>
              </w:rPr>
              <w:t>(5)</w:t>
            </w:r>
            <w:r w:rsidRPr="00F31435">
              <w:rPr>
                <w:rFonts w:ascii="Times New Roman" w:hAnsi="Times New Roman" w:cs="Times New Roman"/>
                <w:color w:val="000000" w:themeColor="text1"/>
                <w:sz w:val="20"/>
                <w:szCs w:val="20"/>
                <w:lang w:val="en-US"/>
              </w:rPr>
              <w:fldChar w:fldCharType="end"/>
            </w:r>
          </w:p>
          <w:p w14:paraId="276D47E3" w14:textId="77777777" w:rsidR="00B05162" w:rsidRPr="00F31435" w:rsidRDefault="00B05162" w:rsidP="002F03AC">
            <w:pPr>
              <w:autoSpaceDE w:val="0"/>
              <w:autoSpaceDN w:val="0"/>
              <w:adjustRightInd w:val="0"/>
              <w:jc w:val="both"/>
              <w:rPr>
                <w:rFonts w:ascii="Times New Roman" w:hAnsi="Times New Roman" w:cs="Times New Roman"/>
                <w:color w:val="000000" w:themeColor="text1"/>
                <w:sz w:val="20"/>
                <w:szCs w:val="20"/>
                <w:lang w:val="en-US"/>
              </w:rPr>
            </w:pPr>
          </w:p>
        </w:tc>
      </w:tr>
      <w:tr w:rsidR="00B05162" w14:paraId="10DD8618" w14:textId="77777777" w:rsidTr="002F03AC">
        <w:tc>
          <w:tcPr>
            <w:tcW w:w="1456" w:type="dxa"/>
          </w:tcPr>
          <w:p w14:paraId="09BB58FD" w14:textId="77777777" w:rsidR="00B05162" w:rsidRPr="000A0A6E" w:rsidRDefault="00B05162" w:rsidP="002F03AC">
            <w:pPr>
              <w:spacing w:line="480" w:lineRule="auto"/>
              <w:jc w:val="both"/>
              <w:rPr>
                <w:rFonts w:ascii="Times New Roman" w:eastAsia="Times New Roman" w:hAnsi="Times New Roman" w:cs="Times New Roman"/>
                <w:b/>
                <w:bCs/>
                <w:i/>
                <w:iCs/>
                <w:color w:val="000000" w:themeColor="text1"/>
                <w:sz w:val="20"/>
                <w:szCs w:val="20"/>
                <w:lang w:val="en-US" w:eastAsia="es-ES_tradnl"/>
              </w:rPr>
            </w:pPr>
            <w:r w:rsidRPr="0025358B">
              <w:rPr>
                <w:rFonts w:ascii="Times New Roman" w:eastAsia="Times New Roman" w:hAnsi="Times New Roman" w:cs="Times New Roman"/>
                <w:b/>
                <w:bCs/>
                <w:i/>
                <w:iCs/>
                <w:color w:val="000000" w:themeColor="text1"/>
                <w:sz w:val="20"/>
                <w:szCs w:val="20"/>
                <w:lang w:val="en-US" w:eastAsia="es-ES_tradnl"/>
              </w:rPr>
              <w:t>Effort–reward imbalance</w:t>
            </w:r>
            <w:r>
              <w:rPr>
                <w:rFonts w:ascii="Times New Roman" w:eastAsia="Times New Roman" w:hAnsi="Times New Roman" w:cs="Times New Roman"/>
                <w:b/>
                <w:bCs/>
                <w:i/>
                <w:iCs/>
                <w:color w:val="000000" w:themeColor="text1"/>
                <w:sz w:val="20"/>
                <w:szCs w:val="20"/>
                <w:lang w:val="en-US" w:eastAsia="es-ES_tradnl"/>
              </w:rPr>
              <w:t xml:space="preserve"> (ERI)</w:t>
            </w:r>
          </w:p>
        </w:tc>
        <w:tc>
          <w:tcPr>
            <w:tcW w:w="2508" w:type="dxa"/>
          </w:tcPr>
          <w:p w14:paraId="73519250" w14:textId="77777777" w:rsidR="00B05162" w:rsidRPr="00CA5E60" w:rsidRDefault="00B05162" w:rsidP="002F03AC">
            <w:pPr>
              <w:autoSpaceDE w:val="0"/>
              <w:autoSpaceDN w:val="0"/>
              <w:adjustRightInd w:val="0"/>
              <w:spacing w:line="480" w:lineRule="auto"/>
              <w:jc w:val="both"/>
              <w:rPr>
                <w:rFonts w:ascii="Times New Roman" w:hAnsi="Times New Roman" w:cs="Times New Roman"/>
                <w:color w:val="000000" w:themeColor="text1"/>
                <w:sz w:val="20"/>
                <w:szCs w:val="20"/>
                <w:lang w:val="en-US"/>
              </w:rPr>
            </w:pPr>
            <w:r w:rsidRPr="00CA5E60">
              <w:rPr>
                <w:rFonts w:ascii="Times New Roman" w:hAnsi="Times New Roman" w:cs="Times New Roman"/>
                <w:color w:val="000000" w:themeColor="text1"/>
                <w:sz w:val="20"/>
                <w:szCs w:val="20"/>
                <w:lang w:val="en-US"/>
              </w:rPr>
              <w:t xml:space="preserve">In the Siegrist`s model, ERI is the mismatch between high effort, low reward, and the individuals' exhaustive coping style (or overcommitment) </w:t>
            </w:r>
            <w:r w:rsidRPr="00CA5E60">
              <w:rPr>
                <w:rFonts w:ascii="Times New Roman" w:hAnsi="Times New Roman" w:cs="Times New Roman"/>
                <w:color w:val="000000" w:themeColor="text1"/>
                <w:sz w:val="20"/>
                <w:szCs w:val="20"/>
                <w:lang w:val="en-US"/>
              </w:rPr>
              <w:fldChar w:fldCharType="begin" w:fldLock="1"/>
            </w:r>
            <w:r>
              <w:rPr>
                <w:rFonts w:ascii="Times New Roman" w:hAnsi="Times New Roman" w:cs="Times New Roman"/>
                <w:color w:val="000000" w:themeColor="text1"/>
                <w:sz w:val="20"/>
                <w:szCs w:val="20"/>
                <w:lang w:val="en-US"/>
              </w:rPr>
              <w:instrText>ADDIN CSL_CITATION {"citationItems":[{"id":"ITEM-1","itemData":{"DOI":"10.1007/s11886-015-0630-8","ISSN":"15343170","abstract":"The role of psychosocial work stress as a risk factor for chronic disease has been the subject of considerable debate. Many researchers argue in support of a causal connection while others remain skeptical and have argued that the effect on specific health conditions is either negligible or confounded. This review of evidence from over 600,000 men and women from 27 cohort studies in Europe, the USA and Japan suggests that work stressors, such as job strain and long working hours, are associated with a moderately elevated risk of incident coronary heart disease and stroke. The excess risk for exposed individuals is 10–40 % compared with those free of such stressors. Differences between men and women, younger versus older employees and workers from different socioeconomic backgrounds appear to be small, indicating that the association is robust. Meta-analyses of a wider range of health outcomes show additionally an association between work stress and type 2 diabetes, though not with common cancers or chronic obstructive pulmonary disease, suggesting outcome specificity. Few studies have addressed whether mitigation of work stressors would reduce the risk of cardiovascular disease. In view of the limited interventional evidence on benefits, harms and cost-effectiveness, definitive recommendations have not been made (e.g. by the US Preventive Services Taskforce) for the primary prevention of cardiovascular disease via workplace stress reduction. Nevertheless, governments are already launching healthy workplace campaigns, and preventing excessive work stress is a legal obligation in several countries. Promoting awareness of the link between stress and health among both employers and workers is an important component of workplace health promotion.","author":[{"dropping-particle":"","family":"Kivimäki","given":"Mika","non-dropping-particle":"","parse-names":false,"suffix":""},{"dropping-particle":"","family":"Kawachi","given":"Ichiro","non-dropping-particle":"","parse-names":false,"suffix":""}],"container-title":"Current Cardiology Reports","id":"ITEM-1","issue":"9","issued":{"date-parts":[["2015"]]},"title":"Work Stress as a Risk Factor for Cardiovascular Disease","type":"article-journal","volume":"17"},"uris":["http://www.mendeley.com/documents/?uuid=57259671-1305-4dea-99b9-3caeb3e50478"]}],"mendeley":{"formattedCitation":"(2)","plainTextFormattedCitation":"(2)","previouslyFormattedCitation":"(9)"},"properties":{"noteIndex":0},"schema":"https://github.com/citation-style-language/schema/raw/master/csl-citation.json"}</w:instrText>
            </w:r>
            <w:r w:rsidRPr="00CA5E60">
              <w:rPr>
                <w:rFonts w:ascii="Times New Roman" w:hAnsi="Times New Roman" w:cs="Times New Roman"/>
                <w:color w:val="000000" w:themeColor="text1"/>
                <w:sz w:val="20"/>
                <w:szCs w:val="20"/>
                <w:lang w:val="en-US"/>
              </w:rPr>
              <w:fldChar w:fldCharType="separate"/>
            </w:r>
            <w:r w:rsidRPr="00B05162">
              <w:rPr>
                <w:rFonts w:ascii="Times New Roman" w:hAnsi="Times New Roman" w:cs="Times New Roman"/>
                <w:noProof/>
                <w:color w:val="000000" w:themeColor="text1"/>
                <w:sz w:val="20"/>
                <w:szCs w:val="20"/>
                <w:lang w:val="en-US"/>
              </w:rPr>
              <w:t>(2)</w:t>
            </w:r>
            <w:r w:rsidRPr="00CA5E60">
              <w:rPr>
                <w:rFonts w:ascii="Times New Roman" w:hAnsi="Times New Roman" w:cs="Times New Roman"/>
                <w:color w:val="000000" w:themeColor="text1"/>
                <w:sz w:val="20"/>
                <w:szCs w:val="20"/>
                <w:lang w:val="en-US"/>
              </w:rPr>
              <w:fldChar w:fldCharType="end"/>
            </w:r>
          </w:p>
        </w:tc>
        <w:tc>
          <w:tcPr>
            <w:tcW w:w="2977" w:type="dxa"/>
          </w:tcPr>
          <w:p w14:paraId="1B66EDF1" w14:textId="77777777" w:rsidR="00B05162" w:rsidRPr="000A0A6E" w:rsidRDefault="00B05162" w:rsidP="002F03AC">
            <w:pPr>
              <w:autoSpaceDE w:val="0"/>
              <w:autoSpaceDN w:val="0"/>
              <w:adjustRightInd w:val="0"/>
              <w:spacing w:line="480" w:lineRule="auto"/>
              <w:rPr>
                <w:rFonts w:ascii="Times New Roman" w:hAnsi="Times New Roman" w:cs="Times New Roman"/>
                <w:color w:val="FF0000"/>
                <w:sz w:val="20"/>
                <w:szCs w:val="20"/>
                <w:lang w:val="en-US"/>
              </w:rPr>
            </w:pPr>
            <w:r w:rsidRPr="003C6CC9">
              <w:rPr>
                <w:rFonts w:ascii="Times New Roman" w:hAnsi="Times New Roman" w:cs="Times New Roman"/>
                <w:color w:val="000000" w:themeColor="text1"/>
                <w:sz w:val="20"/>
                <w:szCs w:val="20"/>
                <w:lang w:val="en-US"/>
              </w:rPr>
              <w:t>Effort–reward imbalance</w:t>
            </w:r>
            <w:r>
              <w:rPr>
                <w:rFonts w:ascii="Times New Roman" w:hAnsi="Times New Roman" w:cs="Times New Roman"/>
                <w:color w:val="000000" w:themeColor="text1"/>
                <w:sz w:val="20"/>
                <w:szCs w:val="20"/>
                <w:lang w:val="en-US"/>
              </w:rPr>
              <w:t xml:space="preserve"> </w:t>
            </w:r>
            <w:r w:rsidRPr="003C6CC9">
              <w:rPr>
                <w:rFonts w:ascii="Times New Roman" w:hAnsi="Times New Roman" w:cs="Times New Roman"/>
                <w:color w:val="000000" w:themeColor="text1"/>
                <w:sz w:val="20"/>
                <w:szCs w:val="20"/>
                <w:lang w:val="en-US"/>
              </w:rPr>
              <w:t xml:space="preserve">Questionnaire </w:t>
            </w:r>
            <w:r w:rsidRPr="003C6CC9">
              <w:rPr>
                <w:rFonts w:ascii="Times New Roman" w:hAnsi="Times New Roman" w:cs="Times New Roman"/>
                <w:color w:val="000000" w:themeColor="text1"/>
                <w:sz w:val="20"/>
                <w:szCs w:val="20"/>
                <w:lang w:val="en-US"/>
              </w:rPr>
              <w:fldChar w:fldCharType="begin" w:fldLock="1"/>
            </w:r>
            <w:r>
              <w:rPr>
                <w:rFonts w:ascii="Times New Roman" w:hAnsi="Times New Roman" w:cs="Times New Roman"/>
                <w:color w:val="000000" w:themeColor="text1"/>
                <w:sz w:val="20"/>
                <w:szCs w:val="20"/>
                <w:lang w:val="en-US"/>
              </w:rPr>
              <w:instrText>ADDIN CSL_CITATION {"citationItems":[{"id":"ITEM-1","itemData":{"DOI":"10.1016/S0277-9536(03)00351-4","ISSN":"02779536","PMID":"14759692","abstract":"Using comparative data from five countries, this study investigates the psychometric properties of the effort-reward imbalance (ERI) at work model. In this model, chronic work-related stress is identified as non-reciprocity or imbalance between high efforts spent and low rewards received. Health-adverse effects of this imbalance were documented in several prospective and cross-sectional investigations. The internal consistency, discriminant validity and factorial structure of 'effort', 'reward', and 'overcommitment' scales are evaluated, using confirmatory factor analysis. Moreover, content (or external) validity is explored with respect to a measure of self-reported health. Data for the analysis is derived from epidemiologic studies conducted in five European countries: the Somstress Study (Belgium; n=3796), the GAZEL-Cohort Study (France; n=10,174), the WOLF-Norrland Study (Sweden; n=960), the Whitehall II Study (UK; n=3697) and the Public Transport Employees Study (Germany; n=316). Internal consistency of the scales was satisfactory in all samples, and the factorial structure of the scales was consistently confirmed (all goodness of fit measures were &gt;0.92). Moreover, in 12 of 14 analyses, significantly elevated odds ratios of poor health were observed in employees scoring high on the ERI scales. In conclusion, a psychometrically well-justified measure of work-related stress (ERI) grounded in sociological theory is available for comparative socioepidemiologic investigations. In the light of the importance of work for adult health such investigations are crucial in advanced societies within and beyond Europe. © 2003 Elsevier Ltd. All rights reserved.","author":[{"dropping-particle":"","family":"Siegrist","given":"Johannes","non-dropping-particle":"","parse-names":false,"suffix":""},{"dropping-particle":"","family":"Starke","given":"Dagmar","non-dropping-particle":"","parse-names":false,"suffix":""},{"dropping-particle":"","family":"Chandola","given":"Tarani","non-dropping-particle":"","parse-names":false,"suffix":""},{"dropping-particle":"","family":"Godin","given":"Isabelle","non-dropping-particle":"","parse-names":false,"suffix":""},{"dropping-particle":"","family":"Marmot","given":"Michael","non-dropping-particle":"","parse-names":false,"suffix":""},{"dropping-particle":"","family":"Niedhammer","given":"Isabelle","non-dropping-particle":"","parse-names":false,"suffix":""},{"dropping-particle":"","family":"Peter","given":"Richard","non-dropping-particle":"","parse-names":false,"suffix":""}],"container-title":"Social Science and Medicine","id":"ITEM-1","issue":"8","issued":{"date-parts":[["2004"]]},"page":"1483-1499","title":"The measurement of effort-reward imbalance at work: European comparisons","type":"article-journal","volume":"58"},"uris":["http://www.mendeley.com/documents/?uuid=1a62204d-4066-4604-b231-fb4de77b7752"]}],"mendeley":{"formattedCitation":"(6)","plainTextFormattedCitation":"(6)","previouslyFormattedCitation":"(24)"},"properties":{"noteIndex":0},"schema":"https://github.com/citation-style-language/schema/raw/master/csl-citation.json"}</w:instrText>
            </w:r>
            <w:r w:rsidRPr="003C6CC9">
              <w:rPr>
                <w:rFonts w:ascii="Times New Roman" w:hAnsi="Times New Roman" w:cs="Times New Roman"/>
                <w:color w:val="000000" w:themeColor="text1"/>
                <w:sz w:val="20"/>
                <w:szCs w:val="20"/>
                <w:lang w:val="en-US"/>
              </w:rPr>
              <w:fldChar w:fldCharType="separate"/>
            </w:r>
            <w:r w:rsidRPr="00B05162">
              <w:rPr>
                <w:rFonts w:ascii="Times New Roman" w:hAnsi="Times New Roman" w:cs="Times New Roman"/>
                <w:noProof/>
                <w:color w:val="000000" w:themeColor="text1"/>
                <w:sz w:val="20"/>
                <w:szCs w:val="20"/>
                <w:lang w:val="en-US"/>
              </w:rPr>
              <w:t>(6)</w:t>
            </w:r>
            <w:r w:rsidRPr="003C6CC9">
              <w:rPr>
                <w:rFonts w:ascii="Times New Roman" w:hAnsi="Times New Roman" w:cs="Times New Roman"/>
                <w:color w:val="000000" w:themeColor="text1"/>
                <w:sz w:val="20"/>
                <w:szCs w:val="20"/>
                <w:lang w:val="en-US"/>
              </w:rPr>
              <w:fldChar w:fldCharType="end"/>
            </w:r>
          </w:p>
        </w:tc>
        <w:tc>
          <w:tcPr>
            <w:tcW w:w="2410" w:type="dxa"/>
          </w:tcPr>
          <w:p w14:paraId="56C2F929" w14:textId="77777777" w:rsidR="00B05162" w:rsidRPr="00304E5F" w:rsidRDefault="00B05162" w:rsidP="002F03AC">
            <w:pPr>
              <w:autoSpaceDE w:val="0"/>
              <w:autoSpaceDN w:val="0"/>
              <w:adjustRightInd w:val="0"/>
              <w:spacing w:line="480" w:lineRule="auto"/>
              <w:jc w:val="both"/>
              <w:rPr>
                <w:rFonts w:ascii="Georgia" w:hAnsi="Georgia" w:cs="Times New Roman"/>
                <w:color w:val="2E2E2E"/>
                <w:lang/>
              </w:rPr>
            </w:pPr>
            <w:r>
              <w:rPr>
                <w:rFonts w:ascii="Times New Roman" w:hAnsi="Times New Roman" w:cs="Times New Roman"/>
                <w:color w:val="000000" w:themeColor="text1"/>
                <w:sz w:val="20"/>
                <w:szCs w:val="20"/>
                <w:lang w:val="en-US"/>
              </w:rPr>
              <w:t>E</w:t>
            </w:r>
            <w:r w:rsidRPr="00304E5F">
              <w:rPr>
                <w:rFonts w:ascii="Times New Roman" w:hAnsi="Times New Roman" w:cs="Times New Roman"/>
                <w:color w:val="000000" w:themeColor="text1"/>
                <w:sz w:val="20"/>
                <w:szCs w:val="20"/>
                <w:lang w:val="en-US"/>
              </w:rPr>
              <w:t>ffort–reward ratio beyond 1.0</w:t>
            </w:r>
            <w:r>
              <w:rPr>
                <w:rFonts w:ascii="Times New Roman" w:hAnsi="Times New Roman" w:cs="Times New Roman"/>
                <w:color w:val="000000" w:themeColor="text1"/>
                <w:sz w:val="20"/>
                <w:szCs w:val="20"/>
                <w:lang w:val="en-US"/>
              </w:rPr>
              <w:t xml:space="preserve"> </w:t>
            </w:r>
            <w:r>
              <w:rPr>
                <w:rFonts w:ascii="Times New Roman" w:hAnsi="Times New Roman" w:cs="Times New Roman"/>
                <w:color w:val="000000" w:themeColor="text1"/>
                <w:sz w:val="20"/>
                <w:szCs w:val="20"/>
                <w:lang w:val="en-US"/>
              </w:rPr>
              <w:fldChar w:fldCharType="begin" w:fldLock="1"/>
            </w:r>
            <w:r>
              <w:rPr>
                <w:rFonts w:ascii="Times New Roman" w:hAnsi="Times New Roman" w:cs="Times New Roman"/>
                <w:color w:val="000000" w:themeColor="text1"/>
                <w:sz w:val="20"/>
                <w:szCs w:val="20"/>
                <w:lang w:val="en-US"/>
              </w:rPr>
              <w:instrText>ADDIN CSL_CITATION {"citationItems":[{"id":"ITEM-1","itemData":{"DOI":"10.1016/S0277-9536(03)00351-4","ISSN":"02779536","PMID":"14759692","abstract":"Using comparative data from five countries, this study investigates the psychometric properties of the effort-reward imbalance (ERI) at work model. In this model, chronic work-related stress is identified as non-reciprocity or imbalance between high efforts spent and low rewards received. Health-adverse effects of this imbalance were documented in several prospective and cross-sectional investigations. The internal consistency, discriminant validity and factorial structure of 'effort', 'reward', and 'overcommitment' scales are evaluated, using confirmatory factor analysis. Moreover, content (or external) validity is explored with respect to a measure of self-reported health. Data for the analysis is derived from epidemiologic studies conducted in five European countries: the Somstress Study (Belgium; n=3796), the GAZEL-Cohort Study (France; n=10,174), the WOLF-Norrland Study (Sweden; n=960), the Whitehall II Study (UK; n=3697) and the Public Transport Employees Study (Germany; n=316). Internal consistency of the scales was satisfactory in all samples, and the factorial structure of the scales was consistently confirmed (all goodness of fit measures were &gt;0.92). Moreover, in 12 of 14 analyses, significantly elevated odds ratios of poor health were observed in employees scoring high on the ERI scales. In conclusion, a psychometrically well-justified measure of work-related stress (ERI) grounded in sociological theory is available for comparative socioepidemiologic investigations. In the light of the importance of work for adult health such investigations are crucial in advanced societies within and beyond Europe. © 2003 Elsevier Ltd. All rights reserved.","author":[{"dropping-particle":"","family":"Siegrist","given":"Johannes","non-dropping-particle":"","parse-names":false,"suffix":""},{"dropping-particle":"","family":"Starke","given":"Dagmar","non-dropping-particle":"","parse-names":false,"suffix":""},{"dropping-particle":"","family":"Chandola","given":"Tarani","non-dropping-particle":"","parse-names":false,"suffix":""},{"dropping-particle":"","family":"Godin","given":"Isabelle","non-dropping-particle":"","parse-names":false,"suffix":""},{"dropping-particle":"","family":"Marmot","given":"Michael","non-dropping-particle":"","parse-names":false,"suffix":""},{"dropping-particle":"","family":"Niedhammer","given":"Isabelle","non-dropping-particle":"","parse-names":false,"suffix":""},{"dropping-particle":"","family":"Peter","given":"Richard","non-dropping-particle":"","parse-names":false,"suffix":""}],"container-title":"Social Science and Medicine","id":"ITEM-1","issue":"8","issued":{"date-parts":[["2004"]]},"page":"1483-1499","title":"The measurement of effort-reward imbalance at work: European comparisons","type":"article-journal","volume":"58"},"uris":["http://www.mendeley.com/documents/?uuid=1a62204d-4066-4604-b231-fb4de77b7752"]}],"mendeley":{"formattedCitation":"(6)","plainTextFormattedCitation":"(6)","previouslyFormattedCitation":"(24)"},"properties":{"noteIndex":0},"schema":"https://github.com/citation-style-language/schema/raw/master/csl-citation.json"}</w:instrText>
            </w:r>
            <w:r>
              <w:rPr>
                <w:rFonts w:ascii="Times New Roman" w:hAnsi="Times New Roman" w:cs="Times New Roman"/>
                <w:color w:val="000000" w:themeColor="text1"/>
                <w:sz w:val="20"/>
                <w:szCs w:val="20"/>
                <w:lang w:val="en-US"/>
              </w:rPr>
              <w:fldChar w:fldCharType="separate"/>
            </w:r>
            <w:r w:rsidRPr="00B05162">
              <w:rPr>
                <w:rFonts w:ascii="Times New Roman" w:hAnsi="Times New Roman" w:cs="Times New Roman"/>
                <w:noProof/>
                <w:color w:val="000000" w:themeColor="text1"/>
                <w:sz w:val="20"/>
                <w:szCs w:val="20"/>
                <w:lang w:val="en-US"/>
              </w:rPr>
              <w:t>(6)</w:t>
            </w:r>
            <w:r>
              <w:rPr>
                <w:rFonts w:ascii="Times New Roman" w:hAnsi="Times New Roman" w:cs="Times New Roman"/>
                <w:color w:val="000000" w:themeColor="text1"/>
                <w:sz w:val="20"/>
                <w:szCs w:val="20"/>
                <w:lang w:val="en-US"/>
              </w:rPr>
              <w:fldChar w:fldCharType="end"/>
            </w:r>
          </w:p>
        </w:tc>
      </w:tr>
      <w:tr w:rsidR="00B05162" w14:paraId="4B043221" w14:textId="77777777" w:rsidTr="002F03AC">
        <w:trPr>
          <w:trHeight w:val="667"/>
        </w:trPr>
        <w:tc>
          <w:tcPr>
            <w:tcW w:w="1456" w:type="dxa"/>
          </w:tcPr>
          <w:p w14:paraId="1D6E0549" w14:textId="77777777" w:rsidR="00B05162" w:rsidRPr="000A0A6E" w:rsidRDefault="00B05162" w:rsidP="002F03AC">
            <w:pPr>
              <w:spacing w:line="480" w:lineRule="auto"/>
              <w:jc w:val="both"/>
              <w:rPr>
                <w:rFonts w:ascii="Times New Roman" w:eastAsia="Times New Roman" w:hAnsi="Times New Roman" w:cs="Times New Roman"/>
                <w:b/>
                <w:bCs/>
                <w:i/>
                <w:iCs/>
                <w:color w:val="000000" w:themeColor="text1"/>
                <w:sz w:val="20"/>
                <w:szCs w:val="20"/>
                <w:lang w:val="en-US" w:eastAsia="es-ES_tradnl"/>
              </w:rPr>
            </w:pPr>
            <w:r w:rsidRPr="0025358B">
              <w:rPr>
                <w:rFonts w:ascii="Times New Roman" w:eastAsia="Times New Roman" w:hAnsi="Times New Roman" w:cs="Times New Roman"/>
                <w:b/>
                <w:bCs/>
                <w:i/>
                <w:iCs/>
                <w:color w:val="000000" w:themeColor="text1"/>
                <w:sz w:val="20"/>
                <w:szCs w:val="20"/>
                <w:lang w:val="en-US" w:eastAsia="es-ES_tradnl"/>
              </w:rPr>
              <w:t>Long Working Hours</w:t>
            </w:r>
          </w:p>
        </w:tc>
        <w:tc>
          <w:tcPr>
            <w:tcW w:w="2508" w:type="dxa"/>
          </w:tcPr>
          <w:p w14:paraId="20CD8EB3" w14:textId="77777777" w:rsidR="00B05162" w:rsidRDefault="00B05162" w:rsidP="002F03AC">
            <w:pPr>
              <w:spacing w:line="480" w:lineRule="auto"/>
              <w:rPr>
                <w:rFonts w:ascii="Times New Roman" w:hAnsi="Times New Roman" w:cs="Times New Roman"/>
                <w:sz w:val="20"/>
                <w:szCs w:val="20"/>
                <w:lang w:val="en-US"/>
              </w:rPr>
            </w:pPr>
            <w:r>
              <w:rPr>
                <w:rFonts w:ascii="Times New Roman" w:hAnsi="Times New Roman" w:cs="Times New Roman"/>
                <w:sz w:val="20"/>
                <w:szCs w:val="20"/>
                <w:lang w:val="en-US"/>
              </w:rPr>
              <w:t>An</w:t>
            </w:r>
            <w:r w:rsidRPr="00F20019">
              <w:rPr>
                <w:rFonts w:ascii="Times New Roman" w:hAnsi="Times New Roman" w:cs="Times New Roman"/>
                <w:sz w:val="20"/>
                <w:szCs w:val="20"/>
                <w:lang w:val="en-US"/>
              </w:rPr>
              <w:t xml:space="preserve"> average working time for each seven day</w:t>
            </w:r>
            <w:r>
              <w:rPr>
                <w:rFonts w:ascii="Times New Roman" w:hAnsi="Times New Roman" w:cs="Times New Roman"/>
                <w:sz w:val="20"/>
                <w:szCs w:val="20"/>
                <w:lang w:val="en-US"/>
              </w:rPr>
              <w:t>s</w:t>
            </w:r>
            <w:r w:rsidRPr="00F20019">
              <w:rPr>
                <w:rFonts w:ascii="Times New Roman" w:hAnsi="Times New Roman" w:cs="Times New Roman"/>
                <w:sz w:val="20"/>
                <w:szCs w:val="20"/>
                <w:lang w:val="en-US"/>
              </w:rPr>
              <w:t xml:space="preserve"> period </w:t>
            </w:r>
            <w:r>
              <w:rPr>
                <w:rFonts w:ascii="Times New Roman" w:hAnsi="Times New Roman" w:cs="Times New Roman"/>
                <w:sz w:val="20"/>
                <w:szCs w:val="20"/>
                <w:lang w:val="en-US"/>
              </w:rPr>
              <w:t>over</w:t>
            </w:r>
            <w:r w:rsidRPr="00F20019">
              <w:rPr>
                <w:rFonts w:ascii="Times New Roman" w:hAnsi="Times New Roman" w:cs="Times New Roman"/>
                <w:sz w:val="20"/>
                <w:szCs w:val="20"/>
                <w:lang w:val="en-US"/>
              </w:rPr>
              <w:t xml:space="preserve"> 48 hours</w:t>
            </w:r>
            <w:r w:rsidRPr="007B1187">
              <w:rPr>
                <w:rFonts w:ascii="Times New Roman" w:hAnsi="Times New Roman" w:cs="Times New Roman"/>
                <w:sz w:val="20"/>
                <w:szCs w:val="20"/>
                <w:lang w:val="en-US"/>
              </w:rPr>
              <w:t>, including overtime</w:t>
            </w:r>
            <w:r>
              <w:rPr>
                <w:rFonts w:ascii="Times New Roman" w:hAnsi="Times New Roman" w:cs="Times New Roman"/>
                <w:sz w:val="20"/>
                <w:szCs w:val="20"/>
                <w:lang w:val="en-US"/>
              </w:rPr>
              <w:t xml:space="preserve"> </w:t>
            </w:r>
            <w:r>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{"citationItems":[{"id":"ITEM-1","itemData":{"URL":"https://ec.europa.eu/social/main.jsp?catId=706&amp;langId=en&amp;intPageId=205","accessed":{"date-parts":[["2020","5","1"]]},"id":"ITEM-1","issued":{"date-parts":[["0"]]},"title":"Working Conditions - Employment, Social Affairs &amp; Inclusion - European Commission","type":"webpage"},"uris":["http://www.mendeley.com/documents/?uuid=061bb729-b5ed-3c0d-a33c-4952aee435d9"]}],"mendeley":{"formattedCitation":"(7)","plainTextFormattedCitation":"(7)","previouslyFormattedCitation":"(25)"},"properties":{"noteIndex":0},"schema":"https://github.com/citation-style-language/schema/raw/master/csl-citation.json"}</w:instrText>
            </w:r>
            <w:r>
              <w:rPr>
                <w:rFonts w:ascii="Times New Roman" w:hAnsi="Times New Roman" w:cs="Times New Roman"/>
                <w:sz w:val="20"/>
                <w:szCs w:val="20"/>
                <w:lang w:val="en-US"/>
              </w:rPr>
              <w:fldChar w:fldCharType="separate"/>
            </w:r>
            <w:r w:rsidRPr="00B05162">
              <w:rPr>
                <w:rFonts w:ascii="Times New Roman" w:hAnsi="Times New Roman" w:cs="Times New Roman"/>
                <w:noProof/>
                <w:sz w:val="20"/>
                <w:szCs w:val="20"/>
                <w:lang w:val="en-US"/>
              </w:rPr>
              <w:t>(7)</w:t>
            </w:r>
            <w:r>
              <w:rPr>
                <w:rFonts w:ascii="Times New Roman" w:hAnsi="Times New Roman" w:cs="Times New Roman"/>
                <w:sz w:val="20"/>
                <w:szCs w:val="20"/>
                <w:lang w:val="en-US"/>
              </w:rPr>
              <w:fldChar w:fldCharType="end"/>
            </w:r>
          </w:p>
        </w:tc>
        <w:tc>
          <w:tcPr>
            <w:tcW w:w="2977" w:type="dxa"/>
          </w:tcPr>
          <w:p w14:paraId="08E81FF4" w14:textId="77777777" w:rsidR="00B05162" w:rsidRPr="00446CCD" w:rsidRDefault="00B05162" w:rsidP="002F03AC">
            <w:pPr>
              <w:spacing w:line="480" w:lineRule="auto"/>
              <w:rPr>
                <w:rFonts w:ascii="Times New Roman" w:hAnsi="Times New Roman" w:cs="Times New Roman"/>
                <w:sz w:val="20"/>
                <w:szCs w:val="20"/>
                <w:lang w:val="en-US"/>
              </w:rPr>
            </w:pPr>
            <w:r>
              <w:rPr>
                <w:rFonts w:ascii="Times New Roman" w:hAnsi="Times New Roman" w:cs="Times New Roman"/>
                <w:sz w:val="20"/>
                <w:szCs w:val="20"/>
                <w:lang w:val="en-US"/>
              </w:rPr>
              <w:t>“M</w:t>
            </w:r>
            <w:r w:rsidRPr="008C482D">
              <w:rPr>
                <w:rFonts w:ascii="Times New Roman" w:hAnsi="Times New Roman" w:cs="Times New Roman"/>
                <w:sz w:val="20"/>
                <w:szCs w:val="20"/>
                <w:lang w:val="en-US"/>
              </w:rPr>
              <w:t>easures of the total number of hours worked, including</w:t>
            </w:r>
            <w:r>
              <w:rPr>
                <w:rFonts w:ascii="Times New Roman" w:hAnsi="Times New Roman" w:cs="Times New Roman"/>
                <w:sz w:val="20"/>
                <w:szCs w:val="20"/>
                <w:lang w:val="en-US"/>
              </w:rPr>
              <w:t xml:space="preserve"> </w:t>
            </w:r>
            <w:r w:rsidRPr="008C482D">
              <w:rPr>
                <w:rFonts w:ascii="Times New Roman" w:hAnsi="Times New Roman" w:cs="Times New Roman"/>
                <w:sz w:val="20"/>
                <w:szCs w:val="20"/>
                <w:lang w:val="en-US"/>
              </w:rPr>
              <w:t>in both of: main and secondary jobs, self-employment and salaried</w:t>
            </w:r>
            <w:r>
              <w:rPr>
                <w:rFonts w:ascii="Times New Roman" w:hAnsi="Times New Roman" w:cs="Times New Roman"/>
                <w:sz w:val="20"/>
                <w:szCs w:val="20"/>
                <w:lang w:val="en-US"/>
              </w:rPr>
              <w:t xml:space="preserve"> </w:t>
            </w:r>
            <w:r w:rsidRPr="008C482D">
              <w:rPr>
                <w:rFonts w:ascii="Times New Roman" w:hAnsi="Times New Roman" w:cs="Times New Roman"/>
                <w:sz w:val="20"/>
                <w:szCs w:val="20"/>
                <w:lang w:val="en-US"/>
              </w:rPr>
              <w:t>employment and informal and formal jobs</w:t>
            </w:r>
            <w:r>
              <w:rPr>
                <w:rFonts w:ascii="Times New Roman" w:hAnsi="Times New Roman" w:cs="Times New Roman"/>
                <w:sz w:val="20"/>
                <w:szCs w:val="20"/>
                <w:lang w:val="en-US"/>
              </w:rPr>
              <w:t xml:space="preserve">” </w:t>
            </w:r>
            <w:r>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{"citationItems":[{"id":"ITEM-1","itemData":{"DOI":"10.1016/j.envint.2018.06.022","ISSN":"18736750","abstract":"Background: The World Health Organization (WHO) and the International Labour Organization (ILO) are developing a joint methodology for estimating the national and global work-related burden of disease and injury (WHO/ILO joint methodology), with contributions from a large network of experts. In this paper, we present the protocol for two systematic reviews of parameters for estimating the number of deaths and disability-adjusted life years of ischaemic heart disease from exposure to long working hours, to inform the development of the WHO/ILO joint methodology. Objectives: We aim to systematically review studies on occupational exposure to long working hours (Systematic Review 1) and systematically review and meta-analyse estimates of the effect of long working hours on ischaemic heart disease (Systematic Review 2), applying the Navigation Guide systematic review methodology as an organizing framework. The selection of both, the exposure and the health outcome is justified by substantial scientific evidence on adverse effects of long working hours on ischaemic heart disease risk. Data sources: Separately for Systematic Reviews 1 and 2, we will search electronic academic databases for potentially relevant records from published and unpublished studies, Medline, EMBASE, Web of Science, CISDOC and PsychINFO. We will also search electronic grey literature databases, Internet search engines and organizational websites; hand-search reference list of previous systematic reviews and included study records; and consult additional experts. Study eligibility and criteria: We will include working-age (≥15 years) workers in the formal and informal economy in any WHO and/or ILO Member State, but exclude children (&lt;15 years) and unpaid domestic workers. For Systematic Review 1, we will include quantitative prevalence studies of relevant levels of exposure to long working hours (i.e. 35–40, 41–48, 49–54 and ≥55 h/week) stratified by country, sex, age and industrial sector or occupation. For Systematic Review 2, we will include randomized controlled trials, cohort studies, case-control studies and other non-randomized intervention studies with an estimate of the relative effect of relevant level(s) of long working hours on the prevalence of, incidence of or mortality from ischaemic heart disease, compared with the theoretical minimum risk exposure level (i.e. 35–40 h/week). Study appraisal and synthesis methods: At least two review authors will independently screen titl…","author":[{"dropping-particle":"","family":"Li","given":"Jian","non-dropping-particle":"","parse-names":false,"suffix":""},{"dropping-particle":"","family":"Brisson","given":"Chantal","non-dropping-particle":"","parse-names":false,"suffix":""},{"dropping-particle":"","family":"Clays","given":"Els","non-dropping-particle":"","parse-names":false,"suffix":""},{"dropping-particle":"","family":"Ferrario","given":"Marco M.","non-dropping-particle":"","parse-names":false,"suffix":""},{"dropping-particle":"","family":"Ivanov","given":"Ivan D.","non-dropping-particle":"","parse-names":false,"suffix":""},{"dropping-particle":"","family":"Landsbergis","given":"Paul","non-dropping-particle":"","parse-names":false,"suffix":""},{"dropping-particle":"","family":"Leppink","given":"Nancy","non-dropping-particle":"","parse-names":false,"suffix":""},{"dropping-particle":"","family":"Pega","given":"Frank","non-dropping-particle":"","parse-names":false,"suffix":""},{"dropping-particle":"","family":"Pikhart","given":"Hynek","non-dropping-particle":"","parse-names":false,"suffix":""},{"dropping-particle":"","family":"Prüss-Üstün","given":"Annette","non-dropping-particle":"","parse-names":false,"suffix":""},{"dropping-particle":"","family":"Rugulies","given":"Reiner","non-dropping-particle":"","parse-names":false,"suffix":""},{"dropping-particle":"","family":"Schnall","given":"Peter L.","non-dropping-particle":"","parse-names":false,"suffix":""},{"dropping-particle":"","family":"Stevens","given":"Gretchen","non-dropping-particle":"","parse-names":false,"suffix":""},{"dropping-particle":"","family":"Tsutsumi","given":"Akizumi","non-dropping-particle":"","parse-names":false,"suffix":""},{"dropping-particle":"","family":"Ujita","given":"Yuka","non-dropping-particle":"","parse-names":false,"suffix":""},{"dropping-particle":"","family":"Siegrist","given":"Johannes","non-dropping-particle":"","parse-names":false,"suffix":""}],"container-title":"Environment International","id":"ITEM-1","issue":"August","issued":{"date-parts":[["2018"]]},"page":"558-569","publisher":"Elsevier","title":"WHO/ILO work-related burden of disease and injury: Protocol for systematic reviews of exposure to long working hours and of the effect of exposure to long working hours on ischaemic heart disease","type":"article-journal","volume":"119"},"uris":["http://www.mendeley.com/documents/?uuid=440a5831-219f-4cde-a2dd-d5770d7974f1"]}],"mendeley":{"formattedCitation":"(8)","plainTextFormattedCitation":"(8)","previouslyFormattedCitation":"(17)"},"properties":{"noteIndex":0},"schema":"https://github.com/citation-style-language/schema/raw/master/csl-citation.json"}</w:instrText>
            </w:r>
            <w:r>
              <w:rPr>
                <w:rFonts w:ascii="Times New Roman" w:hAnsi="Times New Roman" w:cs="Times New Roman"/>
                <w:sz w:val="20"/>
                <w:szCs w:val="20"/>
                <w:lang w:val="en-US"/>
              </w:rPr>
              <w:fldChar w:fldCharType="separate"/>
            </w:r>
            <w:r w:rsidRPr="00B05162">
              <w:rPr>
                <w:rFonts w:ascii="Times New Roman" w:hAnsi="Times New Roman" w:cs="Times New Roman"/>
                <w:noProof/>
                <w:sz w:val="20"/>
                <w:szCs w:val="20"/>
                <w:lang w:val="en-US"/>
              </w:rPr>
              <w:t>(8)</w:t>
            </w:r>
            <w:r>
              <w:rPr>
                <w:rFonts w:ascii="Times New Roman" w:hAnsi="Times New Roman" w:cs="Times New Roman"/>
                <w:sz w:val="20"/>
                <w:szCs w:val="20"/>
                <w:lang w:val="en-US"/>
              </w:rPr>
              <w:fldChar w:fldCharType="end"/>
            </w:r>
            <w:r w:rsidRPr="008C482D">
              <w:rPr>
                <w:rFonts w:ascii="Times New Roman" w:hAnsi="Times New Roman" w:cs="Times New Roman"/>
                <w:sz w:val="20"/>
                <w:szCs w:val="20"/>
                <w:lang w:val="en-US"/>
              </w:rPr>
              <w:t>.</w:t>
            </w:r>
          </w:p>
        </w:tc>
        <w:tc>
          <w:tcPr>
            <w:tcW w:w="2410" w:type="dxa"/>
          </w:tcPr>
          <w:p w14:paraId="4C1E8C96" w14:textId="77777777" w:rsidR="00B05162" w:rsidRPr="007C63E3" w:rsidRDefault="00B05162" w:rsidP="002F03AC">
            <w:pPr>
              <w:spacing w:line="480" w:lineRule="auto"/>
              <w:rPr>
                <w:rFonts w:ascii="Times New Roman" w:hAnsi="Times New Roman" w:cs="Times New Roman"/>
                <w:sz w:val="20"/>
                <w:szCs w:val="20"/>
                <w:lang w:val="en-US"/>
              </w:rPr>
            </w:pPr>
            <w:r w:rsidRPr="00446CCD">
              <w:rPr>
                <w:rFonts w:ascii="Times New Roman" w:hAnsi="Times New Roman" w:cs="Times New Roman"/>
                <w:color w:val="000000" w:themeColor="text1"/>
                <w:sz w:val="20"/>
                <w:szCs w:val="20"/>
                <w:lang w:val="en-US"/>
              </w:rPr>
              <w:t xml:space="preserve">≥48 working hours </w:t>
            </w:r>
            <w:r w:rsidRPr="00446CCD">
              <w:rPr>
                <w:rFonts w:ascii="Times New Roman" w:hAnsi="Times New Roman" w:cs="Times New Roman"/>
                <w:sz w:val="20"/>
                <w:szCs w:val="20"/>
                <w:lang w:val="en-US"/>
              </w:rPr>
              <w:t xml:space="preserve"> </w:t>
            </w:r>
            <w:r w:rsidRPr="00446CCD">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{"citationItems":[{"id":"ITEM-1","itemData":{"URL":"https://ec.europa.eu/social/main.jsp?catId=706&amp;langId=en&amp;intPageId=205","accessed":{"date-parts":[["2020","5","1"]]},"id":"ITEM-1","issued":{"date-parts":[["0"]]},"title":"Working Conditions - Employment, Social Affairs &amp; Inclusion - European Commission","type":"webpage"},"uris":["http://www.mendeley.com/documents/?uuid=061bb729-b5ed-3c0d-a33c-4952aee435d9"]}],"mendeley":{"formattedCitation":"(7)","plainTextFormattedCitation":"(7)","previouslyFormattedCitation":"(25)"},"properties":{"noteIndex":0},"schema":"https://github.com/citation-style-language/schema/raw/master/csl-citation.json"}</w:instrText>
            </w:r>
            <w:r w:rsidRPr="00446CCD">
              <w:rPr>
                <w:rFonts w:ascii="Times New Roman" w:hAnsi="Times New Roman" w:cs="Times New Roman"/>
                <w:sz w:val="20"/>
                <w:szCs w:val="20"/>
                <w:lang w:val="en-US"/>
              </w:rPr>
              <w:fldChar w:fldCharType="separate"/>
            </w:r>
            <w:r w:rsidRPr="00B05162">
              <w:rPr>
                <w:rFonts w:ascii="Times New Roman" w:hAnsi="Times New Roman" w:cs="Times New Roman"/>
                <w:noProof/>
                <w:sz w:val="20"/>
                <w:szCs w:val="20"/>
                <w:lang w:val="en-US"/>
              </w:rPr>
              <w:t>(7)</w:t>
            </w:r>
            <w:r w:rsidRPr="00446CCD">
              <w:rPr>
                <w:rFonts w:ascii="Times New Roman" w:hAnsi="Times New Roman" w:cs="Times New Roman"/>
                <w:sz w:val="20"/>
                <w:szCs w:val="20"/>
                <w:lang w:val="en-US"/>
              </w:rPr>
              <w:fldChar w:fldCharType="end"/>
            </w:r>
          </w:p>
        </w:tc>
      </w:tr>
      <w:tr w:rsidR="00B05162" w14:paraId="0A5DCF58" w14:textId="77777777" w:rsidTr="002F03AC">
        <w:tc>
          <w:tcPr>
            <w:tcW w:w="1456" w:type="dxa"/>
          </w:tcPr>
          <w:p w14:paraId="7B03FB72" w14:textId="77777777" w:rsidR="00B05162" w:rsidRPr="00E3363C" w:rsidRDefault="00B05162" w:rsidP="002F03AC">
            <w:pPr>
              <w:spacing w:line="480" w:lineRule="auto"/>
              <w:jc w:val="both"/>
              <w:rPr>
                <w:rFonts w:ascii="Times New Roman" w:eastAsia="Times New Roman" w:hAnsi="Times New Roman" w:cs="Times New Roman"/>
                <w:b/>
                <w:bCs/>
                <w:i/>
                <w:iCs/>
                <w:color w:val="000000" w:themeColor="text1"/>
                <w:sz w:val="20"/>
                <w:szCs w:val="20"/>
                <w:lang w:val="en-US" w:eastAsia="es-ES_tradnl"/>
              </w:rPr>
            </w:pPr>
            <w:r w:rsidRPr="0025358B">
              <w:rPr>
                <w:rFonts w:ascii="Times New Roman" w:eastAsia="Times New Roman" w:hAnsi="Times New Roman" w:cs="Times New Roman"/>
                <w:b/>
                <w:bCs/>
                <w:i/>
                <w:iCs/>
                <w:color w:val="000000" w:themeColor="text1"/>
                <w:sz w:val="20"/>
                <w:szCs w:val="20"/>
                <w:lang w:val="en-US" w:eastAsia="es-ES_tradnl"/>
              </w:rPr>
              <w:t>Job Insecurity</w:t>
            </w:r>
          </w:p>
        </w:tc>
        <w:tc>
          <w:tcPr>
            <w:tcW w:w="2508" w:type="dxa"/>
          </w:tcPr>
          <w:p w14:paraId="62D22DFC" w14:textId="77777777" w:rsidR="00B05162" w:rsidRPr="0047013A" w:rsidRDefault="00B05162" w:rsidP="002F03AC">
            <w:pPr>
              <w:spacing w:line="480" w:lineRule="auto"/>
              <w:jc w:val="both"/>
              <w:rPr>
                <w:rFonts w:ascii="Times New Roman" w:hAnsi="Times New Roman" w:cs="Times New Roman"/>
                <w:color w:val="000000" w:themeColor="text1"/>
                <w:sz w:val="20"/>
                <w:szCs w:val="20"/>
                <w:highlight w:val="yellow"/>
                <w:lang w:val="en-US"/>
              </w:rPr>
            </w:pPr>
            <w:r>
              <w:rPr>
                <w:rFonts w:ascii="Times New Roman" w:hAnsi="Times New Roman" w:cs="Times New Roman"/>
                <w:color w:val="000000" w:themeColor="text1"/>
                <w:sz w:val="20"/>
                <w:szCs w:val="20"/>
                <w:lang w:val="en-US"/>
              </w:rPr>
              <w:t>“T</w:t>
            </w:r>
            <w:r w:rsidRPr="009B3BC7">
              <w:rPr>
                <w:rFonts w:ascii="Times New Roman" w:hAnsi="Times New Roman" w:cs="Times New Roman"/>
                <w:color w:val="000000" w:themeColor="text1"/>
                <w:sz w:val="20"/>
                <w:szCs w:val="20"/>
                <w:lang w:val="en-US"/>
              </w:rPr>
              <w:t>he discrepancy between the level of job security a person experiences and the level she might prefer</w:t>
            </w:r>
            <w:r>
              <w:rPr>
                <w:rFonts w:ascii="Times New Roman" w:hAnsi="Times New Roman" w:cs="Times New Roman"/>
                <w:color w:val="000000" w:themeColor="text1"/>
                <w:sz w:val="20"/>
                <w:szCs w:val="20"/>
                <w:lang w:val="en-US"/>
              </w:rPr>
              <w:t xml:space="preserve">” </w:t>
            </w:r>
            <w:r>
              <w:rPr>
                <w:rFonts w:ascii="Times New Roman" w:hAnsi="Times New Roman" w:cs="Times New Roman"/>
                <w:color w:val="000000" w:themeColor="text1"/>
                <w:sz w:val="20"/>
                <w:szCs w:val="20"/>
                <w:lang w:val="en-US"/>
              </w:rPr>
              <w:fldChar w:fldCharType="begin" w:fldLock="1"/>
            </w:r>
            <w:r>
              <w:rPr>
                <w:rFonts w:ascii="Times New Roman" w:hAnsi="Times New Roman" w:cs="Times New Roman"/>
                <w:color w:val="000000" w:themeColor="text1"/>
                <w:sz w:val="20"/>
                <w:szCs w:val="20"/>
                <w:lang w:val="en-US"/>
              </w:rPr>
              <w:instrText>ADDIN CSL_CITATION {"citationItems":[{"id":"ITEM-1","itemData":{"DOI":"10.1136/jech.55.11.776","ISSN":"0143005X","author":[{"dropping-particle":"","family":"Bartley","given":"M.","non-dropping-particle":"","parse-names":false,"suffix":""},{"dropping-particle":"","family":"Ferrie","given":"J.","non-dropping-particle":"","parse-names":false,"suffix":""}],"container-title":"Journal of epidemiology and community health","id":"ITEM-1","issue":"11","issued":{"date-parts":[["2001"]]},"page":"776-781","title":"Glossary: unemployment, job insecurity, and health.","type":"article-journal","volume":"55"},"uris":["http://www.mendeley.com/documents/?uuid=7d1bee39-c100-41a1-bdcd-f166521a188a"]}],"mendeley":{"formattedCitation":"(9)","plainTextFormattedCitation":"(9)","previouslyFormattedCitation":"(26)"},"properties":{"noteIndex":0},"schema":"https://github.com/citation-style-language/schema/raw/master/csl-citation.json"}</w:instrText>
            </w:r>
            <w:r>
              <w:rPr>
                <w:rFonts w:ascii="Times New Roman" w:hAnsi="Times New Roman" w:cs="Times New Roman"/>
                <w:color w:val="000000" w:themeColor="text1"/>
                <w:sz w:val="20"/>
                <w:szCs w:val="20"/>
                <w:lang w:val="en-US"/>
              </w:rPr>
              <w:fldChar w:fldCharType="separate"/>
            </w:r>
            <w:r w:rsidRPr="00B05162">
              <w:rPr>
                <w:rFonts w:ascii="Times New Roman" w:hAnsi="Times New Roman" w:cs="Times New Roman"/>
                <w:noProof/>
                <w:color w:val="000000" w:themeColor="text1"/>
                <w:sz w:val="20"/>
                <w:szCs w:val="20"/>
                <w:lang w:val="en-US"/>
              </w:rPr>
              <w:t>(9)</w:t>
            </w:r>
            <w:r>
              <w:rPr>
                <w:rFonts w:ascii="Times New Roman" w:hAnsi="Times New Roman" w:cs="Times New Roman"/>
                <w:color w:val="000000" w:themeColor="text1"/>
                <w:sz w:val="20"/>
                <w:szCs w:val="20"/>
                <w:lang w:val="en-US"/>
              </w:rPr>
              <w:fldChar w:fldCharType="end"/>
            </w:r>
            <w:r>
              <w:rPr>
                <w:rFonts w:ascii="Times New Roman" w:hAnsi="Times New Roman" w:cs="Times New Roman"/>
                <w:color w:val="000000" w:themeColor="text1"/>
                <w:sz w:val="20"/>
                <w:szCs w:val="20"/>
                <w:lang w:val="en-US"/>
              </w:rPr>
              <w:t>.</w:t>
            </w:r>
          </w:p>
        </w:tc>
        <w:tc>
          <w:tcPr>
            <w:tcW w:w="2977" w:type="dxa"/>
          </w:tcPr>
          <w:p w14:paraId="343B1A34" w14:textId="77777777" w:rsidR="00B05162" w:rsidRPr="005B3FBC" w:rsidRDefault="00B05162" w:rsidP="002F03AC">
            <w:pPr>
              <w:spacing w:line="48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Subscale of the </w:t>
            </w:r>
            <w:r w:rsidRPr="005B3FBC">
              <w:rPr>
                <w:rFonts w:ascii="Times New Roman" w:hAnsi="Times New Roman" w:cs="Times New Roman"/>
                <w:sz w:val="20"/>
                <w:szCs w:val="20"/>
                <w:lang w:val="en-US"/>
              </w:rPr>
              <w:t xml:space="preserve">Job Content Questionnaire </w:t>
            </w:r>
            <w:r>
              <w:rPr>
                <w:rFonts w:ascii="Times New Roman" w:hAnsi="Times New Roman" w:cs="Times New Roman"/>
                <w:sz w:val="20"/>
                <w:szCs w:val="20"/>
                <w:lang w:val="en-US"/>
              </w:rPr>
              <w:t>(</w:t>
            </w:r>
            <w:r w:rsidRPr="00571E42">
              <w:rPr>
                <w:rFonts w:ascii="Times New Roman" w:hAnsi="Times New Roman" w:cs="Times New Roman"/>
                <w:sz w:val="20"/>
                <w:szCs w:val="20"/>
                <w:lang w:val="en-US"/>
              </w:rPr>
              <w:t>Job Insecurity Scale section)</w:t>
            </w:r>
            <w:r w:rsidRPr="005B3FBC">
              <w:rPr>
                <w:rFonts w:ascii="Times New Roman" w:hAnsi="Times New Roman" w:cs="Times New Roman"/>
                <w:sz w:val="20"/>
                <w:szCs w:val="20"/>
                <w:lang w:val="en-US"/>
              </w:rPr>
              <w:t xml:space="preserve"> </w:t>
            </w:r>
            <w:r w:rsidRPr="005B3FBC">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author":[{"dropping-particle":"","family":"Karasek","given":"Robert","non-dropping-particle":"","parse-names":false,"suffix":""},{"dropping-particle":"","family":"Brisson","given":"Chantal","non-dropping-particle":"","parse-names":false,"suffix":""},{"dropping-particle":"","family":"Houtman","given":"Irene","non-dropping-particle":"","parse-names":false,"suffix":""},{"dropping-particle":"","family":"Bongers","given":"Paulien","non-dropping-particle":"","parse-names":false,"suffix":""},{"dropping-particle":"","family":"Amick","given":"Benjamin","non-dropping-particle":"","parse-names":false,"suffix":""}],"container-title":"Occupational Health Psychology","id":"ITEM-1","issue":"4","issued":{"date-parts":[["1998"]]},"page":"322-355","title":"The Job Content Questionnaire (JCQ): An Instrument for Internationally Comparative Assessments of Psychosocial Job Characteristics","type":"article-journal","volume":"3"},"uris":["http://www.mendeley.com/documents/?uuid=d2fbf250-35f9-4026-8176-0144ef0be935"]}],"mendeley":{"formattedCitation":"(5)","plainTextFormattedCitation":"(5)","previouslyFormattedCitation":"(23)"},"properties":{"noteIndex":0},"schema":"https://github.com/citation-style-language/schema/raw/master/csl-citation.json"}</w:instrText>
            </w:r>
            <w:r w:rsidRPr="005B3FBC">
              <w:rPr>
                <w:rFonts w:ascii="Times New Roman" w:hAnsi="Times New Roman" w:cs="Times New Roman"/>
                <w:sz w:val="20"/>
                <w:szCs w:val="20"/>
                <w:lang w:val="en-US"/>
              </w:rPr>
              <w:fldChar w:fldCharType="separate"/>
            </w:r>
            <w:r w:rsidRPr="00B05162">
              <w:rPr>
                <w:rFonts w:ascii="Times New Roman" w:hAnsi="Times New Roman" w:cs="Times New Roman"/>
                <w:noProof/>
                <w:sz w:val="20"/>
                <w:szCs w:val="20"/>
                <w:lang w:val="en-US"/>
              </w:rPr>
              <w:t>(5)</w:t>
            </w:r>
            <w:r w:rsidRPr="005B3FBC">
              <w:rPr>
                <w:rFonts w:ascii="Times New Roman" w:hAnsi="Times New Roman" w:cs="Times New Roman"/>
                <w:sz w:val="20"/>
                <w:szCs w:val="20"/>
                <w:lang w:val="en-US"/>
              </w:rPr>
              <w:fldChar w:fldCharType="end"/>
            </w:r>
          </w:p>
        </w:tc>
        <w:tc>
          <w:tcPr>
            <w:tcW w:w="2410" w:type="dxa"/>
          </w:tcPr>
          <w:p w14:paraId="5A6907D1" w14:textId="77777777" w:rsidR="00B05162" w:rsidRPr="005B3FBC" w:rsidRDefault="00B05162" w:rsidP="002F03AC">
            <w:pPr>
              <w:spacing w:line="480" w:lineRule="auto"/>
              <w:rPr>
                <w:rFonts w:ascii="Times New Roman" w:hAnsi="Times New Roman" w:cs="Times New Roman"/>
                <w:sz w:val="20"/>
                <w:szCs w:val="20"/>
                <w:lang w:val="en-US"/>
              </w:rPr>
            </w:pPr>
            <w:r w:rsidRPr="00CC46A8">
              <w:rPr>
                <w:rFonts w:ascii="Times New Roman" w:hAnsi="Times New Roman" w:cs="Times New Roman"/>
                <w:sz w:val="20"/>
                <w:szCs w:val="20"/>
                <w:lang w:val="en-US"/>
              </w:rPr>
              <w:t xml:space="preserve">Perceived job insecurity </w:t>
            </w:r>
            <w:r>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{"citationItems":[{"id":"ITEM-1","itemData":{"DOI":"10.1007/s00420-015-1107-1","ISSN":"1432-1246","author":[{"dropping-particle":"Von","family":"Knesebeck","given":"T J Kim O","non-dropping-particle":"","parse-names":false,"suffix":""}],"container-title":"International Archives of Occupational and Environmental Health","id":"ITEM-1","issue":"4","issued":{"date-parts":[["2016"]]},"page":"561-573","publisher":"Springer Berlin Heidelberg","title":"Perceived job insecurity , unemployment and depressive symptoms : a systematic review and meta ‑ analysis of prospective observational studies","type":"article-journal","volume":"89"},"uris":["http://www.mendeley.com/documents/?uuid=601506c7-725f-47e0-ac52-b83b58697da6"]}],"mendeley":{"formattedCitation":"(10)","plainTextFormattedCitation":"(10)","previouslyFormattedCitation":"(27)"},"properties":{"noteIndex":0},"schema":"https://github.com/citation-style-language/schema/raw/master/csl-citation.json"}</w:instrText>
            </w:r>
            <w:r>
              <w:rPr>
                <w:rFonts w:ascii="Times New Roman" w:hAnsi="Times New Roman" w:cs="Times New Roman"/>
                <w:sz w:val="20"/>
                <w:szCs w:val="20"/>
                <w:lang w:val="en-US"/>
              </w:rPr>
              <w:fldChar w:fldCharType="separate"/>
            </w:r>
            <w:r w:rsidRPr="00B05162">
              <w:rPr>
                <w:rFonts w:ascii="Times New Roman" w:hAnsi="Times New Roman" w:cs="Times New Roman"/>
                <w:noProof/>
                <w:sz w:val="20"/>
                <w:szCs w:val="20"/>
                <w:lang w:val="en-US"/>
              </w:rPr>
              <w:t>(10)</w:t>
            </w:r>
            <w:r>
              <w:rPr>
                <w:rFonts w:ascii="Times New Roman" w:hAnsi="Times New Roman" w:cs="Times New Roman"/>
                <w:sz w:val="20"/>
                <w:szCs w:val="20"/>
                <w:lang w:val="en-US"/>
              </w:rPr>
              <w:fldChar w:fldCharType="end"/>
            </w:r>
          </w:p>
        </w:tc>
      </w:tr>
      <w:tr w:rsidR="00B05162" w14:paraId="29E3540D" w14:textId="77777777" w:rsidTr="002F03AC">
        <w:tc>
          <w:tcPr>
            <w:tcW w:w="1456" w:type="dxa"/>
          </w:tcPr>
          <w:p w14:paraId="4BE82475" w14:textId="77777777" w:rsidR="00B05162" w:rsidRPr="0025358B" w:rsidRDefault="00B05162" w:rsidP="002F03AC">
            <w:pPr>
              <w:spacing w:line="480" w:lineRule="auto"/>
              <w:jc w:val="both"/>
              <w:rPr>
                <w:rFonts w:ascii="Times New Roman" w:eastAsia="Times New Roman" w:hAnsi="Times New Roman" w:cs="Times New Roman"/>
                <w:b/>
                <w:bCs/>
                <w:i/>
                <w:iCs/>
                <w:color w:val="000000" w:themeColor="text1"/>
                <w:sz w:val="20"/>
                <w:szCs w:val="20"/>
                <w:lang w:val="en-US" w:eastAsia="es-ES_tradnl"/>
              </w:rPr>
            </w:pPr>
            <w:r w:rsidRPr="0025358B">
              <w:rPr>
                <w:rFonts w:ascii="Times New Roman" w:eastAsia="Times New Roman" w:hAnsi="Times New Roman" w:cs="Times New Roman"/>
                <w:b/>
                <w:bCs/>
                <w:i/>
                <w:iCs/>
                <w:color w:val="000000" w:themeColor="text1"/>
                <w:sz w:val="20"/>
                <w:szCs w:val="20"/>
                <w:lang w:val="en-US" w:eastAsia="es-ES_tradnl"/>
              </w:rPr>
              <w:lastRenderedPageBreak/>
              <w:t>Shift Work</w:t>
            </w:r>
          </w:p>
          <w:p w14:paraId="23CB6CE7" w14:textId="77777777" w:rsidR="00B05162" w:rsidRPr="0025358B" w:rsidRDefault="00B05162" w:rsidP="002F03AC">
            <w:pPr>
              <w:spacing w:line="480" w:lineRule="auto"/>
              <w:jc w:val="both"/>
              <w:rPr>
                <w:rFonts w:ascii="Times New Roman" w:hAnsi="Times New Roman" w:cs="Times New Roman"/>
                <w:sz w:val="20"/>
                <w:szCs w:val="20"/>
                <w:lang w:val="en-US"/>
              </w:rPr>
            </w:pPr>
          </w:p>
        </w:tc>
        <w:tc>
          <w:tcPr>
            <w:tcW w:w="2508" w:type="dxa"/>
          </w:tcPr>
          <w:p w14:paraId="4E1DAFEF" w14:textId="77777777" w:rsidR="00B05162" w:rsidRPr="000F59F4" w:rsidRDefault="00B05162" w:rsidP="002F03AC">
            <w:pPr>
              <w:spacing w:line="480" w:lineRule="auto"/>
              <w:jc w:val="both"/>
              <w:rPr>
                <w:rFonts w:ascii="Times New Roman" w:hAnsi="Times New Roman" w:cs="Times New Roman"/>
                <w:color w:val="000000" w:themeColor="text1"/>
                <w:sz w:val="20"/>
                <w:szCs w:val="20"/>
              </w:rPr>
            </w:pPr>
            <w:r w:rsidRPr="000F59F4">
              <w:rPr>
                <w:rFonts w:ascii="Times New Roman" w:hAnsi="Times New Roman" w:cs="Times New Roman"/>
                <w:color w:val="000000" w:themeColor="text1"/>
                <w:sz w:val="20"/>
                <w:szCs w:val="20"/>
                <w:lang w:val="en-US"/>
              </w:rPr>
              <w:t xml:space="preserve">Shift work is defined as “work occurring outside typical daytime working hours” </w:t>
            </w:r>
            <w:r w:rsidRPr="000F59F4">
              <w:rPr>
                <w:rFonts w:ascii="Times New Roman" w:hAnsi="Times New Roman" w:cs="Times New Roman"/>
                <w:color w:val="000000" w:themeColor="text1"/>
                <w:sz w:val="20"/>
                <w:szCs w:val="20"/>
                <w:lang w:val="en-US"/>
              </w:rPr>
              <w:fldChar w:fldCharType="begin" w:fldLock="1"/>
            </w:r>
            <w:r>
              <w:rPr>
                <w:rFonts w:ascii="Times New Roman" w:hAnsi="Times New Roman" w:cs="Times New Roman"/>
                <w:color w:val="000000" w:themeColor="text1"/>
                <w:sz w:val="20"/>
                <w:szCs w:val="20"/>
                <w:lang w:val="en-US"/>
              </w:rPr>
              <w:instrText>ADDIN CSL_CITATION {"citationItems":[{"id":"ITEM-1","itemData":{"DOI":"10.1111/ejn.14216","ISSN":"14609568","abstract":"Shift work, defined as work occurring outside typical daytime working hours, is associated with an increased risk of various non-communicable diseases, including diabetes and cardiovascular disease. Disruption of the internal circadian timing system and concomitant sleep disturbances is thought to play a critical role in the development of these health problems. Indeed, controlled laboratory studies have shown that short-term circadian misalignment and sleep restriction independently impair physiological processes, including insulin sensitivity, energy expenditure, immune function, blood pressure and cardiac modulation by the autonomous nervous system. If allowed to persist, these acute effects may lead to the development of cardiometabolic diseases in the long term. Here, we discuss the evidence for the contributions of circadian disruption and associated sleep disturbances to the risk of metabolic and cardiovascular health problems in shift workers. Improving the understanding of the physiological mechanisms affected by circadian misalignment and sleep disturbance will contribute to the development and implementation of strategies that prevent or mitigate the cardiometabolic impact of shift work.","author":[{"dropping-particle":"","family":"Kervezee","given":"Laura","non-dropping-particle":"","parse-names":false,"suffix":""},{"dropping-particle":"","family":"Kosmadopoulos","given":"Anastasi","non-dropping-particle":"","parse-names":false,"suffix":""},{"dropping-particle":"","family":"Boivin","given":"Diane B.","non-dropping-particle":"","parse-names":false,"suffix":""}],"container-title":"European Journal of Neuroscience","id":"ITEM-1","issue":"June","issued":{"date-parts":[["2018"]]},"page":"1-17","title":"Metabolic and cardiovascular consequences of shift work: The role of circadian disruption and sleep disturbances","type":"article-journal"},"uris":["http://www.mendeley.com/documents/?uuid=e114a105-d9ab-404c-a218-3f83a520f80e"]}],"mendeley":{"formattedCitation":"(11)","plainTextFormattedCitation":"(11)","previouslyFormattedCitation":"(10)"},"properties":{"noteIndex":0},"schema":"https://github.com/citation-style-language/schema/raw/master/csl-citation.json"}</w:instrText>
            </w:r>
            <w:r w:rsidRPr="000F59F4">
              <w:rPr>
                <w:rFonts w:ascii="Times New Roman" w:hAnsi="Times New Roman" w:cs="Times New Roman"/>
                <w:color w:val="000000" w:themeColor="text1"/>
                <w:sz w:val="20"/>
                <w:szCs w:val="20"/>
                <w:lang w:val="en-US"/>
              </w:rPr>
              <w:fldChar w:fldCharType="separate"/>
            </w:r>
            <w:r w:rsidRPr="00B05162">
              <w:rPr>
                <w:rFonts w:ascii="Times New Roman" w:hAnsi="Times New Roman" w:cs="Times New Roman"/>
                <w:noProof/>
                <w:color w:val="000000" w:themeColor="text1"/>
                <w:sz w:val="20"/>
                <w:szCs w:val="20"/>
                <w:lang w:val="en-US"/>
              </w:rPr>
              <w:t>(11)</w:t>
            </w:r>
            <w:r w:rsidRPr="000F59F4">
              <w:rPr>
                <w:rFonts w:ascii="Times New Roman" w:hAnsi="Times New Roman" w:cs="Times New Roman"/>
                <w:color w:val="000000" w:themeColor="text1"/>
                <w:sz w:val="20"/>
                <w:szCs w:val="20"/>
                <w:lang w:val="en-US"/>
              </w:rPr>
              <w:fldChar w:fldCharType="end"/>
            </w:r>
            <w:r w:rsidRPr="000F59F4">
              <w:rPr>
                <w:rFonts w:ascii="Times New Roman" w:hAnsi="Times New Roman" w:cs="Times New Roman"/>
                <w:color w:val="000000" w:themeColor="text1"/>
                <w:sz w:val="20"/>
                <w:szCs w:val="20"/>
                <w:lang w:val="en-US"/>
              </w:rPr>
              <w:t>.</w:t>
            </w:r>
          </w:p>
        </w:tc>
        <w:tc>
          <w:tcPr>
            <w:tcW w:w="2977" w:type="dxa"/>
          </w:tcPr>
          <w:p w14:paraId="63F351BE" w14:textId="77777777" w:rsidR="00B05162" w:rsidRPr="005B3FBC" w:rsidRDefault="00B05162" w:rsidP="002F03AC">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Work Schedule </w:t>
            </w:r>
            <w:r>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{"citationItems":[{"id":"ITEM-1","itemData":{"DOI":"10.1007/s00420-019-01434-3","ISBN":"0123456789","ISSN":"14321246","abstract":"Background: Shift work is common. However, research findings are mixed regarding the impact of shift work on mental health. This systematic review sought to provide a comprehensive summary of existing research examining the association between different types of shift work and mental health. The review included large-scale, non-occupation-specific research. Methods: Four electronic databases PubMed, PsycINFO, Web of Science and SCOPUS were searched to identify studies that reported on the statistical association between shift work and mental health and that used population-based samples. Two reviewers extracted information about study characteristics and data on the association between shift work and mental health. A meta-analysis was performed for longitudinal studies adopting a ‘broad binary’ measure of shift work. Results: Thirty-three studies were included in the final review—10 cross-sectional studies, 22 longitudinal studies, and 1 study that included both. Findings were grouped based on whether the measure of shift work focussed on: (1) night/evening work, (2) weekend work, (3) irregular/unpredictable work schedule, or (4) a broad binary measure. There was a reasonable level of evidence that overall, when a broad binary measure was adopted, shift work was associated with poorer mental health—this finding was supported by the meta-analysis results. There was also some evidence that irregular/unpredictable work was associated with poorer mental health. There was less evidence for night/evening and minimal evidence for weekend work. Inconsistencies in study methodology, limited contrasting and combining the results. Conclusions: The association between shift work and mental health is different across types of shift work. The evidence is strongest for a broad binary, general measure of shift work and for irregular or unpredictable shift work. There is a need for continued research that adopts consistent and clear measures of shift work.","author":[{"dropping-particle":"","family":"Zhao","given":"Yixuan","non-dropping-particle":"","parse-names":false,"suffix":""},{"dropping-particle":"","family":"Richardson","given":"Alice","non-dropping-particle":"","parse-names":false,"suffix":""},{"dropping-particle":"","family":"Poyser","given":"Carmel","non-dropping-particle":"","parse-names":false,"suffix":""},{"dropping-particle":"","family":"Butterworth","given":"Peter","non-dropping-particle":"","parse-names":false,"suffix":""},{"dropping-particle":"","family":"Strazdins","given":"Lyndall","non-dropping-particle":"","parse-names":false,"suffix":""},{"dropping-particle":"","family":"Leach","given":"Liana S.","non-dropping-particle":"","parse-names":false,"suffix":""}],"container-title":"International Archives of Occupational and Environmental Health","id":"ITEM-1","issue":"6","issued":{"date-parts":[["2019"]]},"number-of-pages":"763-793","publisher":"Springer Berlin Heidelberg","title":"Shift work and mental health: a systematic review and meta-analysis","type":"book","volume":"92"},"uris":["http://www.mendeley.com/documents/?uuid=2dc13f99-8862-4bf2-b44b-b5a4cd948c6a"]}],"mendeley":{"formattedCitation":"(12)","plainTextFormattedCitation":"(12)","previouslyFormattedCitation":"(13)"},"properties":{"noteIndex":0},"schema":"https://github.com/citation-style-language/schema/raw/master/csl-citation.json"}</w:instrText>
            </w:r>
            <w:r>
              <w:rPr>
                <w:rFonts w:ascii="Times New Roman" w:hAnsi="Times New Roman" w:cs="Times New Roman"/>
                <w:sz w:val="20"/>
                <w:szCs w:val="20"/>
                <w:lang w:val="en-US"/>
              </w:rPr>
              <w:fldChar w:fldCharType="separate"/>
            </w:r>
            <w:r w:rsidRPr="00B05162">
              <w:rPr>
                <w:rFonts w:ascii="Times New Roman" w:hAnsi="Times New Roman" w:cs="Times New Roman"/>
                <w:noProof/>
                <w:sz w:val="20"/>
                <w:szCs w:val="20"/>
                <w:lang w:val="en-US"/>
              </w:rPr>
              <w:t>(12)</w:t>
            </w:r>
            <w:r>
              <w:rPr>
                <w:rFonts w:ascii="Times New Roman" w:hAnsi="Times New Roman" w:cs="Times New Roman"/>
                <w:sz w:val="20"/>
                <w:szCs w:val="20"/>
                <w:lang w:val="en-US"/>
              </w:rPr>
              <w:fldChar w:fldCharType="end"/>
            </w:r>
          </w:p>
        </w:tc>
        <w:tc>
          <w:tcPr>
            <w:tcW w:w="2410" w:type="dxa"/>
          </w:tcPr>
          <w:p w14:paraId="0893D1C6" w14:textId="77777777" w:rsidR="00B05162" w:rsidRPr="005B3FBC" w:rsidRDefault="00B05162" w:rsidP="002F03AC">
            <w:pPr>
              <w:spacing w:line="480" w:lineRule="auto"/>
              <w:rPr>
                <w:rFonts w:ascii="Times New Roman" w:hAnsi="Times New Roman" w:cs="Times New Roman"/>
                <w:sz w:val="20"/>
                <w:szCs w:val="20"/>
                <w:lang w:val="en-US"/>
              </w:rPr>
            </w:pPr>
            <w:r w:rsidRPr="005B3FBC">
              <w:rPr>
                <w:rFonts w:ascii="Times New Roman" w:hAnsi="Times New Roman" w:cs="Times New Roman"/>
                <w:sz w:val="20"/>
                <w:szCs w:val="20"/>
                <w:lang w:val="en-US"/>
              </w:rPr>
              <w:t xml:space="preserve">Regular evening shift, regular night or graveyard shift, rotating shifts, split shifts, irregular schedule, on-call schedule, regular weekend work </w:t>
            </w:r>
            <w:r w:rsidRPr="005B3FBC">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{"citationItems":[{"id":"ITEM-1","itemData":{"DOI":"10.1007/s00420-019-01434-3","ISBN":"0123456789","ISSN":"14321246","abstract":"Background: Shift work is common. However, research findings are mixed regarding the impact of shift work on mental health. This systematic review sought to provide a comprehensive summary of existing research examining the association between different types of shift work and mental health. The review included large-scale, non-occupation-specific research. Methods: Four electronic databases PubMed, PsycINFO, Web of Science and SCOPUS were searched to identify studies that reported on the statistical association between shift work and mental health and that used population-based samples. Two reviewers extracted information about study characteristics and data on the association between shift work and mental health. A meta-analysis was performed for longitudinal studies adopting a ‘broad binary’ measure of shift work. Results: Thirty-three studies were included in the final review—10 cross-sectional studies, 22 longitudinal studies, and 1 study that included both. Findings were grouped based on whether the measure of shift work focussed on: (1) night/evening work, (2) weekend work, (3) irregular/unpredictable work schedule, or (4) a broad binary measure. There was a reasonable level of evidence that overall, when a broad binary measure was adopted, shift work was associated with poorer mental health—this finding was supported by the meta-analysis results. There was also some evidence that irregular/unpredictable work was associated with poorer mental health. There was less evidence for night/evening and minimal evidence for weekend work. Inconsistencies in study methodology, limited contrasting and combining the results. Conclusions: The association between shift work and mental health is different across types of shift work. The evidence is strongest for a broad binary, general measure of shift work and for irregular or unpredictable shift work. There is a need for continued research that adopts consistent and clear measures of shift work.","author":[{"dropping-particle":"","family":"Zhao","given":"Yixuan","non-dropping-particle":"","parse-names":false,"suffix":""},{"dropping-particle":"","family":"Richardson","given":"Alice","non-dropping-particle":"","parse-names":false,"suffix":""},{"dropping-particle":"","family":"Poyser","given":"Carmel","non-dropping-particle":"","parse-names":false,"suffix":""},{"dropping-particle":"","family":"Butterworth","given":"Peter","non-dropping-particle":"","parse-names":false,"suffix":""},{"dropping-particle":"","family":"Strazdins","given":"Lyndall","non-dropping-particle":"","parse-names":false,"suffix":""},{"dropping-particle":"","family":"Leach","given":"Liana S.","non-dropping-particle":"","parse-names":false,"suffix":""}],"container-title":"International Archives of Occupational and Environmental Health","id":"ITEM-1","issue":"6","issued":{"date-parts":[["2019"]]},"number-of-pages":"763-793","publisher":"Springer Berlin Heidelberg","title":"Shift work and mental health: a systematic review and meta-analysis","type":"book","volume":"92"},"uris":["http://www.mendeley.com/documents/?uuid=2dc13f99-8862-4bf2-b44b-b5a4cd948c6a"]}],"mendeley":{"formattedCitation":"(12)","plainTextFormattedCitation":"(12)","previouslyFormattedCitation":"(13)"},"properties":{"noteIndex":0},"schema":"https://github.com/citation-style-language/schema/raw/master/csl-citation.json"}</w:instrText>
            </w:r>
            <w:r w:rsidRPr="005B3FBC">
              <w:rPr>
                <w:rFonts w:ascii="Times New Roman" w:hAnsi="Times New Roman" w:cs="Times New Roman"/>
                <w:sz w:val="20"/>
                <w:szCs w:val="20"/>
                <w:lang w:val="en-US"/>
              </w:rPr>
              <w:fldChar w:fldCharType="separate"/>
            </w:r>
            <w:r w:rsidRPr="00B05162">
              <w:rPr>
                <w:rFonts w:ascii="Times New Roman" w:hAnsi="Times New Roman" w:cs="Times New Roman"/>
                <w:noProof/>
                <w:sz w:val="20"/>
                <w:szCs w:val="20"/>
                <w:lang w:val="en-US"/>
              </w:rPr>
              <w:t>(12)</w:t>
            </w:r>
            <w:r w:rsidRPr="005B3FBC">
              <w:rPr>
                <w:rFonts w:ascii="Times New Roman" w:hAnsi="Times New Roman" w:cs="Times New Roman"/>
                <w:sz w:val="20"/>
                <w:szCs w:val="20"/>
                <w:lang w:val="en-US"/>
              </w:rPr>
              <w:fldChar w:fldCharType="end"/>
            </w:r>
          </w:p>
        </w:tc>
      </w:tr>
      <w:tr w:rsidR="00B05162" w14:paraId="10D90688" w14:textId="77777777" w:rsidTr="002F03AC">
        <w:tc>
          <w:tcPr>
            <w:tcW w:w="1456" w:type="dxa"/>
          </w:tcPr>
          <w:p w14:paraId="111C3644" w14:textId="77777777" w:rsidR="00B05162" w:rsidRPr="009E1F68" w:rsidRDefault="00B05162" w:rsidP="002F03AC">
            <w:pPr>
              <w:spacing w:line="480" w:lineRule="auto"/>
              <w:jc w:val="both"/>
              <w:rPr>
                <w:rFonts w:ascii="Times New Roman" w:hAnsi="Times New Roman" w:cs="Times New Roman"/>
                <w:b/>
                <w:bCs/>
                <w:i/>
                <w:iCs/>
                <w:color w:val="000000" w:themeColor="text1"/>
                <w:sz w:val="20"/>
                <w:szCs w:val="20"/>
              </w:rPr>
            </w:pPr>
            <w:r w:rsidRPr="00394714">
              <w:rPr>
                <w:rFonts w:ascii="Times New Roman" w:hAnsi="Times New Roman" w:cs="Times New Roman"/>
                <w:b/>
                <w:bCs/>
                <w:i/>
                <w:iCs/>
                <w:color w:val="000000" w:themeColor="text1"/>
                <w:sz w:val="20"/>
                <w:szCs w:val="20"/>
              </w:rPr>
              <w:t xml:space="preserve">Occupational Noise </w:t>
            </w:r>
          </w:p>
        </w:tc>
        <w:tc>
          <w:tcPr>
            <w:tcW w:w="2508" w:type="dxa"/>
          </w:tcPr>
          <w:p w14:paraId="025A8362" w14:textId="77777777" w:rsidR="00B05162" w:rsidRPr="000F59F4" w:rsidRDefault="00B05162" w:rsidP="002F03AC">
            <w:pPr>
              <w:spacing w:line="480" w:lineRule="auto"/>
              <w:jc w:val="both"/>
              <w:rPr>
                <w:rFonts w:ascii="Times New Roman" w:hAnsi="Times New Roman" w:cs="Times New Roman"/>
                <w:color w:val="000000" w:themeColor="text1"/>
                <w:sz w:val="20"/>
                <w:szCs w:val="20"/>
                <w:lang w:val="en-US"/>
              </w:rPr>
            </w:pPr>
            <w:r w:rsidRPr="000F59F4">
              <w:rPr>
                <w:rFonts w:ascii="Times New Roman" w:hAnsi="Times New Roman" w:cs="Times New Roman"/>
                <w:color w:val="000000" w:themeColor="text1"/>
                <w:sz w:val="20"/>
                <w:szCs w:val="20"/>
                <w:lang w:val="en-US"/>
              </w:rPr>
              <w:t>“Occupational noise is the exposure at the</w:t>
            </w:r>
          </w:p>
          <w:p w14:paraId="656EEE50" w14:textId="77777777" w:rsidR="00B05162" w:rsidRPr="00394714" w:rsidRDefault="00B05162" w:rsidP="002F03AC">
            <w:pPr>
              <w:spacing w:line="480" w:lineRule="auto"/>
              <w:jc w:val="both"/>
              <w:rPr>
                <w:rFonts w:ascii="Times New Roman" w:hAnsi="Times New Roman" w:cs="Times New Roman"/>
                <w:color w:val="000000" w:themeColor="text1"/>
                <w:sz w:val="20"/>
                <w:szCs w:val="20"/>
                <w:highlight w:val="green"/>
                <w:lang w:val="en-US"/>
              </w:rPr>
            </w:pPr>
            <w:r w:rsidRPr="000F59F4">
              <w:rPr>
                <w:rFonts w:ascii="Times New Roman" w:hAnsi="Times New Roman" w:cs="Times New Roman"/>
                <w:color w:val="000000" w:themeColor="text1"/>
                <w:sz w:val="20"/>
                <w:szCs w:val="20"/>
                <w:lang w:val="en-US"/>
              </w:rPr>
              <w:t>workplace to an unpleasant or unwanted sound”</w:t>
            </w:r>
            <w:r>
              <w:rPr>
                <w:rFonts w:ascii="Times New Roman" w:hAnsi="Times New Roman" w:cs="Times New Roman"/>
                <w:color w:val="000000" w:themeColor="text1"/>
                <w:sz w:val="20"/>
                <w:szCs w:val="20"/>
                <w:lang w:val="en-US"/>
              </w:rPr>
              <w:fldChar w:fldCharType="begin" w:fldLock="1"/>
            </w:r>
            <w:r>
              <w:rPr>
                <w:rFonts w:ascii="Times New Roman" w:hAnsi="Times New Roman" w:cs="Times New Roman"/>
                <w:color w:val="000000" w:themeColor="text1"/>
                <w:sz w:val="20"/>
                <w:szCs w:val="20"/>
                <w:lang w:val="en-US"/>
              </w:rPr>
              <w:instrText>ADDIN CSL_CITATION {"citationItems":[{"id":"ITEM-1","itemData":{"DOI":"10.1016/j.envint.2018.09.040","ISSN":"18736750","abstract":"Background: The World Health Organization (WHO) and the International Labour Organization (ILO) are developing a joint methodology for estimating the national and global work-related burden of disease and injury (WHO/ILO joint methodology), with contributions from a large network of experts. In this paper, we present the protocol for two systematic reviews of parameters for estimating the number of deaths and disability-adjusted life years from cardiovascular disease attributable to exposure to occupational noise, to inform the development of the WHO/ILO joint methodology. Objectives: We aim to systematically review studies on exposure to occupational noise (Systematic Review 1) and systematically review and meta-analyse estimates of the effect of occupational noise on cardiovascular diseases (Systematic Review 2), applying the Navigation Guide systematic review methodology as an organizing framework, conducting both systematic reviews in tandem and in a harmonized way. Data sources: Separately for Systematic Reviews 1 and 2, we will search electronic academic databases for potentially relevant records from published and unpublished studies, including Medline, EMBASE, Web of Science and CISDOC. We will also search electronic grey literature databases, Internet search engines and organizational websites; hand search reference list of previous systematic reviews and included study records; and consult additional experts. Study eligibility and criteria: We will include working-age (≥15 years) workers in the formal and informal economy in any WHO and/or ILO Member State, but exclude children (&lt;15 years) and unpaid domestic workers. The eligible risk factor will be occupational noise. Eligible outcomes will be hypertensive heart disease, ischaemic heart disease, stroke, cardiomyopathy, myocarditis, endocarditis and other circulatory diseases. For Systematic Review 1, we will include quantitative prevalence studies of exposure to occupational noise (i.e., low: &lt;85 dB(A) and high: ≥85 dB(A)) stratified by country, sex, age and industrial sector or occupation. For Systematic Review 2, we will include randomized controlled trials, cohort studies, case-control studies and other non-randomized intervention studies with an estimate of the relative effect of high exposure to occupational noise on the prevalence of, incidence of or mortality due to cardiovascular disease, compared with the theoretical minimum risk exposure level (i.e., low exposure). Study appraisal …","author":[{"dropping-particle":"","family":"Teixeira","given":"Liliane R.","non-dropping-particle":"","parse-names":false,"suffix":""},{"dropping-particle":"","family":"Azevedo","given":"Tatiana M.","non-dropping-particle":"","parse-names":false,"suffix":""},{"dropping-particle":"","family":"Bortkiewicz","given":"Alicja","non-dropping-particle":"","parse-names":false,"suffix":""},{"dropping-particle":"","family":"Corrêa da Silva","given":"Denise T.","non-dropping-particle":"","parse-names":false,"suffix":""},{"dropping-particle":"","family":"Abreu","given":"Wagner","non-dropping-particle":"de","parse-names":false,"suffix":""},{"dropping-particle":"","family":"Almeida","given":"Márcia S.","non-dropping-particle":"de","parse-names":false,"suffix":""},{"dropping-particle":"","family":"Araujo","given":"Marco A.N.","non-dropping-particle":"de","parse-names":false,"suffix":""},{"dropping-particle":"","family":"Gadzicka","given":"Elzbieta","non-dropping-particle":"","parse-names":false,"suffix":""},{"dropping-particle":"","family":"Ivanov","given":"Ivan D.","non-dropping-particle":"","parse-names":false,"suffix":""},{"dropping-particle":"","family":"Leppink","given":"Nancy","non-dropping-particle":"","parse-names":false,"suffix":""},{"dropping-particle":"","family":"Macedo","given":"Marta R.V.","non-dropping-particle":"","parse-names":false,"suffix":""},{"dropping-particle":"","family":"Elvira","given":"Elvira M.G.","non-dropping-particle":"","parse-names":false,"suffix":""},{"dropping-particle":"","family":"Pawlaczyk-Łuszczyńska","given":"Małgorzata","non-dropping-particle":"","parse-names":false,"suffix":""},{"dropping-particle":"","family":"Pega","given":"Frank","non-dropping-particle":"","parse-names":false,"suffix":""},{"dropping-particle":"","family":"Prüss-Üstün","given":"Annette M.","non-dropping-particle":"","parse-names":false,"suffix":""},{"dropping-particle":"","family":"Siedlecka","given":"Jadwiga","non-dropping-particle":"","parse-names":false,"suffix":""},{"dropping-particle":"","family":"Stevens","given":"Gretchen A.","non-dropping-particle":"","parse-names":false,"suffix":""},{"dropping-particle":"","family":"Ujita","given":"Yuka","non-dropping-particle":"","parse-names":false,"suffix":""},{"dropping-particle":"","family":"Braga","given":"José Ueleres","non-dropping-particle":"","parse-names":false,"suffix":""}],"container-title":"Environment International","id":"ITEM-1","issue":"September 2018","issued":{"date-parts":[["2019"]]},"page":"567-578","publisher":"Elsevier","title":"WHO/ILO work-related burden of disease and injury: Protocol for systematic reviews of exposure to occupational noise and of the effect of exposure to occupational noise on cardiovascular disease","type":"article-journal","volume":"125"},"uris":["http://www.mendeley.com/documents/?uuid=ac89ec25-a33d-4752-ad4b-2ed3070c5d62"]}],"mendeley":{"formattedCitation":"(13)","plainTextFormattedCitation":"(13)","previouslyFormattedCitation":"(11)"},"properties":{"noteIndex":0},"schema":"https://github.com/citation-style-language/schema/raw/master/csl-citation.json"}</w:instrText>
            </w:r>
            <w:r>
              <w:rPr>
                <w:rFonts w:ascii="Times New Roman" w:hAnsi="Times New Roman" w:cs="Times New Roman"/>
                <w:color w:val="000000" w:themeColor="text1"/>
                <w:sz w:val="20"/>
                <w:szCs w:val="20"/>
                <w:lang w:val="en-US"/>
              </w:rPr>
              <w:fldChar w:fldCharType="separate"/>
            </w:r>
            <w:r w:rsidRPr="00B05162">
              <w:rPr>
                <w:rFonts w:ascii="Times New Roman" w:hAnsi="Times New Roman" w:cs="Times New Roman"/>
                <w:noProof/>
                <w:color w:val="000000" w:themeColor="text1"/>
                <w:sz w:val="20"/>
                <w:szCs w:val="20"/>
                <w:lang w:val="en-US"/>
              </w:rPr>
              <w:t>(13)</w:t>
            </w:r>
            <w:r>
              <w:rPr>
                <w:rFonts w:ascii="Times New Roman" w:hAnsi="Times New Roman" w:cs="Times New Roman"/>
                <w:color w:val="000000" w:themeColor="text1"/>
                <w:sz w:val="20"/>
                <w:szCs w:val="20"/>
                <w:lang w:val="en-US"/>
              </w:rPr>
              <w:fldChar w:fldCharType="end"/>
            </w:r>
          </w:p>
        </w:tc>
        <w:tc>
          <w:tcPr>
            <w:tcW w:w="2977" w:type="dxa"/>
          </w:tcPr>
          <w:p w14:paraId="6BB9573E" w14:textId="77777777" w:rsidR="00B05162" w:rsidRPr="0047013A" w:rsidRDefault="00B05162" w:rsidP="002F03AC">
            <w:pPr>
              <w:spacing w:line="480" w:lineRule="auto"/>
              <w:jc w:val="both"/>
              <w:rPr>
                <w:rFonts w:ascii="Times New Roman" w:hAnsi="Times New Roman" w:cs="Times New Roman"/>
                <w:color w:val="000000" w:themeColor="text1"/>
                <w:sz w:val="20"/>
                <w:szCs w:val="20"/>
                <w:lang w:val="en-US"/>
              </w:rPr>
            </w:pPr>
            <w:r w:rsidRPr="004F2AEB">
              <w:rPr>
                <w:rFonts w:ascii="Times New Roman" w:hAnsi="Times New Roman" w:cs="Times New Roman"/>
                <w:color w:val="000000" w:themeColor="text1"/>
                <w:sz w:val="20"/>
                <w:szCs w:val="20"/>
                <w:lang w:val="en-US"/>
              </w:rPr>
              <w:t>Noise measurem</w:t>
            </w:r>
            <w:r w:rsidRPr="00701CD9">
              <w:rPr>
                <w:rFonts w:ascii="Times New Roman" w:hAnsi="Times New Roman" w:cs="Times New Roman"/>
                <w:color w:val="000000" w:themeColor="text1"/>
                <w:sz w:val="20"/>
                <w:szCs w:val="20"/>
                <w:lang w:val="en-US"/>
              </w:rPr>
              <w:t>ents performed into work environments</w:t>
            </w:r>
            <w:r>
              <w:rPr>
                <w:rFonts w:ascii="Times New Roman" w:hAnsi="Times New Roman" w:cs="Times New Roman"/>
                <w:color w:val="000000" w:themeColor="text1"/>
                <w:sz w:val="20"/>
                <w:szCs w:val="20"/>
                <w:lang w:val="en-US"/>
              </w:rPr>
              <w:t xml:space="preserve"> </w:t>
            </w:r>
            <w:r w:rsidRPr="0039590C">
              <w:rPr>
                <w:rFonts w:ascii="Times New Roman" w:hAnsi="Times New Roman" w:cs="Times New Roman"/>
                <w:color w:val="000000" w:themeColor="text1"/>
                <w:sz w:val="20"/>
                <w:szCs w:val="20"/>
                <w:lang w:val="en-US"/>
              </w:rPr>
              <w:t>with dosimeter</w:t>
            </w:r>
            <w:r>
              <w:rPr>
                <w:rFonts w:ascii="Times New Roman" w:hAnsi="Times New Roman" w:cs="Times New Roman"/>
                <w:color w:val="000000" w:themeColor="text1"/>
                <w:sz w:val="20"/>
                <w:szCs w:val="20"/>
                <w:lang w:val="en-US"/>
              </w:rPr>
              <w:t xml:space="preserve"> </w:t>
            </w:r>
            <w:r w:rsidRPr="0039590C">
              <w:rPr>
                <w:rFonts w:ascii="Times New Roman" w:hAnsi="Times New Roman" w:cs="Times New Roman"/>
                <w:color w:val="000000" w:themeColor="text1"/>
                <w:sz w:val="20"/>
                <w:szCs w:val="20"/>
                <w:lang w:val="en-US"/>
              </w:rPr>
              <w:fldChar w:fldCharType="begin" w:fldLock="1"/>
            </w:r>
            <w:r>
              <w:rPr>
                <w:rFonts w:ascii="Times New Roman" w:hAnsi="Times New Roman" w:cs="Times New Roman"/>
                <w:color w:val="000000" w:themeColor="text1"/>
                <w:sz w:val="20"/>
                <w:szCs w:val="20"/>
                <w:lang w:val="en-US"/>
              </w:rPr>
              <w:instrText>ADDIN CSL_CITATION {"citationItems":[{"id":"ITEM-1","itemData":{"DOI":"10.1016/j.scitotenv.2009.10.071","ISBN":"0686203178","ISSN":"00489697","abstract":"The aim of our meta-analysis is to evaluate the association between the modifications of the cardiovascular system and chronic exposure to noise in occupationally exposed subjects. We considered the articles published from 1950 to May 2008. Only 15 papers were conforming to the inclusion criteria identified for this meta-analysis. A total of 18,658 workers were divided in three groups according to the level of noise exposure as measured in the original studies (High Exposure, HE, Intermediate Exposure, IE, Low Exposure, LE). A preliminary evaluation of the type of data allowed for a classification of the type of performed measurements. Two classes of variables were identified: Class I, composed by continuous variables (systolic blood pressure, SBP, diastolic blood pressure, DBP, and heart rate, HR) and Class II, composed by not continuous variables (prevalence of hypertension and prevalence of ECG abnormalities). For each variable the calculation of heterogeneity was performed. For continuous variables the calculation of ES and its significance were performed while Odds Ratio (OR) and its significance were calculated for not continuous variables. The results show a statistically significant increase of SBP and DBP in HE workers compared to LE and IE workers while HR is statistically higher in HE participants compared to LE participants. The prevalence of both hypertension and ECG abnormalities is statistically higher in HE workers compared to LE and IE workers. Taking into account both the extremely high heterogeneity among studies and the ES/OR values we suggest a particular attention to the measurement and evaluation of SBP, DBP and HR in workers with chronic exposure to noise. Also ECG for workers with chronic exposure to noise is suggested in order to identify and evaluate possible abnormalities noise could be a concurrent cause of. © 2009 Elsevier B.V. All rights reserved.","author":[{"dropping-particle":"","family":"Tomei","given":"G.","non-dropping-particle":"","parse-names":false,"suffix":""},{"dropping-particle":"","family":"Fioravanti","given":"M.","non-dropping-particle":"","parse-names":false,"suffix":""},{"dropping-particle":"","family":"Cerratti","given":"D.","non-dropping-particle":"","parse-names":false,"suffix":""},{"dropping-particle":"","family":"Sancini","given":"A.","non-dropping-particle":"","parse-names":false,"suffix":""},{"dropping-particle":"","family":"Tomao","given":"E.","non-dropping-particle":"","parse-names":false,"suffix":""},{"dropping-particle":"V.","family":"Rosati","given":"M.","non-dropping-particle":"","parse-names":false,"suffix":""},{"dropping-particle":"","family":"Vacca","given":"D.","non-dropping-particle":"","parse-names":false,"suffix":""},{"dropping-particle":"","family":"Palitti","given":"T.","non-dropping-particle":"","parse-names":false,"suffix":""},{"dropping-particle":"","family":"Famiani","given":"M.","non-dropping-particle":"Di","parse-names":false,"suffix":""},{"dropping-particle":"","family":"Giubilati","given":"R.","non-dropping-particle":"","parse-names":false,"suffix":""},{"dropping-particle":"","family":"Sio","given":"S.","non-dropping-particle":"De","parse-names":false,"suffix":""},{"dropping-particle":"","family":"Tomei","given":"F.","non-dropping-particle":"","parse-names":false,"suffix":""}],"container-title":"Science of the Total Environment","id":"ITEM-1","issue":"4","issued":{"date-parts":[["2010"]]},"page":"681-689","publisher":"Elsevier B.V.","title":"Occupational exposure to noise and the cardiovascular system: A meta-analysis","type":"article-journal","volume":"408"},"uris":["http://www.mendeley.com/documents/?uuid=1dcdf9f1-8fee-49e4-9038-e5c21f50d6e7"]}],"mendeley":{"formattedCitation":"(14)","plainTextFormattedCitation":"(14)","previouslyFormattedCitation":"(15)"},"properties":{"noteIndex":0},"schema":"https://github.com/citation-style-language/schema/raw/master/csl-citation.json"}</w:instrText>
            </w:r>
            <w:r w:rsidRPr="0039590C">
              <w:rPr>
                <w:rFonts w:ascii="Times New Roman" w:hAnsi="Times New Roman" w:cs="Times New Roman"/>
                <w:color w:val="000000" w:themeColor="text1"/>
                <w:sz w:val="20"/>
                <w:szCs w:val="20"/>
                <w:lang w:val="en-US"/>
              </w:rPr>
              <w:fldChar w:fldCharType="separate"/>
            </w:r>
            <w:r w:rsidRPr="00B05162">
              <w:rPr>
                <w:rFonts w:ascii="Times New Roman" w:hAnsi="Times New Roman" w:cs="Times New Roman"/>
                <w:noProof/>
                <w:color w:val="000000" w:themeColor="text1"/>
                <w:sz w:val="20"/>
                <w:szCs w:val="20"/>
                <w:lang w:val="en-US"/>
              </w:rPr>
              <w:t>(14)</w:t>
            </w:r>
            <w:r w:rsidRPr="0039590C">
              <w:rPr>
                <w:rFonts w:ascii="Times New Roman" w:hAnsi="Times New Roman" w:cs="Times New Roman"/>
                <w:color w:val="000000" w:themeColor="text1"/>
                <w:sz w:val="20"/>
                <w:szCs w:val="20"/>
                <w:lang w:val="en-US"/>
              </w:rPr>
              <w:fldChar w:fldCharType="end"/>
            </w:r>
            <w:r>
              <w:rPr>
                <w:rFonts w:ascii="Times New Roman" w:hAnsi="Times New Roman" w:cs="Times New Roman"/>
                <w:color w:val="000000" w:themeColor="text1"/>
                <w:sz w:val="20"/>
                <w:szCs w:val="20"/>
                <w:lang w:val="en-US"/>
              </w:rPr>
              <w:t xml:space="preserve">.  </w:t>
            </w:r>
          </w:p>
        </w:tc>
        <w:tc>
          <w:tcPr>
            <w:tcW w:w="2410" w:type="dxa"/>
          </w:tcPr>
          <w:p w14:paraId="4054D0BF" w14:textId="77777777" w:rsidR="00B05162" w:rsidRPr="0039590C" w:rsidRDefault="00B05162" w:rsidP="002F03AC">
            <w:pPr>
              <w:spacing w:line="480" w:lineRule="auto"/>
              <w:jc w:val="both"/>
              <w:rPr>
                <w:rFonts w:ascii="Times New Roman" w:hAnsi="Times New Roman" w:cs="Times New Roman"/>
                <w:color w:val="000000" w:themeColor="text1"/>
                <w:sz w:val="20"/>
                <w:szCs w:val="20"/>
                <w:lang w:val="en-US"/>
              </w:rPr>
            </w:pPr>
            <w:r w:rsidRPr="0039590C">
              <w:rPr>
                <w:rFonts w:ascii="Times New Roman" w:hAnsi="Times New Roman" w:cs="Times New Roman"/>
                <w:color w:val="000000" w:themeColor="text1"/>
                <w:sz w:val="20"/>
                <w:szCs w:val="20"/>
                <w:lang w:val="en-US"/>
              </w:rPr>
              <w:t xml:space="preserve">≥85 dB(A) </w:t>
            </w:r>
            <w:r w:rsidRPr="0039590C">
              <w:rPr>
                <w:rFonts w:ascii="Times New Roman" w:hAnsi="Times New Roman" w:cs="Times New Roman"/>
                <w:color w:val="000000" w:themeColor="text1"/>
                <w:sz w:val="20"/>
                <w:szCs w:val="20"/>
                <w:lang w:val="en-US"/>
              </w:rPr>
              <w:fldChar w:fldCharType="begin" w:fldLock="1"/>
            </w:r>
            <w:r>
              <w:rPr>
                <w:rFonts w:ascii="Times New Roman" w:hAnsi="Times New Roman" w:cs="Times New Roman"/>
                <w:color w:val="000000" w:themeColor="text1"/>
                <w:sz w:val="20"/>
                <w:szCs w:val="20"/>
                <w:lang w:val="en-US"/>
              </w:rPr>
              <w:instrText>ADDIN CSL_CITATION {"citationItems":[{"id":"ITEM-1","itemData":{"DOI":"10.1016/j.scitotenv.2009.10.071","ISBN":"0686203178","ISSN":"00489697","abstract":"The aim of our meta-analysis is to evaluate the association between the modifications of the cardiovascular system and chronic exposure to noise in occupationally exposed subjects. We considered the articles published from 1950 to May 2008. Only 15 papers were conforming to the inclusion criteria identified for this meta-analysis. A total of 18,658 workers were divided in three groups according to the level of noise exposure as measured in the original studies (High Exposure, HE, Intermediate Exposure, IE, Low Exposure, LE). A preliminary evaluation of the type of data allowed for a classification of the type of performed measurements. Two classes of variables were identified: Class I, composed by continuous variables (systolic blood pressure, SBP, diastolic blood pressure, DBP, and heart rate, HR) and Class II, composed by not continuous variables (prevalence of hypertension and prevalence of ECG abnormalities). For each variable the calculation of heterogeneity was performed. For continuous variables the calculation of ES and its significance were performed while Odds Ratio (OR) and its significance were calculated for not continuous variables. The results show a statistically significant increase of SBP and DBP in HE workers compared to LE and IE workers while HR is statistically higher in HE participants compared to LE participants. The prevalence of both hypertension and ECG abnormalities is statistically higher in HE workers compared to LE and IE workers. Taking into account both the extremely high heterogeneity among studies and the ES/OR values we suggest a particular attention to the measurement and evaluation of SBP, DBP and HR in workers with chronic exposure to noise. Also ECG for workers with chronic exposure to noise is suggested in order to identify and evaluate possible abnormalities noise could be a concurrent cause of. © 2009 Elsevier B.V. All rights reserved.","author":[{"dropping-particle":"","family":"Tomei","given":"G.","non-dropping-particle":"","parse-names":false,"suffix":""},{"dropping-particle":"","family":"Fioravanti","given":"M.","non-dropping-particle":"","parse-names":false,"suffix":""},{"dropping-particle":"","family":"Cerratti","given":"D.","non-dropping-particle":"","parse-names":false,"suffix":""},{"dropping-particle":"","family":"Sancini","given":"A.","non-dropping-particle":"","parse-names":false,"suffix":""},{"dropping-particle":"","family":"Tomao","given":"E.","non-dropping-particle":"","parse-names":false,"suffix":""},{"dropping-particle":"V.","family":"Rosati","given":"M.","non-dropping-particle":"","parse-names":false,"suffix":""},{"dropping-particle":"","family":"Vacca","given":"D.","non-dropping-particle":"","parse-names":false,"suffix":""},{"dropping-particle":"","family":"Palitti","given":"T.","non-dropping-particle":"","parse-names":false,"suffix":""},{"dropping-particle":"","family":"Famiani","given":"M.","non-dropping-particle":"Di","parse-names":false,"suffix":""},{"dropping-particle":"","family":"Giubilati","given":"R.","non-dropping-particle":"","parse-names":false,"suffix":""},{"dropping-particle":"","family":"Sio","given":"S.","non-dropping-particle":"De","parse-names":false,"suffix":""},{"dropping-particle":"","family":"Tomei","given":"F.","non-dropping-particle":"","parse-names":false,"suffix":""}],"container-title":"Science of the Total Environment","id":"ITEM-1","issue":"4","issued":{"date-parts":[["2010"]]},"page":"681-689","publisher":"Elsevier B.V.","title":"Occupational exposure to noise and the cardiovascular system: A meta-analysis","type":"article-journal","volume":"408"},"uris":["http://www.mendeley.com/documents/?uuid=1dcdf9f1-8fee-49e4-9038-e5c21f50d6e7"]}],"mendeley":{"formattedCitation":"(14)","plainTextFormattedCitation":"(14)","previouslyFormattedCitation":"(15)"},"properties":{"noteIndex":0},"schema":"https://github.com/citation-style-language/schema/raw/master/csl-citation.json"}</w:instrText>
            </w:r>
            <w:r w:rsidRPr="0039590C">
              <w:rPr>
                <w:rFonts w:ascii="Times New Roman" w:hAnsi="Times New Roman" w:cs="Times New Roman"/>
                <w:color w:val="000000" w:themeColor="text1"/>
                <w:sz w:val="20"/>
                <w:szCs w:val="20"/>
                <w:lang w:val="en-US"/>
              </w:rPr>
              <w:fldChar w:fldCharType="separate"/>
            </w:r>
            <w:r w:rsidRPr="00B05162">
              <w:rPr>
                <w:rFonts w:ascii="Times New Roman" w:hAnsi="Times New Roman" w:cs="Times New Roman"/>
                <w:noProof/>
                <w:color w:val="000000" w:themeColor="text1"/>
                <w:sz w:val="20"/>
                <w:szCs w:val="20"/>
                <w:lang w:val="en-US"/>
              </w:rPr>
              <w:t>(14)</w:t>
            </w:r>
            <w:r w:rsidRPr="0039590C">
              <w:rPr>
                <w:rFonts w:ascii="Times New Roman" w:hAnsi="Times New Roman" w:cs="Times New Roman"/>
                <w:color w:val="000000" w:themeColor="text1"/>
                <w:sz w:val="20"/>
                <w:szCs w:val="20"/>
                <w:lang w:val="en-US"/>
              </w:rPr>
              <w:fldChar w:fldCharType="end"/>
            </w:r>
          </w:p>
        </w:tc>
      </w:tr>
    </w:tbl>
    <w:p w14:paraId="70DC4C65" w14:textId="77777777" w:rsidR="00B05162" w:rsidRDefault="00B05162" w:rsidP="00B05162">
      <w:pPr>
        <w:spacing w:line="480" w:lineRule="auto"/>
        <w:rPr>
          <w:rFonts w:ascii="Times New Roman" w:hAnsi="Times New Roman" w:cs="Times New Roman"/>
          <w:sz w:val="20"/>
          <w:szCs w:val="20"/>
          <w:lang w:val="en-US"/>
        </w:rPr>
      </w:pPr>
      <w:r w:rsidRPr="000A0A6E">
        <w:rPr>
          <w:rFonts w:ascii="Times New Roman" w:hAnsi="Times New Roman" w:cs="Times New Roman"/>
          <w:sz w:val="20"/>
          <w:szCs w:val="20"/>
          <w:lang w:val="en-US"/>
        </w:rPr>
        <w:t xml:space="preserve">*Studies carried out applying different </w:t>
      </w:r>
      <w:r>
        <w:rPr>
          <w:rFonts w:ascii="Times New Roman" w:hAnsi="Times New Roman" w:cs="Times New Roman"/>
          <w:sz w:val="20"/>
          <w:szCs w:val="20"/>
          <w:lang w:val="en-US"/>
        </w:rPr>
        <w:t xml:space="preserve">standardized </w:t>
      </w:r>
      <w:r w:rsidRPr="000A0A6E">
        <w:rPr>
          <w:rFonts w:ascii="Times New Roman" w:hAnsi="Times New Roman" w:cs="Times New Roman"/>
          <w:sz w:val="20"/>
          <w:szCs w:val="20"/>
          <w:lang w:val="en-US"/>
        </w:rPr>
        <w:t xml:space="preserve">measures </w:t>
      </w:r>
      <w:r>
        <w:rPr>
          <w:rFonts w:ascii="Times New Roman" w:hAnsi="Times New Roman" w:cs="Times New Roman"/>
          <w:sz w:val="20"/>
          <w:szCs w:val="20"/>
          <w:lang w:val="en-US"/>
        </w:rPr>
        <w:t>tools and different v</w:t>
      </w:r>
      <w:r w:rsidRPr="00304E5F">
        <w:rPr>
          <w:rFonts w:ascii="Times New Roman" w:hAnsi="Times New Roman" w:cs="Times New Roman"/>
          <w:sz w:val="20"/>
          <w:szCs w:val="20"/>
          <w:lang w:val="en-US"/>
        </w:rPr>
        <w:t xml:space="preserve">ariable operationalization </w:t>
      </w:r>
      <w:r w:rsidRPr="000A0A6E">
        <w:rPr>
          <w:rFonts w:ascii="Times New Roman" w:hAnsi="Times New Roman" w:cs="Times New Roman"/>
          <w:sz w:val="20"/>
          <w:szCs w:val="20"/>
          <w:lang w:val="en-US"/>
        </w:rPr>
        <w:t>will be also included and compared among</w:t>
      </w:r>
      <w:r>
        <w:rPr>
          <w:rFonts w:ascii="Times New Roman" w:hAnsi="Times New Roman" w:cs="Times New Roman"/>
          <w:sz w:val="20"/>
          <w:szCs w:val="20"/>
          <w:lang w:val="en-US"/>
        </w:rPr>
        <w:t xml:space="preserve"> </w:t>
      </w:r>
      <w:r w:rsidRPr="000A0A6E">
        <w:rPr>
          <w:rFonts w:ascii="Times New Roman" w:hAnsi="Times New Roman" w:cs="Times New Roman"/>
          <w:sz w:val="20"/>
          <w:szCs w:val="20"/>
          <w:lang w:val="en-US"/>
        </w:rPr>
        <w:t>equals</w:t>
      </w:r>
      <w:r>
        <w:rPr>
          <w:rFonts w:ascii="Times New Roman" w:hAnsi="Times New Roman" w:cs="Times New Roman"/>
          <w:sz w:val="20"/>
          <w:szCs w:val="20"/>
          <w:lang w:val="en-US"/>
        </w:rPr>
        <w:t>.</w:t>
      </w:r>
    </w:p>
    <w:p w14:paraId="4E6BB959" w14:textId="77777777" w:rsidR="00B05162" w:rsidRDefault="00B05162"/>
    <w:p w14:paraId="15B27283" w14:textId="77777777" w:rsidR="00B05162" w:rsidRPr="007C0609" w:rsidRDefault="00B05162" w:rsidP="00B05162">
      <w:pPr>
        <w:rPr>
          <w:rFonts w:ascii="Times New Roman" w:hAnsi="Times New Roman" w:cs="Times New Roman"/>
          <w:b/>
          <w:bCs/>
          <w:sz w:val="14"/>
          <w:szCs w:val="14"/>
          <w:lang w:val="en-US"/>
        </w:rPr>
      </w:pPr>
      <w:r w:rsidRPr="007C0609">
        <w:rPr>
          <w:rFonts w:ascii="Times New Roman" w:hAnsi="Times New Roman" w:cs="Times New Roman"/>
          <w:b/>
          <w:bCs/>
          <w:sz w:val="14"/>
          <w:szCs w:val="14"/>
          <w:lang w:val="en-US"/>
        </w:rPr>
        <w:t>References:</w:t>
      </w:r>
    </w:p>
    <w:p w14:paraId="79DFC3A2" w14:textId="77777777" w:rsidR="00B05162" w:rsidRDefault="00B05162"/>
    <w:p w14:paraId="186118F6" w14:textId="77777777" w:rsidR="00B05162" w:rsidRDefault="00B05162"/>
    <w:p w14:paraId="600759A0"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fldChar w:fldCharType="begin" w:fldLock="1"/>
      </w:r>
      <w:r w:rsidRPr="00B05162">
        <w:rPr>
          <w:rFonts w:ascii="Times New Roman" w:hAnsi="Times New Roman" w:cs="Times New Roman"/>
          <w:noProof/>
          <w:sz w:val="14"/>
          <w:lang w:val="es-ES_tradnl"/>
        </w:rPr>
        <w:instrText xml:space="preserve">ADDIN Mendeley Bibliography CSL_BIBLIOGRAPHY </w:instrText>
      </w:r>
      <w:r w:rsidRPr="00B05162">
        <w:rPr>
          <w:rFonts w:ascii="Times New Roman" w:hAnsi="Times New Roman" w:cs="Times New Roman"/>
          <w:noProof/>
          <w:sz w:val="14"/>
          <w:lang w:val="es-ES_tradnl"/>
        </w:rPr>
        <w:fldChar w:fldCharType="separate"/>
      </w:r>
      <w:r w:rsidRPr="00B05162">
        <w:rPr>
          <w:rFonts w:ascii="Times New Roman" w:hAnsi="Times New Roman" w:cs="Times New Roman"/>
          <w:noProof/>
          <w:sz w:val="14"/>
          <w:lang w:val="es-ES_tradnl"/>
        </w:rPr>
        <w:t xml:space="preserve">1. </w:t>
      </w:r>
      <w:r w:rsidRPr="00B05162">
        <w:rPr>
          <w:rFonts w:ascii="Times New Roman" w:hAnsi="Times New Roman" w:cs="Times New Roman"/>
          <w:noProof/>
          <w:sz w:val="14"/>
          <w:lang w:val="es-ES_tradnl"/>
        </w:rPr>
        <w:tab/>
        <w:t>Neylon A, Canniffe C, Anand S, Kreatsoulas C, Blake GJ, Sugrue D, et al. A Global perspective on psychosocial risk factors for cardiovascular disease. Prog Cardiovasc Dis [Internet]. 2013;55(6):574–81. Available from: http://dx.doi.org/10.1016/j.pcad.2013.03.009</w:t>
      </w:r>
    </w:p>
    <w:p w14:paraId="15063B2D"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t xml:space="preserve">2. </w:t>
      </w:r>
      <w:r w:rsidRPr="00B05162">
        <w:rPr>
          <w:rFonts w:ascii="Times New Roman" w:hAnsi="Times New Roman" w:cs="Times New Roman"/>
          <w:noProof/>
          <w:sz w:val="14"/>
          <w:lang w:val="es-ES_tradnl"/>
        </w:rPr>
        <w:tab/>
        <w:t xml:space="preserve">Kivimäki M, Kawachi I. Work Stress as a Risk Factor for Cardiovascular Disease. Curr Cardiol Rep. 2015;17(9). </w:t>
      </w:r>
    </w:p>
    <w:p w14:paraId="2B18DDFA"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t xml:space="preserve">3. </w:t>
      </w:r>
      <w:r w:rsidRPr="00B05162">
        <w:rPr>
          <w:rFonts w:ascii="Times New Roman" w:hAnsi="Times New Roman" w:cs="Times New Roman"/>
          <w:noProof/>
          <w:sz w:val="14"/>
          <w:lang w:val="es-ES_tradnl"/>
        </w:rPr>
        <w:tab/>
        <w:t xml:space="preserve">Madsen IEH, Nyberg ST, Hanson LLM, Ferrie JE, Ahola K, Alfredsson L. Job strain as a risk factor for clinical depression : systematic review and meta-analysis with additional individual participant data. 2017;1342–56. </w:t>
      </w:r>
    </w:p>
    <w:p w14:paraId="7408953C"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t xml:space="preserve">4. </w:t>
      </w:r>
      <w:r w:rsidRPr="00B05162">
        <w:rPr>
          <w:rFonts w:ascii="Times New Roman" w:hAnsi="Times New Roman" w:cs="Times New Roman"/>
          <w:noProof/>
          <w:sz w:val="14"/>
          <w:lang w:val="es-ES_tradnl"/>
        </w:rPr>
        <w:tab/>
        <w:t xml:space="preserve">Kivimäki M, Jokela M, Nyberg ST, Singh-Manoux A, Fransson EI, Alfredsson L, et al. Long working hours and risk of coronary heart disease and stroke: A systematic review and meta-analysis of published and unpublished data for 603 838 individuals. Lancet. 2015;386(10005):1739–46. </w:t>
      </w:r>
    </w:p>
    <w:p w14:paraId="085221B3"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t xml:space="preserve">5. </w:t>
      </w:r>
      <w:r w:rsidRPr="00B05162">
        <w:rPr>
          <w:rFonts w:ascii="Times New Roman" w:hAnsi="Times New Roman" w:cs="Times New Roman"/>
          <w:noProof/>
          <w:sz w:val="14"/>
          <w:lang w:val="es-ES_tradnl"/>
        </w:rPr>
        <w:tab/>
        <w:t xml:space="preserve">Karasek R, Brisson C, Houtman I, Bongers P, Amick B. The Job Content Questionnaire (JCQ): An Instrument for Internationally Comparative Assessments of Psychosocial Job Characteristics. Occup Heal Psychol. 1998;3(4):322–55. </w:t>
      </w:r>
    </w:p>
    <w:p w14:paraId="51E39017"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t xml:space="preserve">6. </w:t>
      </w:r>
      <w:r w:rsidRPr="00B05162">
        <w:rPr>
          <w:rFonts w:ascii="Times New Roman" w:hAnsi="Times New Roman" w:cs="Times New Roman"/>
          <w:noProof/>
          <w:sz w:val="14"/>
          <w:lang w:val="es-ES_tradnl"/>
        </w:rPr>
        <w:tab/>
        <w:t xml:space="preserve">Siegrist J, Starke D, Chandola T, Godin I, Marmot M, Niedhammer I, et al. The measurement of effort-reward imbalance at work: European comparisons. Soc Sci Med. 2004;58(8):1483–99. </w:t>
      </w:r>
    </w:p>
    <w:p w14:paraId="221BA7CF"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t xml:space="preserve">7. </w:t>
      </w:r>
      <w:r w:rsidRPr="00B05162">
        <w:rPr>
          <w:rFonts w:ascii="Times New Roman" w:hAnsi="Times New Roman" w:cs="Times New Roman"/>
          <w:noProof/>
          <w:sz w:val="14"/>
          <w:lang w:val="es-ES_tradnl"/>
        </w:rPr>
        <w:tab/>
        <w:t>Working Conditions - Employment, Social Affairs &amp; Inclusion - European Commission [Internet]. [cited 2020 May 1]. Available from: https://ec.europa.eu/social/main.jsp?catId=706&amp;langId=en&amp;intPageId=205</w:t>
      </w:r>
    </w:p>
    <w:p w14:paraId="1A0187CB"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t xml:space="preserve">8. </w:t>
      </w:r>
      <w:r w:rsidRPr="00B05162">
        <w:rPr>
          <w:rFonts w:ascii="Times New Roman" w:hAnsi="Times New Roman" w:cs="Times New Roman"/>
          <w:noProof/>
          <w:sz w:val="14"/>
          <w:lang w:val="es-ES_tradnl"/>
        </w:rPr>
        <w:tab/>
        <w:t>Li J, Brisson C, Clays E, Ferrario MM, Ivanov ID, Landsbergis P, et al. WHO/ILO work-related burden of disease and injury: Protocol for systematic reviews of exposure to long working hours and of the effect of exposure to long working hours on ischaemic heart disease. Environ Int [Internet]. 2018;119(August):558–69. Available from: https://doi.org/10.1016/j.envint.2018.06.022</w:t>
      </w:r>
    </w:p>
    <w:p w14:paraId="47C3372F"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t xml:space="preserve">9. </w:t>
      </w:r>
      <w:r w:rsidRPr="00B05162">
        <w:rPr>
          <w:rFonts w:ascii="Times New Roman" w:hAnsi="Times New Roman" w:cs="Times New Roman"/>
          <w:noProof/>
          <w:sz w:val="14"/>
          <w:lang w:val="es-ES_tradnl"/>
        </w:rPr>
        <w:tab/>
        <w:t xml:space="preserve">Bartley M, Ferrie J. Glossary: unemployment, job insecurity, and health. J Epidemiol Community Health. 2001;55(11):776–81. </w:t>
      </w:r>
    </w:p>
    <w:p w14:paraId="2728E802"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t xml:space="preserve">10. </w:t>
      </w:r>
      <w:r w:rsidRPr="00B05162">
        <w:rPr>
          <w:rFonts w:ascii="Times New Roman" w:hAnsi="Times New Roman" w:cs="Times New Roman"/>
          <w:noProof/>
          <w:sz w:val="14"/>
          <w:lang w:val="es-ES_tradnl"/>
        </w:rPr>
        <w:tab/>
        <w:t xml:space="preserve">Knesebeck TJKO Von. Perceived job insecurity , unemployment and depressive symptoms : a systematic review and meta ‑ analysis of prospective observational studies. Int Arch Occup Environ Health. 2016;89(4):561–73. </w:t>
      </w:r>
    </w:p>
    <w:p w14:paraId="675957B6"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t xml:space="preserve">11. </w:t>
      </w:r>
      <w:r w:rsidRPr="00B05162">
        <w:rPr>
          <w:rFonts w:ascii="Times New Roman" w:hAnsi="Times New Roman" w:cs="Times New Roman"/>
          <w:noProof/>
          <w:sz w:val="14"/>
          <w:lang w:val="es-ES_tradnl"/>
        </w:rPr>
        <w:tab/>
        <w:t xml:space="preserve">Kervezee L, Kosmadopoulos A, Boivin DB. Metabolic and cardiovascular consequences of shift work: The role of circadian disruption and sleep disturbances. Eur J Neurosci. 2018;(June):1–17. </w:t>
      </w:r>
    </w:p>
    <w:p w14:paraId="6986C9CA"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t xml:space="preserve">12. </w:t>
      </w:r>
      <w:r w:rsidRPr="00B05162">
        <w:rPr>
          <w:rFonts w:ascii="Times New Roman" w:hAnsi="Times New Roman" w:cs="Times New Roman"/>
          <w:noProof/>
          <w:sz w:val="14"/>
          <w:lang w:val="es-ES_tradnl"/>
        </w:rPr>
        <w:tab/>
        <w:t>Zhao Y, Richardson A, Poyser C, Butterworth P, Strazdins L, Leach LS. Shift work and mental health: a systematic review and meta-analysis [Internet]. Vol. 92, International Archives of Occupational and Environmental Health. Springer Berlin Heidelberg; 2019. 763–793 p. Available from: https://doi.org/10.1007/s00420-019-01434-3</w:t>
      </w:r>
    </w:p>
    <w:p w14:paraId="72F84111"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t xml:space="preserve">13. </w:t>
      </w:r>
      <w:r w:rsidRPr="00B05162">
        <w:rPr>
          <w:rFonts w:ascii="Times New Roman" w:hAnsi="Times New Roman" w:cs="Times New Roman"/>
          <w:noProof/>
          <w:sz w:val="14"/>
          <w:lang w:val="es-ES_tradnl"/>
        </w:rPr>
        <w:tab/>
        <w:t>Teixeira LR, Azevedo TM, Bortkiewicz A, Corrêa da Silva DT, de Abreu W, de Almeida MS, et al. WHO/ILO work-related burden of disease and injury: Protocol for systematic reviews of exposure to occupational noise and of the effect of exposure to occupational noise on cardiovascular disease. Environ Int [Internet]. 2019;125(September 2018):567–78. Available from: https://doi.org/10.1016/j.envint.2018.09.040</w:t>
      </w:r>
    </w:p>
    <w:p w14:paraId="38E51E97"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t xml:space="preserve">14. </w:t>
      </w:r>
      <w:r w:rsidRPr="00B05162">
        <w:rPr>
          <w:rFonts w:ascii="Times New Roman" w:hAnsi="Times New Roman" w:cs="Times New Roman"/>
          <w:noProof/>
          <w:sz w:val="14"/>
          <w:lang w:val="es-ES_tradnl"/>
        </w:rPr>
        <w:tab/>
        <w:t>Tomei G, Fioravanti M, Cerratti D, Sancini A, Tomao E, Rosati M V., et al. Occupational exposure to noise and the cardiovascular system: A meta-analysis. Sci Total Environ [Internet]. 2010;408(4):681–9. Available from: http://dx.doi.org/10.1016/j.scitotenv.2009.10.071</w:t>
      </w:r>
    </w:p>
    <w:p w14:paraId="48D3529C" w14:textId="77777777" w:rsidR="00B05162" w:rsidRPr="00B05162" w:rsidRDefault="00B05162" w:rsidP="00B05162">
      <w:pPr>
        <w:widowControl w:val="0"/>
        <w:autoSpaceDE w:val="0"/>
        <w:autoSpaceDN w:val="0"/>
        <w:adjustRightInd w:val="0"/>
        <w:ind w:left="640" w:hanging="640"/>
        <w:rPr>
          <w:rFonts w:ascii="Times New Roman" w:hAnsi="Times New Roman" w:cs="Times New Roman"/>
          <w:noProof/>
          <w:sz w:val="14"/>
          <w:lang w:val="es-ES_tradnl"/>
        </w:rPr>
      </w:pPr>
      <w:r w:rsidRPr="00B05162">
        <w:rPr>
          <w:rFonts w:ascii="Times New Roman" w:hAnsi="Times New Roman" w:cs="Times New Roman"/>
          <w:noProof/>
          <w:sz w:val="14"/>
          <w:lang w:val="es-ES_tradnl"/>
        </w:rPr>
        <w:fldChar w:fldCharType="end"/>
      </w:r>
    </w:p>
    <w:sectPr w:rsidR="00B05162" w:rsidRPr="00B05162" w:rsidSect="00353635">
      <w:pgSz w:w="11905" w:h="16837"/>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eorgia">
    <w:altName w:val="﷽﷽﷽﷽﷽﷽﷽﷽"/>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162"/>
    <w:rsid w:val="00353635"/>
    <w:rsid w:val="005E550B"/>
    <w:rsid w:val="009D6540"/>
    <w:rsid w:val="00B05162"/>
    <w:rsid w:val="00F6735A"/>
    <w:rsid w:val="00FC7F66"/>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71F30"/>
  <w15:chartTrackingRefBased/>
  <w15:docId w15:val="{74587873-707E-3B47-B721-389E2C984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5162"/>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05162"/>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0516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05162"/>
    <w:rPr>
      <w:rFonts w:ascii="Times New Roman" w:hAnsi="Times New Roman" w:cs="Times New Roman"/>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163CF3-1822-1741-BF7E-856355369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9589</Words>
  <Characters>54659</Characters>
  <Application>Microsoft Office Word</Application>
  <DocSecurity>0</DocSecurity>
  <Lines>455</Lines>
  <Paragraphs>128</Paragraphs>
  <ScaleCrop>false</ScaleCrop>
  <Company/>
  <LinksUpToDate>false</LinksUpToDate>
  <CharactersWithSpaces>64120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Moretti Anfossi, Christian</dc:creator>
  <cp:keywords/>
  <dc:description/>
  <cp:lastModifiedBy>Moretti Anfossi, Christian</cp:lastModifiedBy>
  <cp:revision>5</cp:revision>
  <dcterms:created xsi:type="dcterms:W3CDTF">2020-05-11T12:21:00Z</dcterms:created>
  <dcterms:modified xsi:type="dcterms:W3CDTF">2021-04-21T13:19:00Z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426feee4-ccb7-3295-b9d1-b51970336540</vt:lpwstr>
  </property>
  <property fmtid="{D5CDD505-2E9C-101B-9397-08002B2CF9AE}" pid="24" name="Mendeley Citation Style_1">
    <vt:lpwstr>http://www.zotero.org/styles/vancouver</vt:lpwstr>
  </property>
</Properties>
</file>