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90E13" w14:textId="77777777" w:rsidR="00125D72" w:rsidRDefault="00125D72" w:rsidP="00125D72">
      <w:pPr>
        <w:spacing w:line="360" w:lineRule="auto"/>
        <w:outlineLvl w:val="1"/>
        <w:rPr>
          <w:rFonts w:ascii="Arial" w:eastAsiaTheme="minorEastAsia" w:hAnsi="Arial" w:cs="Arial"/>
          <w:b/>
          <w:bCs/>
        </w:rPr>
      </w:pPr>
      <w:r>
        <w:rPr>
          <w:rFonts w:ascii="Arial" w:eastAsiaTheme="minorEastAsia" w:hAnsi="Arial" w:cs="Arial"/>
          <w:b/>
          <w:bCs/>
        </w:rPr>
        <w:t>Extended Data Figures</w:t>
      </w:r>
    </w:p>
    <w:p w14:paraId="016D9D49" w14:textId="77777777" w:rsidR="00125D72" w:rsidRDefault="00125D72" w:rsidP="00125D72">
      <w:pPr>
        <w:spacing w:line="360" w:lineRule="auto"/>
        <w:rPr>
          <w:rFonts w:ascii="Arial" w:eastAsiaTheme="minorEastAsia" w:hAnsi="Arial" w:cs="Arial"/>
          <w:b/>
          <w:bCs/>
        </w:rPr>
      </w:pPr>
    </w:p>
    <w:p w14:paraId="6537BDB4" w14:textId="5112178A" w:rsidR="00125D72" w:rsidRDefault="00125D72" w:rsidP="00125D72">
      <w:pPr>
        <w:spacing w:line="360" w:lineRule="auto"/>
        <w:rPr>
          <w:rFonts w:ascii="Arial" w:eastAsiaTheme="minorEastAsia" w:hAnsi="Arial" w:cs="Arial"/>
          <w:b/>
          <w:bCs/>
        </w:rPr>
      </w:pPr>
      <w:r>
        <w:rPr>
          <w:rFonts w:ascii="Arial" w:eastAsiaTheme="minorEastAsia" w:hAnsi="Arial" w:cs="Arial"/>
          <w:b/>
          <w:bCs/>
          <w:noProof/>
        </w:rPr>
        <w:drawing>
          <wp:inline distT="0" distB="0" distL="0" distR="0" wp14:anchorId="0C9506C9" wp14:editId="5BFBD266">
            <wp:extent cx="5267325" cy="6705600"/>
            <wp:effectExtent l="0" t="0" r="9525" b="0"/>
            <wp:docPr id="1394316287" name="Picture 7"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316287" name="Picture 7" descr="A close-up of a graph&#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67325" cy="6705600"/>
                    </a:xfrm>
                    <a:prstGeom prst="rect">
                      <a:avLst/>
                    </a:prstGeom>
                    <a:noFill/>
                    <a:ln>
                      <a:noFill/>
                    </a:ln>
                  </pic:spPr>
                </pic:pic>
              </a:graphicData>
            </a:graphic>
          </wp:inline>
        </w:drawing>
      </w:r>
    </w:p>
    <w:p w14:paraId="26758779" w14:textId="77777777" w:rsidR="00125D72" w:rsidRPr="00BB10A0" w:rsidRDefault="00125D72" w:rsidP="00125D72">
      <w:pPr>
        <w:spacing w:line="360" w:lineRule="auto"/>
        <w:rPr>
          <w:rFonts w:ascii="Arial" w:eastAsiaTheme="minorEastAsia" w:hAnsi="Arial" w:cs="Arial"/>
          <w:b/>
          <w:bCs/>
        </w:rPr>
      </w:pPr>
    </w:p>
    <w:p w14:paraId="05DAED2D" w14:textId="77777777" w:rsidR="00125D72" w:rsidRPr="00BB10A0" w:rsidRDefault="00125D72" w:rsidP="00125D72">
      <w:pPr>
        <w:spacing w:line="360" w:lineRule="auto"/>
        <w:outlineLvl w:val="2"/>
        <w:rPr>
          <w:rFonts w:ascii="Arial" w:eastAsiaTheme="minorEastAsia" w:hAnsi="Arial" w:cs="Arial"/>
          <w:b/>
          <w:bCs/>
        </w:rPr>
      </w:pPr>
      <w:r>
        <w:rPr>
          <w:rFonts w:ascii="Arial" w:eastAsiaTheme="minorEastAsia" w:hAnsi="Arial" w:cs="Arial"/>
          <w:b/>
          <w:bCs/>
        </w:rPr>
        <w:t xml:space="preserve">Extended Data Fig. </w:t>
      </w:r>
      <w:r w:rsidRPr="00BB10A0">
        <w:rPr>
          <w:rFonts w:ascii="Arial" w:eastAsiaTheme="minorEastAsia" w:hAnsi="Arial" w:cs="Arial"/>
          <w:b/>
          <w:bCs/>
        </w:rPr>
        <w:t xml:space="preserve">1 </w:t>
      </w:r>
      <w:r>
        <w:rPr>
          <w:rFonts w:ascii="Arial" w:eastAsiaTheme="minorEastAsia" w:hAnsi="Arial" w:cs="Arial"/>
          <w:b/>
          <w:bCs/>
        </w:rPr>
        <w:t xml:space="preserve">| </w:t>
      </w:r>
      <w:r w:rsidRPr="00BB10A0">
        <w:rPr>
          <w:rFonts w:ascii="Arial" w:eastAsiaTheme="minorEastAsia" w:hAnsi="Arial" w:cs="Arial"/>
          <w:b/>
          <w:bCs/>
        </w:rPr>
        <w:t>Data quality assessment of snRNA-seq and snATAC-seq</w:t>
      </w:r>
    </w:p>
    <w:p w14:paraId="3AC97E03"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a</w:t>
      </w:r>
      <w:r w:rsidRPr="00BB10A0">
        <w:rPr>
          <w:rFonts w:ascii="Arial" w:eastAsiaTheme="minorEastAsia" w:hAnsi="Arial" w:cs="Arial"/>
        </w:rPr>
        <w:t xml:space="preserve"> Quality metrics of snRNA-seq data, showing the distribution of UMI counts, the number of expressed genes, and the number of cells in each library. The dashed line indicates the filtering criteria.</w:t>
      </w:r>
    </w:p>
    <w:p w14:paraId="5EF40870"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b</w:t>
      </w:r>
      <w:r w:rsidRPr="00BB10A0">
        <w:rPr>
          <w:rFonts w:ascii="Arial" w:eastAsiaTheme="minorEastAsia" w:hAnsi="Arial" w:cs="Arial"/>
        </w:rPr>
        <w:t xml:space="preserve"> Quality metrics of snATAC-seq data, displaying the distribution of UMI count, transcription start site (TSS) enrichment, and fraction of reads in peaks (FriP) for each </w:t>
      </w:r>
      <w:r w:rsidRPr="00BB10A0">
        <w:rPr>
          <w:rFonts w:ascii="Arial" w:eastAsiaTheme="minorEastAsia" w:hAnsi="Arial" w:cs="Arial"/>
        </w:rPr>
        <w:lastRenderedPageBreak/>
        <w:t xml:space="preserve">library. The dashed line indicates the filtering criteria. </w:t>
      </w:r>
    </w:p>
    <w:p w14:paraId="52F4983D"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c</w:t>
      </w:r>
      <w:r w:rsidRPr="00BB10A0">
        <w:rPr>
          <w:rFonts w:ascii="Arial" w:eastAsiaTheme="minorEastAsia" w:hAnsi="Arial" w:cs="Arial"/>
        </w:rPr>
        <w:t xml:space="preserve"> Heatmap of Pearson correlation coefficients for snRNA-seq and snATAC-seq libraries, assessing data consistency.</w:t>
      </w:r>
    </w:p>
    <w:p w14:paraId="0C81370D"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d</w:t>
      </w:r>
      <w:r w:rsidRPr="00BB10A0">
        <w:rPr>
          <w:rFonts w:ascii="Arial" w:eastAsiaTheme="minorEastAsia" w:hAnsi="Arial" w:cs="Arial"/>
        </w:rPr>
        <w:t xml:space="preserve"> Fragment size distributions for each snATAC-seq library, indicating chromatin accessibility patterns.</w:t>
      </w:r>
    </w:p>
    <w:p w14:paraId="5429ADDC"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e</w:t>
      </w:r>
      <w:r w:rsidRPr="00BB10A0">
        <w:rPr>
          <w:rFonts w:ascii="Arial" w:eastAsiaTheme="minorEastAsia" w:hAnsi="Arial" w:cs="Arial"/>
        </w:rPr>
        <w:t xml:space="preserve"> Normalized fragment count profiles around TSS for each snATAC-seq library.</w:t>
      </w:r>
    </w:p>
    <w:p w14:paraId="5DFFBD57" w14:textId="77777777" w:rsidR="00125D72" w:rsidRDefault="00125D72" w:rsidP="00125D72">
      <w:pPr>
        <w:spacing w:line="360" w:lineRule="auto"/>
        <w:rPr>
          <w:rFonts w:ascii="Arial" w:eastAsiaTheme="minorEastAsia" w:hAnsi="Arial" w:cs="Arial"/>
        </w:rPr>
      </w:pPr>
      <w:r>
        <w:rPr>
          <w:rFonts w:ascii="Arial" w:eastAsiaTheme="minorEastAsia" w:hAnsi="Arial" w:cs="Arial"/>
          <w:b/>
          <w:bCs/>
        </w:rPr>
        <w:t>f</w:t>
      </w:r>
      <w:r w:rsidRPr="00BB10A0">
        <w:rPr>
          <w:rFonts w:ascii="Arial" w:eastAsiaTheme="minorEastAsia" w:hAnsi="Arial" w:cs="Arial"/>
        </w:rPr>
        <w:t xml:space="preserve"> Chromatin accessibility dynamics during wheat inflorescence development, as assessed by </w:t>
      </w:r>
      <w:r>
        <w:rPr>
          <w:rFonts w:ascii="Arial" w:eastAsiaTheme="minorEastAsia" w:hAnsi="Arial" w:cs="Arial"/>
        </w:rPr>
        <w:t xml:space="preserve">snATAC-seq and bulk </w:t>
      </w:r>
      <w:r w:rsidRPr="00BB10A0">
        <w:rPr>
          <w:rFonts w:ascii="Arial" w:eastAsiaTheme="minorEastAsia" w:hAnsi="Arial" w:cs="Arial"/>
        </w:rPr>
        <w:t>ATAC-seq data</w:t>
      </w:r>
      <w:r>
        <w:rPr>
          <w:rFonts w:ascii="Arial" w:eastAsiaTheme="minorEastAsia" w:hAnsi="Arial" w:cs="Arial"/>
        </w:rPr>
        <w:t xml:space="preserve"> </w:t>
      </w:r>
      <w:r>
        <w:rPr>
          <w:rFonts w:ascii="Arial" w:eastAsiaTheme="minorEastAsia" w:hAnsi="Arial" w:cs="Arial"/>
        </w:rPr>
        <w:fldChar w:fldCharType="begin"/>
      </w:r>
      <w:r>
        <w:rPr>
          <w:rFonts w:ascii="Arial" w:eastAsiaTheme="minorEastAsia" w:hAnsi="Arial" w:cs="Arial"/>
        </w:rPr>
        <w:instrText xml:space="preserve"> ADDIN ZOTERO_ITEM CSL_CITATION {"citationID":"NCxAZGAF","properties":{"formattedCitation":"\\super 26\\nosupersub{}","plainCitation":"26","noteIndex":0},"citationItems":[{"id":843,"uris":["http://zotero.org/users/local/cb8ycxNo/items/PWQ8L8JQ"],"itemData":{"id":843,"type":"article-journal","abstract":"The spike architecture of wheat plays a crucial role in determining grain number, making it a key trait for optimization in wheat breeding programs. In this study, we used a multi-omic approach to analyze the transcriptome and epigenome profiles of the young spike at eight developmental stages, revealing coordinated changes in chromatin accessibility and H3K27me3 abundance during the flowering transition. We constructed a core transcriptional regulatory network (TRN) that drives wheat spike formation and experimentally validated a multi-layer regulatory module involving TaSPL15, TaAGLG1, and TaFUL2. By integrating the TRN with genome-wide association studies, we identified 227 transcription factors, including 42 with known functions and 185 with unknown functions. Further investigation of 61 novel transcription factors using multiple homozygous mutant lines revealed 36 transcription factors that regulate spike architecture or flowering time, such as TaMYC2-A1, TaMYB30-A1, and TaWRKY37-A1. Of particular interest, TaMYB30-A1, downstream of and repressed by WFZP, was found to regulate fertile spikelet number. Notably, the excellent haplotype of TaMYB30-A1, which contains a C allele at the WFZP binding site, was enriched during wheat breeding improvement in China, leading to improved agronomic traits. Finally, we constructed a free and open access Wheat Spike Multi-Omic Database (http://39.98.48.156:8800/#/). Our study identifies novel and high-confidence regulators and offers an effective strategy for dissecting the genetic basis of wheat spike development, with practical value for wheat breeding.","container-title":"Molecular Plant","DOI":"10.1016/j.molp.2024.01.010","ISSN":"1674-2052","issue":"3","journalAbbreviation":"Molecular Plant","page":"438-459","source":"ScienceDirect","title":"Systematic identification of wheat spike developmental regulators by integrated multi-omics, transcriptional network, GWAS, and genetic analyses","volume":"17","author":[{"family":"Lin","given":"Xuelei"},{"family":"Xu","given":"Yongxin"},{"family":"Wang","given":"Dongzhi"},{"family":"Yang","given":"Yiman"},{"family":"Zhang","given":"Xiaoyu"},{"family":"Bie","given":"Xiaomin"},{"family":"Gui","given":"Lixuan"},{"family":"Chen","given":"Zhongxu"},{"family":"Ding","given":"Yiliang"},{"family":"Mao","given":"Long"},{"family":"Zhang","given":"Xueyong"},{"family":"Lu","given":"Fei"},{"family":"Zhang","given":"Xiansheng"},{"family":"Uauy","given":"Cristobal"},{"family":"Fu","given":"Xiangdong"},{"family":"Xiao","given":"Jun"}],"issued":{"date-parts":[["2024",3,4]]}}}],"schema":"https://github.com/citation-style-language/schema/raw/master/csl-citation.json"} </w:instrText>
      </w:r>
      <w:r>
        <w:rPr>
          <w:rFonts w:ascii="Arial" w:eastAsiaTheme="minorEastAsia" w:hAnsi="Arial" w:cs="Arial"/>
        </w:rPr>
        <w:fldChar w:fldCharType="separate"/>
      </w:r>
      <w:r w:rsidRPr="00451071">
        <w:rPr>
          <w:rFonts w:ascii="Arial" w:hAnsi="Arial" w:cs="Arial"/>
          <w:kern w:val="0"/>
          <w:szCs w:val="24"/>
          <w:vertAlign w:val="superscript"/>
        </w:rPr>
        <w:t>26</w:t>
      </w:r>
      <w:r>
        <w:rPr>
          <w:rFonts w:ascii="Arial" w:eastAsiaTheme="minorEastAsia" w:hAnsi="Arial" w:cs="Arial"/>
        </w:rPr>
        <w:fldChar w:fldCharType="end"/>
      </w:r>
      <w:r w:rsidRPr="00BB10A0">
        <w:rPr>
          <w:rFonts w:ascii="Arial" w:eastAsiaTheme="minorEastAsia" w:hAnsi="Arial" w:cs="Arial"/>
        </w:rPr>
        <w:t>.</w:t>
      </w:r>
    </w:p>
    <w:p w14:paraId="370FAC71" w14:textId="77777777" w:rsidR="00125D72" w:rsidRPr="00BB10A0" w:rsidRDefault="00125D72" w:rsidP="00125D72">
      <w:pPr>
        <w:spacing w:line="360" w:lineRule="auto"/>
        <w:rPr>
          <w:rFonts w:ascii="Arial" w:eastAsiaTheme="minorEastAsia" w:hAnsi="Arial" w:cs="Arial"/>
          <w:b/>
          <w:bCs/>
        </w:rPr>
      </w:pPr>
      <w:r>
        <w:rPr>
          <w:rFonts w:ascii="Arial" w:eastAsiaTheme="minorEastAsia" w:hAnsi="Arial" w:cs="Arial"/>
          <w:b/>
          <w:bCs/>
        </w:rPr>
        <w:t>g</w:t>
      </w:r>
      <w:r w:rsidRPr="00BB10A0">
        <w:rPr>
          <w:rFonts w:ascii="Arial" w:eastAsiaTheme="minorEastAsia" w:hAnsi="Arial" w:cs="Arial"/>
        </w:rPr>
        <w:t xml:space="preserve"> Proportion of triads classified by homoeolog expression bias across snRNA-seq cell types.</w:t>
      </w:r>
      <w:r>
        <w:rPr>
          <w:rFonts w:ascii="Arial" w:eastAsiaTheme="minorEastAsia" w:hAnsi="Arial" w:cs="Arial"/>
        </w:rPr>
        <w:t xml:space="preserve"> </w:t>
      </w:r>
      <w:r w:rsidRPr="00BB10A0">
        <w:rPr>
          <w:rFonts w:ascii="Arial" w:eastAsiaTheme="minorEastAsia" w:hAnsi="Arial" w:cs="Arial"/>
        </w:rPr>
        <w:t xml:space="preserve">“Balance” denotes similar expression levels across the A, B, and D subgenomes. “A_Dominant” indicates higher gene expression in the A subgenome compared to its B and D homoeologs, while “A_supressed” indicates lower expression in the A subgenome relative to the others. </w:t>
      </w:r>
    </w:p>
    <w:p w14:paraId="6F572BDC" w14:textId="77777777" w:rsidR="00125D72" w:rsidRDefault="00125D72" w:rsidP="00125D72">
      <w:pPr>
        <w:spacing w:line="360" w:lineRule="auto"/>
        <w:rPr>
          <w:rFonts w:ascii="Arial" w:eastAsiaTheme="minorEastAsia" w:hAnsi="Arial" w:cs="Arial"/>
        </w:rPr>
      </w:pPr>
    </w:p>
    <w:p w14:paraId="7E3A9BB1" w14:textId="3B564A46" w:rsidR="00125D72" w:rsidRDefault="00125D72" w:rsidP="00125D72">
      <w:pPr>
        <w:spacing w:line="360" w:lineRule="auto"/>
        <w:rPr>
          <w:rFonts w:ascii="Arial" w:eastAsiaTheme="minorEastAsia" w:hAnsi="Arial" w:cs="Arial"/>
        </w:rPr>
      </w:pPr>
      <w:r>
        <w:rPr>
          <w:rFonts w:ascii="Arial" w:eastAsiaTheme="minorEastAsia" w:hAnsi="Arial" w:cs="Arial"/>
          <w:noProof/>
        </w:rPr>
        <w:lastRenderedPageBreak/>
        <w:drawing>
          <wp:inline distT="0" distB="0" distL="0" distR="0" wp14:anchorId="4C320511" wp14:editId="577C70AF">
            <wp:extent cx="5267325" cy="7296150"/>
            <wp:effectExtent l="0" t="0" r="9525" b="0"/>
            <wp:docPr id="1204139646" name="Picture 6" descr="A collage of images of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139646" name="Picture 6" descr="A collage of images of plants&#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67325" cy="7296150"/>
                    </a:xfrm>
                    <a:prstGeom prst="rect">
                      <a:avLst/>
                    </a:prstGeom>
                    <a:noFill/>
                    <a:ln>
                      <a:noFill/>
                    </a:ln>
                  </pic:spPr>
                </pic:pic>
              </a:graphicData>
            </a:graphic>
          </wp:inline>
        </w:drawing>
      </w:r>
    </w:p>
    <w:p w14:paraId="2973D069" w14:textId="77777777" w:rsidR="00125D72" w:rsidRPr="00BB10A0" w:rsidRDefault="00125D72" w:rsidP="00125D72">
      <w:pPr>
        <w:spacing w:line="360" w:lineRule="auto"/>
        <w:rPr>
          <w:rFonts w:ascii="Arial" w:eastAsiaTheme="minorEastAsia" w:hAnsi="Arial" w:cs="Arial"/>
        </w:rPr>
      </w:pPr>
    </w:p>
    <w:p w14:paraId="5B0F1067" w14:textId="77777777" w:rsidR="00125D72" w:rsidRPr="00BB10A0" w:rsidRDefault="00125D72" w:rsidP="00125D72">
      <w:pPr>
        <w:spacing w:line="360" w:lineRule="auto"/>
        <w:outlineLvl w:val="2"/>
        <w:rPr>
          <w:rFonts w:ascii="Arial" w:eastAsiaTheme="minorEastAsia" w:hAnsi="Arial" w:cs="Arial"/>
          <w:b/>
          <w:bCs/>
        </w:rPr>
      </w:pPr>
      <w:r>
        <w:rPr>
          <w:rFonts w:ascii="Arial" w:eastAsiaTheme="minorEastAsia" w:hAnsi="Arial" w:cs="Arial"/>
          <w:b/>
          <w:bCs/>
        </w:rPr>
        <w:t xml:space="preserve">Extended Data Fig. </w:t>
      </w:r>
      <w:r w:rsidRPr="00BB10A0">
        <w:rPr>
          <w:rFonts w:ascii="Arial" w:eastAsiaTheme="minorEastAsia" w:hAnsi="Arial" w:cs="Arial"/>
          <w:b/>
          <w:bCs/>
        </w:rPr>
        <w:t xml:space="preserve">2 </w:t>
      </w:r>
      <w:r>
        <w:rPr>
          <w:rFonts w:ascii="Arial" w:eastAsiaTheme="minorEastAsia" w:hAnsi="Arial" w:cs="Arial"/>
          <w:b/>
          <w:bCs/>
        </w:rPr>
        <w:t xml:space="preserve">| </w:t>
      </w:r>
      <w:r w:rsidRPr="00BB10A0">
        <w:rPr>
          <w:rFonts w:ascii="Arial" w:eastAsiaTheme="minorEastAsia" w:hAnsi="Arial" w:cs="Arial"/>
          <w:b/>
          <w:bCs/>
        </w:rPr>
        <w:t>Data quality assessment of scStereo-seq</w:t>
      </w:r>
    </w:p>
    <w:p w14:paraId="6BF52B76"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a</w:t>
      </w:r>
      <w:r w:rsidRPr="00BB10A0">
        <w:rPr>
          <w:rFonts w:ascii="Arial" w:eastAsiaTheme="minorEastAsia" w:hAnsi="Arial" w:cs="Arial"/>
        </w:rPr>
        <w:t xml:space="preserve"> Schematic diagram illustrating the strategy for annotation of cell types classified from snRNA-seq using scStereo-seq in wheat inflorescence.</w:t>
      </w:r>
    </w:p>
    <w:p w14:paraId="37914B39"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b</w:t>
      </w:r>
      <w:r w:rsidRPr="00BB10A0">
        <w:rPr>
          <w:rFonts w:ascii="Arial" w:eastAsiaTheme="minorEastAsia" w:hAnsi="Arial" w:cs="Arial"/>
        </w:rPr>
        <w:t xml:space="preserve"> Cell wall staining images for each sample analyzed in scStereo-seq.</w:t>
      </w:r>
    </w:p>
    <w:p w14:paraId="5BFF9F33"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c</w:t>
      </w:r>
      <w:r w:rsidRPr="00BB10A0">
        <w:rPr>
          <w:rFonts w:ascii="Arial" w:eastAsiaTheme="minorEastAsia" w:hAnsi="Arial" w:cs="Arial"/>
        </w:rPr>
        <w:t xml:space="preserve"> Distribution of cell area across samples, with the dashed line indicating the 5,000 pt </w:t>
      </w:r>
      <w:r w:rsidRPr="00BB10A0">
        <w:rPr>
          <w:rFonts w:ascii="Arial" w:eastAsiaTheme="minorEastAsia" w:hAnsi="Arial" w:cs="Arial"/>
        </w:rPr>
        <w:lastRenderedPageBreak/>
        <w:t>threshold. The percentage indicates the proportion of cells exceeding this size.</w:t>
      </w:r>
    </w:p>
    <w:p w14:paraId="788B4B07"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d</w:t>
      </w:r>
      <w:r w:rsidRPr="00BB10A0">
        <w:rPr>
          <w:rFonts w:ascii="Arial" w:eastAsiaTheme="minorEastAsia" w:hAnsi="Arial" w:cs="Arial"/>
        </w:rPr>
        <w:t xml:space="preserve"> D</w:t>
      </w:r>
      <w:r>
        <w:rPr>
          <w:rFonts w:ascii="Arial" w:eastAsiaTheme="minorEastAsia" w:hAnsi="Arial" w:cs="Arial"/>
        </w:rPr>
        <w:t>i</w:t>
      </w:r>
      <w:r w:rsidRPr="00BB10A0">
        <w:rPr>
          <w:rFonts w:ascii="Arial" w:eastAsiaTheme="minorEastAsia" w:hAnsi="Arial" w:cs="Arial"/>
        </w:rPr>
        <w:t>stribution of UMI counts and the number of detected</w:t>
      </w:r>
      <w:r>
        <w:rPr>
          <w:rFonts w:ascii="Arial" w:eastAsiaTheme="minorEastAsia" w:hAnsi="Arial" w:cs="Arial"/>
        </w:rPr>
        <w:t xml:space="preserve"> gene</w:t>
      </w:r>
      <w:r w:rsidRPr="00BB10A0">
        <w:rPr>
          <w:rFonts w:ascii="Arial" w:eastAsiaTheme="minorEastAsia" w:hAnsi="Arial" w:cs="Arial"/>
        </w:rPr>
        <w:t>s for each scStereo-seq sample.</w:t>
      </w:r>
    </w:p>
    <w:p w14:paraId="12CA5424"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e</w:t>
      </w:r>
      <w:r w:rsidRPr="00BB10A0">
        <w:rPr>
          <w:rFonts w:ascii="Arial" w:eastAsiaTheme="minorEastAsia" w:hAnsi="Arial" w:cs="Arial"/>
          <w:b/>
          <w:bCs/>
        </w:rPr>
        <w:t>,</w:t>
      </w:r>
      <w:r w:rsidRPr="00BB10A0">
        <w:rPr>
          <w:rFonts w:ascii="Arial" w:eastAsiaTheme="minorEastAsia" w:hAnsi="Arial" w:cs="Arial"/>
        </w:rPr>
        <w:t xml:space="preserve"> </w:t>
      </w:r>
      <w:r>
        <w:rPr>
          <w:rFonts w:ascii="Arial" w:eastAsiaTheme="minorEastAsia" w:hAnsi="Arial" w:cs="Arial"/>
          <w:b/>
          <w:bCs/>
        </w:rPr>
        <w:t>f</w:t>
      </w:r>
      <w:r w:rsidRPr="00BB10A0">
        <w:rPr>
          <w:rFonts w:ascii="Arial" w:eastAsiaTheme="minorEastAsia" w:hAnsi="Arial" w:cs="Arial"/>
        </w:rPr>
        <w:t xml:space="preserve"> Spatial distribution of UMI counts (</w:t>
      </w:r>
      <w:r>
        <w:rPr>
          <w:rFonts w:ascii="Arial" w:eastAsiaTheme="minorEastAsia" w:hAnsi="Arial" w:cs="Arial"/>
          <w:b/>
          <w:bCs/>
        </w:rPr>
        <w:t>e</w:t>
      </w:r>
      <w:r w:rsidRPr="00BB10A0">
        <w:rPr>
          <w:rFonts w:ascii="Arial" w:eastAsiaTheme="minorEastAsia" w:hAnsi="Arial" w:cs="Arial"/>
        </w:rPr>
        <w:t>) and the number of detected genes (</w:t>
      </w:r>
      <w:r>
        <w:rPr>
          <w:rFonts w:ascii="Arial" w:eastAsiaTheme="minorEastAsia" w:hAnsi="Arial" w:cs="Arial"/>
          <w:b/>
          <w:bCs/>
        </w:rPr>
        <w:t>f</w:t>
      </w:r>
      <w:r w:rsidRPr="00BB10A0">
        <w:rPr>
          <w:rFonts w:ascii="Arial" w:eastAsiaTheme="minorEastAsia" w:hAnsi="Arial" w:cs="Arial"/>
        </w:rPr>
        <w:t>) across scStereo-seq samples.</w:t>
      </w:r>
    </w:p>
    <w:p w14:paraId="770AA1A5"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g</w:t>
      </w:r>
      <w:r w:rsidRPr="00BB10A0">
        <w:rPr>
          <w:rFonts w:ascii="Arial" w:eastAsiaTheme="minorEastAsia" w:hAnsi="Arial" w:cs="Arial"/>
        </w:rPr>
        <w:t xml:space="preserve"> Heatmap showing the Pearson correlation between scStereo-seq samples, assessing data consistency.</w:t>
      </w:r>
    </w:p>
    <w:p w14:paraId="6DE83C76" w14:textId="77777777" w:rsidR="00125D72" w:rsidRDefault="00125D72" w:rsidP="00125D72">
      <w:pPr>
        <w:spacing w:line="360" w:lineRule="auto"/>
        <w:rPr>
          <w:rFonts w:ascii="Arial" w:eastAsiaTheme="minorEastAsia" w:hAnsi="Arial" w:cs="Arial"/>
        </w:rPr>
      </w:pPr>
    </w:p>
    <w:p w14:paraId="01646F16" w14:textId="6A634DB2" w:rsidR="00125D72" w:rsidRDefault="00125D72" w:rsidP="00125D72">
      <w:pPr>
        <w:spacing w:line="360" w:lineRule="auto"/>
        <w:rPr>
          <w:rFonts w:ascii="Arial" w:eastAsiaTheme="minorEastAsia" w:hAnsi="Arial" w:cs="Arial"/>
        </w:rPr>
      </w:pPr>
      <w:r>
        <w:rPr>
          <w:rFonts w:ascii="Arial" w:eastAsiaTheme="minorEastAsia" w:hAnsi="Arial" w:cs="Arial"/>
          <w:noProof/>
        </w:rPr>
        <w:lastRenderedPageBreak/>
        <w:drawing>
          <wp:inline distT="0" distB="0" distL="0" distR="0" wp14:anchorId="35F931EC" wp14:editId="397BA52D">
            <wp:extent cx="5267325" cy="7219950"/>
            <wp:effectExtent l="0" t="0" r="9525" b="0"/>
            <wp:docPr id="1211419881" name="Picture 5" descr="A group of plants with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419881" name="Picture 5" descr="A group of plants with different color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67325" cy="7219950"/>
                    </a:xfrm>
                    <a:prstGeom prst="rect">
                      <a:avLst/>
                    </a:prstGeom>
                    <a:noFill/>
                    <a:ln>
                      <a:noFill/>
                    </a:ln>
                  </pic:spPr>
                </pic:pic>
              </a:graphicData>
            </a:graphic>
          </wp:inline>
        </w:drawing>
      </w:r>
    </w:p>
    <w:p w14:paraId="050647FB" w14:textId="77777777" w:rsidR="00125D72" w:rsidRPr="00BB10A0" w:rsidRDefault="00125D72" w:rsidP="00125D72">
      <w:pPr>
        <w:spacing w:line="360" w:lineRule="auto"/>
        <w:rPr>
          <w:rFonts w:ascii="Arial" w:eastAsiaTheme="minorEastAsia" w:hAnsi="Arial" w:cs="Arial"/>
        </w:rPr>
      </w:pPr>
    </w:p>
    <w:p w14:paraId="5D04295F" w14:textId="77777777" w:rsidR="00125D72" w:rsidRPr="00BB10A0" w:rsidRDefault="00125D72" w:rsidP="00125D72">
      <w:pPr>
        <w:spacing w:line="360" w:lineRule="auto"/>
        <w:outlineLvl w:val="2"/>
        <w:rPr>
          <w:rFonts w:ascii="Arial" w:eastAsiaTheme="minorEastAsia" w:hAnsi="Arial" w:cs="Arial"/>
          <w:b/>
          <w:bCs/>
        </w:rPr>
      </w:pPr>
      <w:r>
        <w:rPr>
          <w:rFonts w:ascii="Arial" w:eastAsiaTheme="minorEastAsia" w:hAnsi="Arial" w:cs="Arial"/>
          <w:b/>
          <w:bCs/>
        </w:rPr>
        <w:t xml:space="preserve">Extended Data Fig. </w:t>
      </w:r>
      <w:r w:rsidRPr="00BB10A0">
        <w:rPr>
          <w:rFonts w:ascii="Arial" w:eastAsiaTheme="minorEastAsia" w:hAnsi="Arial" w:cs="Arial"/>
          <w:b/>
          <w:bCs/>
        </w:rPr>
        <w:t xml:space="preserve">3 </w:t>
      </w:r>
      <w:r>
        <w:rPr>
          <w:rFonts w:ascii="Arial" w:eastAsiaTheme="minorEastAsia" w:hAnsi="Arial" w:cs="Arial"/>
          <w:b/>
          <w:bCs/>
        </w:rPr>
        <w:t xml:space="preserve">| </w:t>
      </w:r>
      <w:r w:rsidRPr="00BB10A0">
        <w:rPr>
          <w:rFonts w:ascii="Arial" w:eastAsiaTheme="minorEastAsia" w:hAnsi="Arial" w:cs="Arial"/>
          <w:b/>
          <w:bCs/>
        </w:rPr>
        <w:t>Spatial distribution of snRNA-seq data mapped onto scStereo-seq data</w:t>
      </w:r>
    </w:p>
    <w:p w14:paraId="03B407E7" w14:textId="77777777" w:rsidR="00125D72" w:rsidRPr="00403DD1" w:rsidRDefault="00125D72" w:rsidP="00125D72">
      <w:pPr>
        <w:spacing w:line="360" w:lineRule="auto"/>
        <w:rPr>
          <w:rFonts w:ascii="Arial" w:eastAsiaTheme="minorEastAsia" w:hAnsi="Arial" w:cs="Arial"/>
          <w:b/>
          <w:bCs/>
        </w:rPr>
      </w:pPr>
      <w:r>
        <w:rPr>
          <w:rFonts w:ascii="Arial" w:eastAsiaTheme="minorEastAsia" w:hAnsi="Arial" w:cs="Arial"/>
          <w:b/>
          <w:bCs/>
        </w:rPr>
        <w:t>a</w:t>
      </w:r>
      <w:r w:rsidRPr="00403DD1">
        <w:rPr>
          <w:rFonts w:ascii="Arial" w:eastAsiaTheme="minorEastAsia" w:hAnsi="Arial" w:cs="Arial"/>
          <w:bCs/>
        </w:rPr>
        <w:t xml:space="preserve"> </w:t>
      </w:r>
      <w:r w:rsidRPr="00C45F4F">
        <w:rPr>
          <w:rFonts w:ascii="Arial" w:eastAsiaTheme="minorEastAsia" w:hAnsi="Arial" w:cs="Arial"/>
          <w:bCs/>
        </w:rPr>
        <w:t>Spatial map of cell types in wheat inflorescence.</w:t>
      </w:r>
    </w:p>
    <w:p w14:paraId="2C9FC9BD"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b</w:t>
      </w:r>
      <w:r w:rsidRPr="00BB10A0">
        <w:rPr>
          <w:rFonts w:ascii="Arial" w:eastAsiaTheme="minorEastAsia" w:hAnsi="Arial" w:cs="Arial"/>
        </w:rPr>
        <w:t xml:space="preserve"> Spatial distribution of cell types defined by snRNA-seq, mapped onto scStereo-seq data.</w:t>
      </w:r>
    </w:p>
    <w:p w14:paraId="090B2092"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c</w:t>
      </w:r>
      <w:r w:rsidRPr="00BB10A0">
        <w:rPr>
          <w:rFonts w:ascii="Arial" w:eastAsiaTheme="minorEastAsia" w:hAnsi="Arial" w:cs="Arial"/>
        </w:rPr>
        <w:t xml:space="preserve"> Spatial expression patterns of cell type-specific genes by mapping the snRNA-seq data onto scStereo-seq data.</w:t>
      </w:r>
    </w:p>
    <w:p w14:paraId="0AED2A67" w14:textId="77777777" w:rsidR="00125D72" w:rsidRDefault="00125D72" w:rsidP="00125D72">
      <w:pPr>
        <w:spacing w:line="360" w:lineRule="auto"/>
        <w:rPr>
          <w:rFonts w:ascii="Arial" w:eastAsiaTheme="minorEastAsia" w:hAnsi="Arial" w:cs="Arial"/>
        </w:rPr>
      </w:pPr>
    </w:p>
    <w:p w14:paraId="47806F15" w14:textId="2F532DCF" w:rsidR="00125D72" w:rsidRDefault="00125D72" w:rsidP="00125D72">
      <w:pPr>
        <w:spacing w:line="360" w:lineRule="auto"/>
        <w:rPr>
          <w:rFonts w:ascii="Arial" w:eastAsiaTheme="minorEastAsia" w:hAnsi="Arial" w:cs="Arial"/>
        </w:rPr>
      </w:pPr>
      <w:r>
        <w:rPr>
          <w:rFonts w:ascii="Arial" w:eastAsiaTheme="minorEastAsia" w:hAnsi="Arial" w:cs="Arial"/>
          <w:noProof/>
        </w:rPr>
        <w:drawing>
          <wp:inline distT="0" distB="0" distL="0" distR="0" wp14:anchorId="33FCEEEC" wp14:editId="685FACF8">
            <wp:extent cx="5267325" cy="6324600"/>
            <wp:effectExtent l="0" t="0" r="9525" b="0"/>
            <wp:docPr id="692711320" name="Picture 4" descr="A group of pink and white sp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711320" name="Picture 4" descr="A group of pink and white spot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7325" cy="6324600"/>
                    </a:xfrm>
                    <a:prstGeom prst="rect">
                      <a:avLst/>
                    </a:prstGeom>
                    <a:noFill/>
                    <a:ln>
                      <a:noFill/>
                    </a:ln>
                  </pic:spPr>
                </pic:pic>
              </a:graphicData>
            </a:graphic>
          </wp:inline>
        </w:drawing>
      </w:r>
    </w:p>
    <w:p w14:paraId="25326547" w14:textId="77777777" w:rsidR="00125D72" w:rsidRPr="00BB10A0" w:rsidRDefault="00125D72" w:rsidP="00125D72">
      <w:pPr>
        <w:spacing w:line="360" w:lineRule="auto"/>
        <w:rPr>
          <w:rFonts w:ascii="Arial" w:eastAsiaTheme="minorEastAsia" w:hAnsi="Arial" w:cs="Arial"/>
        </w:rPr>
      </w:pPr>
    </w:p>
    <w:p w14:paraId="196416CF" w14:textId="77777777" w:rsidR="00125D72" w:rsidRPr="00BB10A0" w:rsidRDefault="00125D72" w:rsidP="00125D72">
      <w:pPr>
        <w:spacing w:line="360" w:lineRule="auto"/>
        <w:outlineLvl w:val="2"/>
        <w:rPr>
          <w:rFonts w:ascii="Arial" w:eastAsiaTheme="minorEastAsia" w:hAnsi="Arial" w:cs="Arial"/>
          <w:b/>
          <w:bCs/>
        </w:rPr>
      </w:pPr>
      <w:r>
        <w:rPr>
          <w:rFonts w:ascii="Arial" w:eastAsiaTheme="minorEastAsia" w:hAnsi="Arial" w:cs="Arial"/>
          <w:b/>
          <w:bCs/>
        </w:rPr>
        <w:t xml:space="preserve">Extended Data Fig. </w:t>
      </w:r>
      <w:r w:rsidRPr="00BB10A0">
        <w:rPr>
          <w:rFonts w:ascii="Arial" w:eastAsiaTheme="minorEastAsia" w:hAnsi="Arial" w:cs="Arial"/>
          <w:b/>
          <w:bCs/>
        </w:rPr>
        <w:t xml:space="preserve">4 </w:t>
      </w:r>
      <w:r>
        <w:rPr>
          <w:rFonts w:ascii="Arial" w:eastAsiaTheme="minorEastAsia" w:hAnsi="Arial" w:cs="Arial"/>
          <w:b/>
          <w:bCs/>
        </w:rPr>
        <w:t xml:space="preserve">| </w:t>
      </w:r>
      <w:r w:rsidRPr="00BB10A0">
        <w:rPr>
          <w:rFonts w:ascii="Arial" w:eastAsiaTheme="minorEastAsia" w:hAnsi="Arial" w:cs="Arial"/>
          <w:b/>
          <w:bCs/>
        </w:rPr>
        <w:t>Expression profiles of cell type-specific genes in snRNA-seq</w:t>
      </w:r>
    </w:p>
    <w:p w14:paraId="2FCBB7A6" w14:textId="77777777" w:rsidR="00125D72" w:rsidRDefault="00125D72" w:rsidP="00125D72">
      <w:pPr>
        <w:spacing w:line="360" w:lineRule="auto"/>
        <w:rPr>
          <w:rFonts w:ascii="Arial" w:eastAsiaTheme="minorEastAsia" w:hAnsi="Arial" w:cs="Arial"/>
        </w:rPr>
      </w:pPr>
    </w:p>
    <w:p w14:paraId="35513AD7" w14:textId="55F033BD" w:rsidR="00125D72" w:rsidRDefault="00125D72" w:rsidP="00125D72">
      <w:pPr>
        <w:spacing w:line="360" w:lineRule="auto"/>
        <w:rPr>
          <w:rFonts w:ascii="Arial" w:eastAsiaTheme="minorEastAsia" w:hAnsi="Arial" w:cs="Arial"/>
        </w:rPr>
      </w:pPr>
      <w:r>
        <w:rPr>
          <w:rFonts w:ascii="Arial" w:eastAsiaTheme="minorEastAsia" w:hAnsi="Arial" w:cs="Arial"/>
          <w:noProof/>
        </w:rPr>
        <w:lastRenderedPageBreak/>
        <w:drawing>
          <wp:inline distT="0" distB="0" distL="0" distR="0" wp14:anchorId="09669274" wp14:editId="00D0E14B">
            <wp:extent cx="5267325" cy="2324100"/>
            <wp:effectExtent l="0" t="0" r="9525" b="0"/>
            <wp:docPr id="1864826515"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826515" name="Picture 3" descr="A screenshot of a computer&#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7325" cy="2324100"/>
                    </a:xfrm>
                    <a:prstGeom prst="rect">
                      <a:avLst/>
                    </a:prstGeom>
                    <a:noFill/>
                    <a:ln>
                      <a:noFill/>
                    </a:ln>
                  </pic:spPr>
                </pic:pic>
              </a:graphicData>
            </a:graphic>
          </wp:inline>
        </w:drawing>
      </w:r>
    </w:p>
    <w:p w14:paraId="084B144A" w14:textId="77777777" w:rsidR="00125D72" w:rsidRPr="00BB10A0" w:rsidRDefault="00125D72" w:rsidP="00125D72">
      <w:pPr>
        <w:spacing w:line="360" w:lineRule="auto"/>
        <w:rPr>
          <w:rFonts w:ascii="Arial" w:eastAsiaTheme="minorEastAsia" w:hAnsi="Arial" w:cs="Arial"/>
        </w:rPr>
      </w:pPr>
    </w:p>
    <w:p w14:paraId="4356079D" w14:textId="77777777" w:rsidR="00125D72" w:rsidRPr="00BB10A0" w:rsidRDefault="00125D72" w:rsidP="00125D72">
      <w:pPr>
        <w:spacing w:line="360" w:lineRule="auto"/>
        <w:outlineLvl w:val="2"/>
        <w:rPr>
          <w:rFonts w:ascii="Arial" w:eastAsiaTheme="minorEastAsia" w:hAnsi="Arial" w:cs="Arial"/>
          <w:b/>
          <w:bCs/>
        </w:rPr>
      </w:pPr>
      <w:r>
        <w:rPr>
          <w:rFonts w:ascii="Arial" w:eastAsiaTheme="minorEastAsia" w:hAnsi="Arial" w:cs="Arial"/>
          <w:b/>
          <w:bCs/>
        </w:rPr>
        <w:t>Extended Data Fig. 5</w:t>
      </w:r>
      <w:r w:rsidRPr="00BB10A0">
        <w:rPr>
          <w:rFonts w:ascii="Arial" w:eastAsiaTheme="minorEastAsia" w:hAnsi="Arial" w:cs="Arial"/>
          <w:b/>
          <w:bCs/>
        </w:rPr>
        <w:t xml:space="preserve"> </w:t>
      </w:r>
      <w:r>
        <w:rPr>
          <w:rFonts w:ascii="Arial" w:eastAsiaTheme="minorEastAsia" w:hAnsi="Arial" w:cs="Arial"/>
          <w:b/>
          <w:bCs/>
        </w:rPr>
        <w:t xml:space="preserve">| </w:t>
      </w:r>
      <w:r w:rsidRPr="00BB10A0">
        <w:rPr>
          <w:rFonts w:ascii="Arial" w:eastAsiaTheme="minorEastAsia" w:hAnsi="Arial" w:cs="Arial"/>
          <w:b/>
          <w:bCs/>
        </w:rPr>
        <w:t>Trajectory inference for wheat floret formation</w:t>
      </w:r>
    </w:p>
    <w:p w14:paraId="566EFCBB"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a</w:t>
      </w:r>
      <w:r w:rsidRPr="00BB10A0">
        <w:rPr>
          <w:rFonts w:ascii="Arial" w:eastAsiaTheme="minorEastAsia" w:hAnsi="Arial" w:cs="Arial"/>
        </w:rPr>
        <w:t xml:space="preserve"> Trajectory inference and pseudotime analysis of cells belonging to R7, R10, and R14 in partition1.</w:t>
      </w:r>
    </w:p>
    <w:p w14:paraId="7AE284F2"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b</w:t>
      </w:r>
      <w:r w:rsidRPr="00BB10A0">
        <w:rPr>
          <w:rFonts w:ascii="Arial" w:eastAsiaTheme="minorEastAsia" w:hAnsi="Arial" w:cs="Arial"/>
        </w:rPr>
        <w:t xml:space="preserve"> Heatmap showing the clustering results of genes whose expression changes across pseudotime during floret formation.</w:t>
      </w:r>
    </w:p>
    <w:p w14:paraId="5F133125"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c</w:t>
      </w:r>
      <w:r w:rsidRPr="00BB10A0">
        <w:rPr>
          <w:rFonts w:ascii="Arial" w:eastAsiaTheme="minorEastAsia" w:hAnsi="Arial" w:cs="Arial"/>
        </w:rPr>
        <w:t xml:space="preserve"> GO enrichment analysis of genes in different clusters during floret formation (two-sided Fisher’s exact test, FDR for multiple testing, FDR &lt; 0.05). FE: fold enrichment.</w:t>
      </w:r>
    </w:p>
    <w:p w14:paraId="7E5154BE"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d</w:t>
      </w:r>
      <w:r w:rsidRPr="00BB10A0">
        <w:rPr>
          <w:rFonts w:ascii="Arial" w:eastAsiaTheme="minorEastAsia" w:hAnsi="Arial" w:cs="Arial"/>
        </w:rPr>
        <w:t xml:space="preserve"> TF family enrichment of genes in different clusters during floret formation (two-sided Fisher’s exact test, </w:t>
      </w:r>
      <w:r w:rsidRPr="00BB10A0">
        <w:rPr>
          <w:rFonts w:ascii="Arial" w:eastAsiaTheme="minorEastAsia" w:hAnsi="Arial" w:cs="Arial"/>
          <w:i/>
          <w:iCs/>
        </w:rPr>
        <w:t>P</w:t>
      </w:r>
      <w:r w:rsidRPr="00BB10A0">
        <w:rPr>
          <w:rFonts w:ascii="Arial" w:eastAsiaTheme="minorEastAsia" w:hAnsi="Arial" w:cs="Arial"/>
        </w:rPr>
        <w:t xml:space="preserve"> &lt; 0.01).</w:t>
      </w:r>
    </w:p>
    <w:p w14:paraId="112D0A57" w14:textId="77777777" w:rsidR="00125D72" w:rsidRDefault="00125D72" w:rsidP="00125D72">
      <w:pPr>
        <w:spacing w:line="360" w:lineRule="auto"/>
        <w:rPr>
          <w:rFonts w:ascii="Arial" w:eastAsiaTheme="minorEastAsia" w:hAnsi="Arial" w:cs="Arial"/>
        </w:rPr>
      </w:pPr>
    </w:p>
    <w:p w14:paraId="07F27544" w14:textId="4BA9655E" w:rsidR="00125D72" w:rsidRDefault="00125D72" w:rsidP="00125D72">
      <w:pPr>
        <w:spacing w:line="360" w:lineRule="auto"/>
        <w:rPr>
          <w:rFonts w:ascii="Arial" w:eastAsiaTheme="minorEastAsia" w:hAnsi="Arial" w:cs="Arial"/>
        </w:rPr>
      </w:pPr>
      <w:r>
        <w:rPr>
          <w:rFonts w:ascii="Arial" w:eastAsiaTheme="minorEastAsia" w:hAnsi="Arial" w:cs="Arial"/>
          <w:noProof/>
        </w:rPr>
        <w:lastRenderedPageBreak/>
        <w:drawing>
          <wp:inline distT="0" distB="0" distL="0" distR="0" wp14:anchorId="3F0D20E4" wp14:editId="0D54947B">
            <wp:extent cx="5267325" cy="8305800"/>
            <wp:effectExtent l="0" t="0" r="9525" b="0"/>
            <wp:docPr id="1140282739" name="Picture 2"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282739" name="Picture 2" descr="A close-up of a chart&#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7325" cy="8305800"/>
                    </a:xfrm>
                    <a:prstGeom prst="rect">
                      <a:avLst/>
                    </a:prstGeom>
                    <a:noFill/>
                    <a:ln>
                      <a:noFill/>
                    </a:ln>
                  </pic:spPr>
                </pic:pic>
              </a:graphicData>
            </a:graphic>
          </wp:inline>
        </w:drawing>
      </w:r>
    </w:p>
    <w:p w14:paraId="7B895404" w14:textId="77777777" w:rsidR="00125D72" w:rsidRPr="00BB10A0" w:rsidRDefault="00125D72" w:rsidP="00125D72">
      <w:pPr>
        <w:spacing w:line="360" w:lineRule="auto"/>
        <w:rPr>
          <w:rFonts w:ascii="Arial" w:eastAsiaTheme="minorEastAsia" w:hAnsi="Arial" w:cs="Arial"/>
        </w:rPr>
      </w:pPr>
    </w:p>
    <w:p w14:paraId="5E6924FF" w14:textId="77777777" w:rsidR="00125D72" w:rsidRPr="00BB10A0" w:rsidRDefault="00125D72" w:rsidP="00125D72">
      <w:pPr>
        <w:spacing w:line="360" w:lineRule="auto"/>
        <w:outlineLvl w:val="2"/>
        <w:rPr>
          <w:rFonts w:ascii="Arial" w:eastAsiaTheme="minorEastAsia" w:hAnsi="Arial" w:cs="Arial"/>
          <w:b/>
          <w:bCs/>
        </w:rPr>
      </w:pPr>
      <w:r>
        <w:rPr>
          <w:rFonts w:ascii="Arial" w:eastAsiaTheme="minorEastAsia" w:hAnsi="Arial" w:cs="Arial"/>
          <w:b/>
          <w:bCs/>
        </w:rPr>
        <w:t>Extended Data Fig. 6</w:t>
      </w:r>
      <w:r w:rsidRPr="00BB10A0">
        <w:rPr>
          <w:rFonts w:ascii="Arial" w:eastAsiaTheme="minorEastAsia" w:hAnsi="Arial" w:cs="Arial"/>
          <w:b/>
          <w:bCs/>
        </w:rPr>
        <w:t xml:space="preserve"> </w:t>
      </w:r>
      <w:r>
        <w:rPr>
          <w:rFonts w:ascii="Arial" w:eastAsiaTheme="minorEastAsia" w:hAnsi="Arial" w:cs="Arial"/>
          <w:b/>
          <w:bCs/>
        </w:rPr>
        <w:t xml:space="preserve">| </w:t>
      </w:r>
      <w:r w:rsidRPr="00BB10A0">
        <w:rPr>
          <w:rFonts w:ascii="Arial" w:eastAsiaTheme="minorEastAsia" w:hAnsi="Arial" w:cs="Arial"/>
          <w:b/>
          <w:bCs/>
        </w:rPr>
        <w:t>Correspondence between snRNA-seq and snATAC-seq</w:t>
      </w:r>
    </w:p>
    <w:p w14:paraId="02BD3B1C"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lastRenderedPageBreak/>
        <w:t>a</w:t>
      </w:r>
      <w:r w:rsidRPr="00BB10A0">
        <w:rPr>
          <w:rFonts w:ascii="Arial" w:eastAsiaTheme="minorEastAsia" w:hAnsi="Arial" w:cs="Arial"/>
        </w:rPr>
        <w:t xml:space="preserve"> Proportion of cell type-specific genes in snATAC-seq among the cell type-specific genes of each cell type in snRNA-seq. The dashed line represents the thresholds, with gene proportion ≥ 15% and gene counts ≥ 10.</w:t>
      </w:r>
    </w:p>
    <w:p w14:paraId="309146F0"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b</w:t>
      </w:r>
      <w:r w:rsidRPr="00BB10A0">
        <w:rPr>
          <w:rFonts w:ascii="Arial" w:eastAsiaTheme="minorEastAsia" w:hAnsi="Arial" w:cs="Arial"/>
        </w:rPr>
        <w:t xml:space="preserve"> Correspondence between snATAC-seq and snRNA-seq cell types.</w:t>
      </w:r>
    </w:p>
    <w:p w14:paraId="505B2DA5"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c</w:t>
      </w:r>
      <w:r w:rsidRPr="00BB10A0">
        <w:rPr>
          <w:rFonts w:ascii="Arial" w:eastAsiaTheme="minorEastAsia" w:hAnsi="Arial" w:cs="Arial"/>
        </w:rPr>
        <w:t xml:space="preserve"> Pearson correlation coefficient between gene expression and changes in chromatin accessibility, histone modification of snRNA-seq cell type-specific genes, and other genes. Data on gene expression, chromatin accessibility, and histone modification are from published bulk data of wheat spike </w:t>
      </w:r>
      <w:r>
        <w:rPr>
          <w:rFonts w:ascii="Arial" w:eastAsiaTheme="minorEastAsia" w:hAnsi="Arial" w:cs="Arial"/>
        </w:rPr>
        <w:fldChar w:fldCharType="begin"/>
      </w:r>
      <w:r>
        <w:rPr>
          <w:rFonts w:ascii="Arial" w:eastAsiaTheme="minorEastAsia" w:hAnsi="Arial" w:cs="Arial"/>
        </w:rPr>
        <w:instrText xml:space="preserve"> ADDIN ZOTERO_ITEM CSL_CITATION {"citationID":"pHCh22Y9","properties":{"formattedCitation":"\\super 26\\nosupersub{}","plainCitation":"26","noteIndex":0},"citationItems":[{"id":843,"uris":["http://zotero.org/users/local/cb8ycxNo/items/PWQ8L8JQ"],"itemData":{"id":843,"type":"article-journal","abstract":"The spike architecture of wheat plays a crucial role in determining grain number, making it a key trait for optimization in wheat breeding programs. In this study, we used a multi-omic approach to analyze the transcriptome and epigenome profiles of the young spike at eight developmental stages, revealing coordinated changes in chromatin accessibility and H3K27me3 abundance during the flowering transition. We constructed a core transcriptional regulatory network (TRN) that drives wheat spike formation and experimentally validated a multi-layer regulatory module involving TaSPL15, TaAGLG1, and TaFUL2. By integrating the TRN with genome-wide association studies, we identified 227 transcription factors, including 42 with known functions and 185 with unknown functions. Further investigation of 61 novel transcription factors using multiple homozygous mutant lines revealed 36 transcription factors that regulate spike architecture or flowering time, such as TaMYC2-A1, TaMYB30-A1, and TaWRKY37-A1. Of particular interest, TaMYB30-A1, downstream of and repressed by WFZP, was found to regulate fertile spikelet number. Notably, the excellent haplotype of TaMYB30-A1, which contains a C allele at the WFZP binding site, was enriched during wheat breeding improvement in China, leading to improved agronomic traits. Finally, we constructed a free and open access Wheat Spike Multi-Omic Database (http://39.98.48.156:8800/#/). Our study identifies novel and high-confidence regulators and offers an effective strategy for dissecting the genetic basis of wheat spike development, with practical value for wheat breeding.","container-title":"Molecular Plant","DOI":"10.1016/j.molp.2024.01.010","ISSN":"1674-2052","issue":"3","journalAbbreviation":"Molecular Plant","page":"438-459","source":"ScienceDirect","title":"Systematic identification of wheat spike developmental regulators by integrated multi-omics, transcriptional network, GWAS, and genetic analyses","volume":"17","author":[{"family":"Lin","given":"Xuelei"},{"family":"Xu","given":"Yongxin"},{"family":"Wang","given":"Dongzhi"},{"family":"Yang","given":"Yiman"},{"family":"Zhang","given":"Xiaoyu"},{"family":"Bie","given":"Xiaomin"},{"family":"Gui","given":"Lixuan"},{"family":"Chen","given":"Zhongxu"},{"family":"Ding","given":"Yiliang"},{"family":"Mao","given":"Long"},{"family":"Zhang","given":"Xueyong"},{"family":"Lu","given":"Fei"},{"family":"Zhang","given":"Xiansheng"},{"family":"Uauy","given":"Cristobal"},{"family":"Fu","given":"Xiangdong"},{"family":"Xiao","given":"Jun"}],"issued":{"date-parts":[["2024",3,4]]}}}],"schema":"https://github.com/citation-style-language/schema/raw/master/csl-citation.json"} </w:instrText>
      </w:r>
      <w:r>
        <w:rPr>
          <w:rFonts w:ascii="Arial" w:eastAsiaTheme="minorEastAsia" w:hAnsi="Arial" w:cs="Arial"/>
        </w:rPr>
        <w:fldChar w:fldCharType="separate"/>
      </w:r>
      <w:r w:rsidRPr="00451071">
        <w:rPr>
          <w:rFonts w:ascii="Arial" w:hAnsi="Arial" w:cs="Arial"/>
          <w:kern w:val="0"/>
          <w:szCs w:val="24"/>
          <w:vertAlign w:val="superscript"/>
        </w:rPr>
        <w:t>26</w:t>
      </w:r>
      <w:r>
        <w:rPr>
          <w:rFonts w:ascii="Arial" w:eastAsiaTheme="minorEastAsia" w:hAnsi="Arial" w:cs="Arial"/>
        </w:rPr>
        <w:fldChar w:fldCharType="end"/>
      </w:r>
      <w:r w:rsidRPr="00BB10A0">
        <w:rPr>
          <w:rFonts w:ascii="Arial" w:eastAsiaTheme="minorEastAsia" w:hAnsi="Arial" w:cs="Arial"/>
        </w:rPr>
        <w:t>.</w:t>
      </w:r>
    </w:p>
    <w:p w14:paraId="54F2F638"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d</w:t>
      </w:r>
      <w:r w:rsidRPr="00BB10A0">
        <w:rPr>
          <w:rFonts w:ascii="Arial" w:eastAsiaTheme="minorEastAsia" w:hAnsi="Arial" w:cs="Arial"/>
        </w:rPr>
        <w:t xml:space="preserve"> Cell type specificity index defined by gene expression values (left) and the proportion of cells expressing the gene (right) (two-sided Wilcoxon test).</w:t>
      </w:r>
    </w:p>
    <w:p w14:paraId="07DCB609" w14:textId="77777777" w:rsidR="00125D72" w:rsidRPr="00BB10A0" w:rsidRDefault="00125D72" w:rsidP="00125D72">
      <w:pPr>
        <w:spacing w:line="360" w:lineRule="auto"/>
        <w:rPr>
          <w:rFonts w:ascii="Arial" w:eastAsiaTheme="minorEastAsia" w:hAnsi="Arial" w:cs="Arial"/>
          <w:b/>
          <w:bCs/>
        </w:rPr>
      </w:pPr>
      <w:r>
        <w:rPr>
          <w:rFonts w:ascii="Arial" w:eastAsiaTheme="minorEastAsia" w:hAnsi="Arial" w:cs="Arial"/>
          <w:b/>
          <w:bCs/>
        </w:rPr>
        <w:t>e</w:t>
      </w:r>
      <w:r w:rsidRPr="00BB10A0">
        <w:rPr>
          <w:rFonts w:ascii="Arial" w:eastAsiaTheme="minorEastAsia" w:hAnsi="Arial" w:cs="Arial"/>
        </w:rPr>
        <w:t xml:space="preserve"> Chromatin accessibility profiles of several cell type-specific genes across snATAC-seq cell types. Cell type annotations are shown on the left, and t</w:t>
      </w:r>
      <w:r>
        <w:rPr>
          <w:rFonts w:ascii="Arial" w:eastAsiaTheme="minorEastAsia" w:hAnsi="Arial" w:cs="Arial"/>
        </w:rPr>
        <w:t>he color code is shown in Fig. 3</w:t>
      </w:r>
      <w:r>
        <w:rPr>
          <w:rFonts w:ascii="Arial" w:eastAsiaTheme="minorEastAsia" w:hAnsi="Arial" w:cs="Arial"/>
          <w:bCs/>
        </w:rPr>
        <w:t>a</w:t>
      </w:r>
      <w:r w:rsidRPr="00BB10A0">
        <w:rPr>
          <w:rFonts w:ascii="Arial" w:eastAsiaTheme="minorEastAsia" w:hAnsi="Arial" w:cs="Arial"/>
        </w:rPr>
        <w:t>.</w:t>
      </w:r>
    </w:p>
    <w:p w14:paraId="39403C21" w14:textId="77777777" w:rsidR="00125D72" w:rsidRDefault="00125D72" w:rsidP="00125D72">
      <w:pPr>
        <w:spacing w:line="360" w:lineRule="auto"/>
        <w:rPr>
          <w:rFonts w:ascii="Arial" w:eastAsiaTheme="minorEastAsia" w:hAnsi="Arial" w:cs="Arial"/>
        </w:rPr>
      </w:pPr>
    </w:p>
    <w:p w14:paraId="704F950D" w14:textId="77777777" w:rsidR="00125D72" w:rsidRDefault="00125D72" w:rsidP="00125D72">
      <w:pPr>
        <w:spacing w:line="360" w:lineRule="auto"/>
        <w:rPr>
          <w:rFonts w:ascii="Arial" w:eastAsiaTheme="minorEastAsia" w:hAnsi="Arial" w:cs="Arial"/>
        </w:rPr>
      </w:pPr>
    </w:p>
    <w:p w14:paraId="38161679" w14:textId="5CC1C564" w:rsidR="00125D72" w:rsidRDefault="00125D72" w:rsidP="00125D72">
      <w:pPr>
        <w:spacing w:line="360" w:lineRule="auto"/>
        <w:rPr>
          <w:rFonts w:ascii="Arial" w:eastAsiaTheme="minorEastAsia" w:hAnsi="Arial" w:cs="Arial"/>
        </w:rPr>
      </w:pPr>
      <w:r>
        <w:rPr>
          <w:rFonts w:ascii="Arial" w:eastAsiaTheme="minorEastAsia" w:hAnsi="Arial" w:cs="Arial"/>
          <w:noProof/>
        </w:rPr>
        <w:drawing>
          <wp:inline distT="0" distB="0" distL="0" distR="0" wp14:anchorId="75B39FDE" wp14:editId="383CBE12">
            <wp:extent cx="5267325" cy="3571875"/>
            <wp:effectExtent l="0" t="0" r="9525" b="9525"/>
            <wp:docPr id="1314185826"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185826" name="Picture 1" descr="A screenshot of a graph&#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7325" cy="3571875"/>
                    </a:xfrm>
                    <a:prstGeom prst="rect">
                      <a:avLst/>
                    </a:prstGeom>
                    <a:noFill/>
                    <a:ln>
                      <a:noFill/>
                    </a:ln>
                  </pic:spPr>
                </pic:pic>
              </a:graphicData>
            </a:graphic>
          </wp:inline>
        </w:drawing>
      </w:r>
    </w:p>
    <w:p w14:paraId="4268F873" w14:textId="77777777" w:rsidR="00125D72" w:rsidRPr="00BB10A0" w:rsidRDefault="00125D72" w:rsidP="00125D72">
      <w:pPr>
        <w:spacing w:line="360" w:lineRule="auto"/>
        <w:rPr>
          <w:rFonts w:ascii="Arial" w:eastAsiaTheme="minorEastAsia" w:hAnsi="Arial" w:cs="Arial"/>
        </w:rPr>
      </w:pPr>
    </w:p>
    <w:p w14:paraId="50101B1C" w14:textId="77777777" w:rsidR="00125D72" w:rsidRPr="00BB10A0" w:rsidRDefault="00125D72" w:rsidP="00125D72">
      <w:pPr>
        <w:spacing w:line="360" w:lineRule="auto"/>
        <w:outlineLvl w:val="2"/>
        <w:rPr>
          <w:rFonts w:ascii="Arial" w:eastAsiaTheme="minorEastAsia" w:hAnsi="Arial" w:cs="Arial"/>
          <w:b/>
          <w:bCs/>
        </w:rPr>
      </w:pPr>
      <w:r>
        <w:rPr>
          <w:rFonts w:ascii="Arial" w:eastAsiaTheme="minorEastAsia" w:hAnsi="Arial" w:cs="Arial"/>
          <w:b/>
          <w:bCs/>
        </w:rPr>
        <w:t>Extended Data Fig. 7</w:t>
      </w:r>
      <w:r w:rsidRPr="00BB10A0">
        <w:rPr>
          <w:rFonts w:ascii="Arial" w:eastAsiaTheme="minorEastAsia" w:hAnsi="Arial" w:cs="Arial"/>
          <w:b/>
          <w:bCs/>
        </w:rPr>
        <w:t xml:space="preserve"> </w:t>
      </w:r>
      <w:r>
        <w:rPr>
          <w:rFonts w:ascii="Arial" w:eastAsiaTheme="minorEastAsia" w:hAnsi="Arial" w:cs="Arial"/>
          <w:b/>
          <w:bCs/>
        </w:rPr>
        <w:t xml:space="preserve">| </w:t>
      </w:r>
      <w:r w:rsidRPr="00BB10A0">
        <w:rPr>
          <w:rFonts w:ascii="Arial" w:eastAsiaTheme="minorEastAsia" w:hAnsi="Arial" w:cs="Arial"/>
          <w:b/>
          <w:bCs/>
        </w:rPr>
        <w:t>Profiling of selective regions during modern wheat breeding</w:t>
      </w:r>
    </w:p>
    <w:p w14:paraId="14ECD804"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a</w:t>
      </w:r>
      <w:r w:rsidRPr="00BB10A0">
        <w:rPr>
          <w:rFonts w:ascii="Arial" w:eastAsiaTheme="minorEastAsia" w:hAnsi="Arial" w:cs="Arial"/>
          <w:b/>
          <w:bCs/>
        </w:rPr>
        <w:t xml:space="preserve">, </w:t>
      </w:r>
      <w:r>
        <w:rPr>
          <w:rFonts w:ascii="Arial" w:eastAsiaTheme="minorEastAsia" w:hAnsi="Arial" w:cs="Arial"/>
          <w:b/>
          <w:bCs/>
        </w:rPr>
        <w:t>b</w:t>
      </w:r>
      <w:r w:rsidRPr="00BB10A0">
        <w:rPr>
          <w:rFonts w:ascii="Arial" w:eastAsiaTheme="minorEastAsia" w:hAnsi="Arial" w:cs="Arial"/>
        </w:rPr>
        <w:t xml:space="preserve"> Selective regions during wheat breeding processes in China, Europe, and USA on the chromosome 1D (</w:t>
      </w:r>
      <w:r>
        <w:rPr>
          <w:rFonts w:ascii="Arial" w:eastAsiaTheme="minorEastAsia" w:hAnsi="Arial" w:cs="Arial"/>
          <w:b/>
          <w:bCs/>
        </w:rPr>
        <w:t>a</w:t>
      </w:r>
      <w:r w:rsidRPr="00BB10A0">
        <w:rPr>
          <w:rFonts w:ascii="Arial" w:eastAsiaTheme="minorEastAsia" w:hAnsi="Arial" w:cs="Arial"/>
        </w:rPr>
        <w:t>), and 2D (</w:t>
      </w:r>
      <w:r>
        <w:rPr>
          <w:rFonts w:ascii="Arial" w:eastAsiaTheme="minorEastAsia" w:hAnsi="Arial" w:cs="Arial"/>
          <w:b/>
          <w:bCs/>
        </w:rPr>
        <w:t>b</w:t>
      </w:r>
      <w:r w:rsidRPr="00BB10A0">
        <w:rPr>
          <w:rFonts w:ascii="Arial" w:eastAsiaTheme="minorEastAsia" w:hAnsi="Arial" w:cs="Arial"/>
        </w:rPr>
        <w:t>). The dashed lines indicate the cutoffs of the top 5% of XP-CLR score.</w:t>
      </w:r>
    </w:p>
    <w:p w14:paraId="5D27D8EF" w14:textId="77777777" w:rsidR="00125D72" w:rsidRPr="00BB10A0" w:rsidRDefault="00125D72" w:rsidP="00125D72">
      <w:pPr>
        <w:spacing w:line="360" w:lineRule="auto"/>
        <w:rPr>
          <w:rFonts w:ascii="Arial" w:eastAsiaTheme="minorEastAsia" w:hAnsi="Arial" w:cs="Arial"/>
        </w:rPr>
      </w:pPr>
      <w:r>
        <w:rPr>
          <w:rFonts w:ascii="Arial" w:eastAsiaTheme="minorEastAsia" w:hAnsi="Arial" w:cs="Arial"/>
          <w:b/>
          <w:bCs/>
        </w:rPr>
        <w:t>c</w:t>
      </w:r>
      <w:r w:rsidRPr="00BB10A0">
        <w:rPr>
          <w:rFonts w:ascii="Arial" w:eastAsiaTheme="minorEastAsia" w:hAnsi="Arial" w:cs="Arial"/>
        </w:rPr>
        <w:t xml:space="preserve"> </w:t>
      </w:r>
      <w:r>
        <w:rPr>
          <w:rStyle w:val="None"/>
          <w:rFonts w:ascii="Arial" w:hAnsi="Arial"/>
        </w:rPr>
        <w:t>Vector designs in the luciferase reporter assays.</w:t>
      </w:r>
      <w:r>
        <w:rPr>
          <w:rFonts w:ascii="Arial" w:eastAsiaTheme="minorEastAsia" w:hAnsi="Arial" w:cs="Arial"/>
        </w:rPr>
        <w:t xml:space="preserve"> </w:t>
      </w:r>
      <w:r w:rsidRPr="00BB10A0">
        <w:rPr>
          <w:rFonts w:ascii="Arial" w:eastAsiaTheme="minorEastAsia" w:hAnsi="Arial" w:cs="Arial"/>
        </w:rPr>
        <w:t>GFP: green fluorescent protein; NOS: nopaline synthase terminator; REN: renilla luciferase</w:t>
      </w:r>
    </w:p>
    <w:p w14:paraId="5CBA2D9A" w14:textId="77777777" w:rsidR="00125D72" w:rsidRPr="00F15957" w:rsidRDefault="00125D72" w:rsidP="00125D72">
      <w:pPr>
        <w:spacing w:line="360" w:lineRule="auto"/>
        <w:rPr>
          <w:rStyle w:val="None"/>
          <w:rFonts w:ascii="Arial" w:eastAsiaTheme="minorEastAsia" w:hAnsi="Arial" w:cs="Arial"/>
        </w:rPr>
      </w:pPr>
    </w:p>
    <w:p w14:paraId="6D74528C" w14:textId="77777777" w:rsidR="00125D72" w:rsidRPr="00F15957" w:rsidRDefault="00125D72" w:rsidP="00125D72">
      <w:pPr>
        <w:spacing w:line="360" w:lineRule="auto"/>
        <w:outlineLvl w:val="1"/>
        <w:rPr>
          <w:rStyle w:val="None"/>
          <w:rFonts w:ascii="Arial" w:eastAsia="Arial" w:hAnsi="Arial" w:cs="Arial"/>
          <w:b/>
          <w:bCs/>
          <w:sz w:val="24"/>
          <w:szCs w:val="24"/>
        </w:rPr>
      </w:pPr>
      <w:r w:rsidRPr="00F15957">
        <w:rPr>
          <w:rStyle w:val="None"/>
          <w:rFonts w:ascii="Arial" w:hAnsi="Arial"/>
          <w:b/>
          <w:bCs/>
          <w:sz w:val="24"/>
          <w:szCs w:val="24"/>
        </w:rPr>
        <w:t>Supplementary tables</w:t>
      </w:r>
    </w:p>
    <w:p w14:paraId="228FAA64" w14:textId="77777777" w:rsidR="00125D72" w:rsidRPr="00F15957" w:rsidRDefault="00125D72" w:rsidP="00125D72">
      <w:pPr>
        <w:spacing w:line="360" w:lineRule="auto"/>
        <w:outlineLvl w:val="2"/>
        <w:rPr>
          <w:rStyle w:val="None"/>
          <w:rFonts w:ascii="Arial" w:eastAsia="Arial" w:hAnsi="Arial" w:cs="Arial"/>
        </w:rPr>
      </w:pPr>
      <w:r w:rsidRPr="00F15957">
        <w:rPr>
          <w:rStyle w:val="None"/>
          <w:rFonts w:ascii="Arial" w:hAnsi="Arial"/>
          <w:b/>
          <w:bCs/>
        </w:rPr>
        <w:t>Table S1</w:t>
      </w:r>
      <w:r w:rsidRPr="00F15957">
        <w:rPr>
          <w:rStyle w:val="None"/>
          <w:rFonts w:ascii="Arial" w:hAnsi="Arial"/>
        </w:rPr>
        <w:t xml:space="preserve"> Metadata of cells in snRNA-seq.</w:t>
      </w:r>
    </w:p>
    <w:p w14:paraId="7C887699" w14:textId="77777777" w:rsidR="00125D72" w:rsidRPr="00F15957" w:rsidRDefault="00125D72" w:rsidP="00125D72">
      <w:pPr>
        <w:spacing w:line="360" w:lineRule="auto"/>
        <w:outlineLvl w:val="2"/>
        <w:rPr>
          <w:rStyle w:val="None"/>
          <w:rFonts w:ascii="Arial" w:eastAsia="Arial" w:hAnsi="Arial" w:cs="Arial"/>
        </w:rPr>
      </w:pPr>
      <w:r w:rsidRPr="00F15957">
        <w:rPr>
          <w:rStyle w:val="None"/>
          <w:rFonts w:ascii="Arial" w:hAnsi="Arial"/>
          <w:b/>
          <w:bCs/>
        </w:rPr>
        <w:t>Table S2</w:t>
      </w:r>
      <w:r w:rsidRPr="00F15957">
        <w:rPr>
          <w:rStyle w:val="None"/>
          <w:rFonts w:ascii="Arial" w:hAnsi="Arial"/>
        </w:rPr>
        <w:t xml:space="preserve"> Metadata of cells in snATAC-seq.</w:t>
      </w:r>
    </w:p>
    <w:p w14:paraId="1A3AB53C" w14:textId="77777777" w:rsidR="00125D72" w:rsidRPr="00F15957" w:rsidRDefault="00125D72" w:rsidP="00125D72">
      <w:pPr>
        <w:spacing w:line="360" w:lineRule="auto"/>
        <w:outlineLvl w:val="2"/>
        <w:rPr>
          <w:rStyle w:val="None"/>
          <w:rFonts w:ascii="Arial" w:eastAsia="Arial" w:hAnsi="Arial" w:cs="Arial"/>
        </w:rPr>
      </w:pPr>
      <w:r w:rsidRPr="00F15957">
        <w:rPr>
          <w:rStyle w:val="None"/>
          <w:rFonts w:ascii="Arial" w:hAnsi="Arial"/>
          <w:b/>
          <w:bCs/>
        </w:rPr>
        <w:t>Table S3</w:t>
      </w:r>
      <w:r w:rsidRPr="00F15957">
        <w:rPr>
          <w:rStyle w:val="None"/>
          <w:rFonts w:ascii="Arial" w:hAnsi="Arial"/>
        </w:rPr>
        <w:t xml:space="preserve"> Cell type-specific genes identified in snRNA-seq.</w:t>
      </w:r>
    </w:p>
    <w:p w14:paraId="594776C4" w14:textId="77777777" w:rsidR="00125D72" w:rsidRPr="00F15957" w:rsidRDefault="00125D72" w:rsidP="00125D72">
      <w:pPr>
        <w:spacing w:line="360" w:lineRule="auto"/>
        <w:outlineLvl w:val="2"/>
        <w:rPr>
          <w:rStyle w:val="None"/>
          <w:rFonts w:ascii="Arial" w:eastAsia="Arial" w:hAnsi="Arial" w:cs="Arial"/>
        </w:rPr>
      </w:pPr>
      <w:r w:rsidRPr="00F15957">
        <w:rPr>
          <w:rStyle w:val="None"/>
          <w:rFonts w:ascii="Arial" w:hAnsi="Arial"/>
          <w:b/>
          <w:bCs/>
        </w:rPr>
        <w:t>Table S4</w:t>
      </w:r>
      <w:r w:rsidRPr="00F15957">
        <w:rPr>
          <w:rStyle w:val="None"/>
          <w:rFonts w:ascii="Arial" w:hAnsi="Arial"/>
        </w:rPr>
        <w:t xml:space="preserve"> Cell type-specific genes identified in snATAC-seq.</w:t>
      </w:r>
    </w:p>
    <w:p w14:paraId="25A43158"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S5</w:t>
      </w:r>
      <w:r w:rsidRPr="00F15957">
        <w:rPr>
          <w:rStyle w:val="None"/>
          <w:rFonts w:ascii="Arial" w:hAnsi="Arial"/>
        </w:rPr>
        <w:t xml:space="preserve"> Metadata of cells in scStereo-seq.</w:t>
      </w:r>
    </w:p>
    <w:p w14:paraId="2705C547"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rPr>
        <w:t>Table S6</w:t>
      </w:r>
      <w:r w:rsidRPr="00F15957">
        <w:rPr>
          <w:rStyle w:val="None"/>
          <w:rFonts w:ascii="Arial" w:hAnsi="Arial"/>
        </w:rPr>
        <w:t xml:space="preserve"> TF family enrichment results of cell type-specific genes in snRNA-seq.</w:t>
      </w:r>
    </w:p>
    <w:p w14:paraId="236DF323" w14:textId="77777777" w:rsidR="00125D72" w:rsidRPr="00F15957" w:rsidRDefault="00125D72" w:rsidP="00125D72">
      <w:pPr>
        <w:spacing w:line="360" w:lineRule="auto"/>
        <w:outlineLvl w:val="2"/>
        <w:rPr>
          <w:rStyle w:val="None"/>
          <w:rFonts w:ascii="Arial" w:eastAsiaTheme="minorEastAsia" w:hAnsi="Arial" w:cs="Arial"/>
          <w:b/>
          <w:bCs/>
        </w:rPr>
      </w:pPr>
      <w:r w:rsidRPr="00F15957">
        <w:rPr>
          <w:rStyle w:val="None"/>
          <w:rFonts w:ascii="Arial" w:hAnsi="Arial"/>
          <w:b/>
        </w:rPr>
        <w:t>Table S7</w:t>
      </w:r>
      <w:r w:rsidRPr="00F15957">
        <w:rPr>
          <w:rStyle w:val="None"/>
          <w:rFonts w:ascii="Arial" w:hAnsi="Arial"/>
        </w:rPr>
        <w:t xml:space="preserve"> GO enrichment results of cell type-specific genes in snRNA-seq.</w:t>
      </w:r>
    </w:p>
    <w:p w14:paraId="4C153DFC"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w:t>
      </w:r>
      <w:r>
        <w:rPr>
          <w:rStyle w:val="None"/>
          <w:rFonts w:ascii="Arial" w:hAnsi="Arial"/>
          <w:b/>
          <w:bCs/>
        </w:rPr>
        <w:t>8</w:t>
      </w:r>
      <w:r w:rsidRPr="00F15957">
        <w:rPr>
          <w:rStyle w:val="None"/>
          <w:rFonts w:ascii="Arial" w:hAnsi="Arial"/>
        </w:rPr>
        <w:t xml:space="preserve"> Partition results of cells in snRNA-seq.</w:t>
      </w:r>
    </w:p>
    <w:p w14:paraId="65F7D632"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w:t>
      </w:r>
      <w:r>
        <w:rPr>
          <w:rStyle w:val="None"/>
          <w:rFonts w:ascii="Arial" w:hAnsi="Arial"/>
          <w:b/>
          <w:bCs/>
        </w:rPr>
        <w:t>9</w:t>
      </w:r>
      <w:r w:rsidRPr="00F15957">
        <w:rPr>
          <w:rStyle w:val="None"/>
          <w:rFonts w:ascii="Arial" w:hAnsi="Arial"/>
        </w:rPr>
        <w:t xml:space="preserve"> Differentially expressed genes between R7.P4 and R7.P1.</w:t>
      </w:r>
    </w:p>
    <w:p w14:paraId="6FE11A59"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S1</w:t>
      </w:r>
      <w:r>
        <w:rPr>
          <w:rStyle w:val="None"/>
          <w:rFonts w:ascii="Arial" w:hAnsi="Arial"/>
          <w:b/>
          <w:bCs/>
        </w:rPr>
        <w:t>0</w:t>
      </w:r>
      <w:r w:rsidRPr="00F15957">
        <w:rPr>
          <w:rStyle w:val="None"/>
          <w:rFonts w:ascii="Arial" w:hAnsi="Arial"/>
        </w:rPr>
        <w:t xml:space="preserve"> Pseudotime analysis results of cells belonging to R7, R5, and R15 in partition4.</w:t>
      </w:r>
    </w:p>
    <w:p w14:paraId="29BCAE89"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S1</w:t>
      </w:r>
      <w:r>
        <w:rPr>
          <w:rStyle w:val="None"/>
          <w:rFonts w:ascii="Arial" w:hAnsi="Arial"/>
          <w:b/>
          <w:bCs/>
        </w:rPr>
        <w:t>1</w:t>
      </w:r>
      <w:r w:rsidRPr="00F15957">
        <w:rPr>
          <w:rStyle w:val="None"/>
          <w:rFonts w:ascii="Arial" w:hAnsi="Arial"/>
        </w:rPr>
        <w:t xml:space="preserve"> Pseudotime analysis results of cells belonging to R7, R10, and R14 in partition1.</w:t>
      </w:r>
    </w:p>
    <w:p w14:paraId="46808E51"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S1</w:t>
      </w:r>
      <w:r>
        <w:rPr>
          <w:rStyle w:val="None"/>
          <w:rFonts w:ascii="Arial" w:hAnsi="Arial"/>
          <w:b/>
          <w:bCs/>
        </w:rPr>
        <w:t>2</w:t>
      </w:r>
      <w:r w:rsidRPr="00F15957">
        <w:rPr>
          <w:rStyle w:val="None"/>
          <w:rFonts w:ascii="Arial" w:hAnsi="Arial"/>
        </w:rPr>
        <w:t xml:space="preserve"> Clustering analysis results of genes whose expression change across pseudotime of spikelet formation.</w:t>
      </w:r>
    </w:p>
    <w:p w14:paraId="4CE09D61" w14:textId="77777777" w:rsidR="00125D72" w:rsidRPr="00F15957" w:rsidRDefault="00125D72" w:rsidP="00125D72">
      <w:pPr>
        <w:spacing w:line="360" w:lineRule="auto"/>
        <w:outlineLvl w:val="2"/>
        <w:rPr>
          <w:rStyle w:val="None"/>
          <w:rFonts w:ascii="Arial" w:eastAsiaTheme="minorEastAsia" w:hAnsi="Arial" w:cs="Arial"/>
        </w:rPr>
      </w:pPr>
      <w:r w:rsidRPr="00F15957">
        <w:rPr>
          <w:rStyle w:val="None"/>
          <w:rFonts w:ascii="Arial" w:hAnsi="Arial"/>
          <w:b/>
          <w:bCs/>
        </w:rPr>
        <w:t>Table S1</w:t>
      </w:r>
      <w:r>
        <w:rPr>
          <w:rStyle w:val="None"/>
          <w:rFonts w:ascii="Arial" w:hAnsi="Arial"/>
          <w:b/>
          <w:bCs/>
        </w:rPr>
        <w:t>3</w:t>
      </w:r>
      <w:r w:rsidRPr="00F15957">
        <w:rPr>
          <w:rStyle w:val="None"/>
          <w:rFonts w:ascii="Arial" w:hAnsi="Arial"/>
        </w:rPr>
        <w:t xml:space="preserve"> Clustering analysis results of genes whose expression change across pseudotime of floret formation.</w:t>
      </w:r>
    </w:p>
    <w:p w14:paraId="600277EA" w14:textId="77777777" w:rsidR="00125D72" w:rsidRPr="00F15957" w:rsidRDefault="00125D72" w:rsidP="00125D72">
      <w:pPr>
        <w:spacing w:line="360" w:lineRule="auto"/>
        <w:outlineLvl w:val="2"/>
        <w:rPr>
          <w:rStyle w:val="None"/>
          <w:rFonts w:ascii="Arial" w:eastAsiaTheme="minorEastAsia" w:hAnsi="Arial" w:cs="Arial"/>
          <w:b/>
          <w:bCs/>
        </w:rPr>
      </w:pPr>
      <w:r w:rsidRPr="00F15957">
        <w:rPr>
          <w:rStyle w:val="None"/>
          <w:rFonts w:ascii="Arial" w:hAnsi="Arial"/>
          <w:b/>
          <w:bCs/>
        </w:rPr>
        <w:t>Table S1</w:t>
      </w:r>
      <w:r>
        <w:rPr>
          <w:rStyle w:val="None"/>
          <w:rFonts w:ascii="Arial" w:hAnsi="Arial"/>
          <w:b/>
          <w:bCs/>
        </w:rPr>
        <w:t>4</w:t>
      </w:r>
      <w:r w:rsidRPr="00F15957">
        <w:rPr>
          <w:rStyle w:val="None"/>
          <w:rFonts w:ascii="Arial" w:hAnsi="Arial"/>
        </w:rPr>
        <w:t xml:space="preserve"> Gene expression levels and proportion of cells expressing each gene in snRNA-seq.</w:t>
      </w:r>
    </w:p>
    <w:p w14:paraId="59BF3881" w14:textId="77777777" w:rsidR="00125D72" w:rsidRPr="00F15957" w:rsidRDefault="00125D72" w:rsidP="00125D72">
      <w:pPr>
        <w:spacing w:line="360" w:lineRule="auto"/>
        <w:outlineLvl w:val="2"/>
        <w:rPr>
          <w:rStyle w:val="None"/>
          <w:rFonts w:ascii="Arial" w:eastAsiaTheme="minorEastAsia" w:hAnsi="Arial" w:cs="Arial"/>
        </w:rPr>
      </w:pPr>
      <w:r w:rsidRPr="00F15957">
        <w:rPr>
          <w:rStyle w:val="None"/>
          <w:rFonts w:ascii="Arial" w:hAnsi="Arial"/>
          <w:b/>
          <w:bCs/>
        </w:rPr>
        <w:t>Table S1</w:t>
      </w:r>
      <w:r>
        <w:rPr>
          <w:rStyle w:val="None"/>
          <w:rFonts w:ascii="Arial" w:hAnsi="Arial"/>
          <w:b/>
          <w:bCs/>
        </w:rPr>
        <w:t>5</w:t>
      </w:r>
      <w:r w:rsidRPr="00F15957">
        <w:rPr>
          <w:rStyle w:val="None"/>
          <w:rFonts w:ascii="Arial" w:hAnsi="Arial"/>
        </w:rPr>
        <w:t xml:space="preserve"> Chromatin accessibility of genes and proportion of cells with open chromatin in snATAC-seq.</w:t>
      </w:r>
    </w:p>
    <w:p w14:paraId="17E7874E" w14:textId="77777777" w:rsidR="00125D72" w:rsidRPr="00F15957" w:rsidRDefault="00125D72" w:rsidP="00125D72">
      <w:pPr>
        <w:spacing w:line="360" w:lineRule="auto"/>
        <w:outlineLvl w:val="2"/>
        <w:rPr>
          <w:rStyle w:val="None"/>
          <w:rFonts w:ascii="Arial" w:eastAsia="Arial" w:hAnsi="Arial" w:cs="Arial"/>
        </w:rPr>
      </w:pPr>
      <w:r w:rsidRPr="00F15957">
        <w:rPr>
          <w:rStyle w:val="None"/>
          <w:rFonts w:ascii="Arial" w:hAnsi="Arial"/>
          <w:b/>
          <w:bCs/>
        </w:rPr>
        <w:t>Table S1</w:t>
      </w:r>
      <w:r>
        <w:rPr>
          <w:rStyle w:val="None"/>
          <w:rFonts w:ascii="Arial" w:hAnsi="Arial"/>
          <w:b/>
          <w:bCs/>
        </w:rPr>
        <w:t>6</w:t>
      </w:r>
      <w:r w:rsidRPr="00F15957">
        <w:rPr>
          <w:rStyle w:val="None"/>
          <w:rFonts w:ascii="Arial" w:hAnsi="Arial"/>
        </w:rPr>
        <w:t xml:space="preserve"> The cell type specificity index of all expressed genes.</w:t>
      </w:r>
    </w:p>
    <w:p w14:paraId="283E7808" w14:textId="77777777" w:rsidR="00125D72" w:rsidRPr="00F15957" w:rsidRDefault="00125D72" w:rsidP="00125D72">
      <w:pPr>
        <w:spacing w:line="360" w:lineRule="auto"/>
        <w:outlineLvl w:val="2"/>
        <w:rPr>
          <w:rStyle w:val="None"/>
          <w:rFonts w:ascii="Arial" w:eastAsiaTheme="minorEastAsia" w:hAnsi="Arial" w:cs="Arial"/>
        </w:rPr>
      </w:pPr>
      <w:r w:rsidRPr="00F15957">
        <w:rPr>
          <w:rStyle w:val="None"/>
          <w:rFonts w:ascii="Arial" w:hAnsi="Arial"/>
          <w:b/>
          <w:bCs/>
        </w:rPr>
        <w:t>Table S1</w:t>
      </w:r>
      <w:r>
        <w:rPr>
          <w:rStyle w:val="None"/>
          <w:rFonts w:ascii="Arial" w:hAnsi="Arial"/>
          <w:b/>
          <w:bCs/>
        </w:rPr>
        <w:t>7</w:t>
      </w:r>
      <w:r w:rsidRPr="00F15957">
        <w:rPr>
          <w:rStyle w:val="None"/>
          <w:rFonts w:ascii="Arial" w:hAnsi="Arial"/>
        </w:rPr>
        <w:t xml:space="preserve"> Clustering analysis results of proximal cell type-specific ACRs identified in snATAC-seq.</w:t>
      </w:r>
    </w:p>
    <w:p w14:paraId="7F8F8353"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w:t>
      </w:r>
      <w:r>
        <w:rPr>
          <w:rStyle w:val="None"/>
          <w:rFonts w:ascii="Arial" w:hAnsi="Arial"/>
          <w:b/>
          <w:bCs/>
        </w:rPr>
        <w:t>18</w:t>
      </w:r>
      <w:r w:rsidRPr="00F15957">
        <w:rPr>
          <w:rStyle w:val="None"/>
          <w:rFonts w:ascii="Arial" w:hAnsi="Arial"/>
        </w:rPr>
        <w:t xml:space="preserve"> Enrichment of TF binding motifs within cell types-specific ACRs.</w:t>
      </w:r>
    </w:p>
    <w:p w14:paraId="3FADFEBD"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w:t>
      </w:r>
      <w:r>
        <w:rPr>
          <w:rStyle w:val="None"/>
          <w:rFonts w:ascii="Arial" w:hAnsi="Arial"/>
          <w:b/>
          <w:bCs/>
        </w:rPr>
        <w:t>19</w:t>
      </w:r>
      <w:r w:rsidRPr="00F15957">
        <w:rPr>
          <w:rStyle w:val="None"/>
          <w:rFonts w:ascii="Arial" w:hAnsi="Arial"/>
        </w:rPr>
        <w:t xml:space="preserve"> Cell type-specific TRN for spikelet formation.</w:t>
      </w:r>
    </w:p>
    <w:p w14:paraId="11126E9B"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S2</w:t>
      </w:r>
      <w:r>
        <w:rPr>
          <w:rStyle w:val="None"/>
          <w:rFonts w:ascii="Arial" w:hAnsi="Arial"/>
          <w:b/>
          <w:bCs/>
        </w:rPr>
        <w:t>0</w:t>
      </w:r>
      <w:r w:rsidRPr="00F15957">
        <w:rPr>
          <w:rStyle w:val="None"/>
          <w:rFonts w:ascii="Arial" w:hAnsi="Arial"/>
        </w:rPr>
        <w:t xml:space="preserve"> Cell type-specific TRN for floret formation.</w:t>
      </w:r>
    </w:p>
    <w:p w14:paraId="0B29F0E6"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S2</w:t>
      </w:r>
      <w:r>
        <w:rPr>
          <w:rStyle w:val="None"/>
          <w:rFonts w:ascii="Arial" w:hAnsi="Arial"/>
          <w:b/>
          <w:bCs/>
        </w:rPr>
        <w:t>1</w:t>
      </w:r>
      <w:r w:rsidRPr="00F15957">
        <w:rPr>
          <w:rStyle w:val="None"/>
          <w:rFonts w:ascii="Arial" w:hAnsi="Arial"/>
        </w:rPr>
        <w:t xml:space="preserve"> Association analysis between sequence variations within cTRN genes and SNS.</w:t>
      </w:r>
    </w:p>
    <w:p w14:paraId="630B710F"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S2</w:t>
      </w:r>
      <w:r>
        <w:rPr>
          <w:rStyle w:val="None"/>
          <w:rFonts w:ascii="Arial" w:hAnsi="Arial"/>
          <w:b/>
          <w:bCs/>
        </w:rPr>
        <w:t>2</w:t>
      </w:r>
      <w:r w:rsidRPr="00F15957">
        <w:rPr>
          <w:rStyle w:val="None"/>
          <w:rFonts w:ascii="Arial" w:hAnsi="Arial"/>
        </w:rPr>
        <w:t xml:space="preserve"> Annotation of ACRs identified in snATAC-seq.</w:t>
      </w:r>
    </w:p>
    <w:p w14:paraId="48FD2D8E" w14:textId="77777777" w:rsidR="00125D72" w:rsidRPr="00F15957" w:rsidRDefault="00125D72" w:rsidP="00125D72">
      <w:pPr>
        <w:spacing w:line="360" w:lineRule="auto"/>
        <w:outlineLvl w:val="2"/>
        <w:rPr>
          <w:rStyle w:val="None"/>
          <w:rFonts w:ascii="Arial" w:eastAsiaTheme="minorEastAsia" w:hAnsi="Arial" w:cs="Arial"/>
        </w:rPr>
      </w:pPr>
      <w:r w:rsidRPr="00F15957">
        <w:rPr>
          <w:rStyle w:val="None"/>
          <w:rFonts w:ascii="Arial" w:hAnsi="Arial"/>
          <w:b/>
          <w:bCs/>
        </w:rPr>
        <w:t>Table S2</w:t>
      </w:r>
      <w:r>
        <w:rPr>
          <w:rStyle w:val="None"/>
          <w:rFonts w:ascii="Arial" w:hAnsi="Arial"/>
          <w:b/>
          <w:bCs/>
        </w:rPr>
        <w:t>3</w:t>
      </w:r>
      <w:r w:rsidRPr="00F15957">
        <w:rPr>
          <w:rStyle w:val="None"/>
          <w:rFonts w:ascii="Arial" w:hAnsi="Arial"/>
        </w:rPr>
        <w:t xml:space="preserve"> Cell type-specific ACRs identified in snATAC-seq.</w:t>
      </w:r>
    </w:p>
    <w:p w14:paraId="33C98A03" w14:textId="77777777" w:rsidR="00125D72" w:rsidRPr="00F15957" w:rsidRDefault="00125D72" w:rsidP="00125D72">
      <w:pPr>
        <w:spacing w:line="360" w:lineRule="auto"/>
        <w:outlineLvl w:val="2"/>
        <w:rPr>
          <w:rStyle w:val="None"/>
          <w:rFonts w:ascii="Arial" w:eastAsia="Arial" w:hAnsi="Arial" w:cs="Arial"/>
        </w:rPr>
      </w:pPr>
      <w:r w:rsidRPr="00F15957">
        <w:rPr>
          <w:rStyle w:val="None"/>
          <w:rFonts w:ascii="Arial" w:hAnsi="Arial"/>
          <w:b/>
        </w:rPr>
        <w:t>Table S</w:t>
      </w:r>
      <w:r>
        <w:rPr>
          <w:rStyle w:val="None"/>
          <w:rFonts w:ascii="Arial" w:hAnsi="Arial"/>
          <w:b/>
        </w:rPr>
        <w:t>24</w:t>
      </w:r>
      <w:r w:rsidRPr="00F15957">
        <w:rPr>
          <w:rStyle w:val="None"/>
          <w:rFonts w:ascii="Arial" w:hAnsi="Arial"/>
        </w:rPr>
        <w:t xml:space="preserve"> Reported GWAS loci associated with wheat spike-related traits.</w:t>
      </w:r>
    </w:p>
    <w:p w14:paraId="55C05E5E" w14:textId="77777777" w:rsidR="00125D72" w:rsidRPr="00F15957" w:rsidRDefault="00125D72" w:rsidP="00125D72">
      <w:pPr>
        <w:spacing w:line="360" w:lineRule="auto"/>
        <w:outlineLvl w:val="2"/>
        <w:rPr>
          <w:rStyle w:val="None"/>
          <w:rFonts w:ascii="Arial" w:hAnsi="Arial"/>
        </w:rPr>
      </w:pPr>
      <w:r w:rsidRPr="00F15957">
        <w:rPr>
          <w:rStyle w:val="None"/>
          <w:rFonts w:ascii="Arial" w:hAnsi="Arial"/>
          <w:b/>
          <w:bCs/>
        </w:rPr>
        <w:t>Table S</w:t>
      </w:r>
      <w:r>
        <w:rPr>
          <w:rStyle w:val="None"/>
          <w:rFonts w:ascii="Arial" w:hAnsi="Arial"/>
          <w:b/>
          <w:bCs/>
        </w:rPr>
        <w:t>25</w:t>
      </w:r>
      <w:r w:rsidRPr="00F15957">
        <w:rPr>
          <w:rStyle w:val="None"/>
          <w:rFonts w:ascii="Arial" w:hAnsi="Arial"/>
        </w:rPr>
        <w:t xml:space="preserve"> Association analysis between sequence variations within cell type-specific ACRs and SNS.</w:t>
      </w:r>
    </w:p>
    <w:p w14:paraId="4FF12EB7" w14:textId="77777777" w:rsidR="00125D72" w:rsidRPr="00BA4B68" w:rsidRDefault="00125D72" w:rsidP="00125D72">
      <w:pPr>
        <w:spacing w:line="360" w:lineRule="auto"/>
        <w:outlineLvl w:val="2"/>
        <w:rPr>
          <w:rFonts w:ascii="Arial" w:eastAsiaTheme="minorEastAsia" w:hAnsi="Arial" w:cs="Arial"/>
        </w:rPr>
      </w:pPr>
      <w:r w:rsidRPr="00F15957">
        <w:rPr>
          <w:rStyle w:val="None"/>
          <w:rFonts w:ascii="Arial" w:hAnsi="Arial"/>
          <w:b/>
        </w:rPr>
        <w:t>Table S</w:t>
      </w:r>
      <w:r>
        <w:rPr>
          <w:rStyle w:val="None"/>
          <w:rFonts w:ascii="Arial" w:hAnsi="Arial"/>
          <w:b/>
        </w:rPr>
        <w:t>26</w:t>
      </w:r>
      <w:r w:rsidRPr="00F15957">
        <w:rPr>
          <w:rStyle w:val="None"/>
          <w:rFonts w:ascii="Arial" w:hAnsi="Arial"/>
        </w:rPr>
        <w:t xml:space="preserve"> Primers used in this study.</w:t>
      </w:r>
    </w:p>
    <w:p w14:paraId="38D28354" w14:textId="77777777" w:rsidR="00755780" w:rsidRDefault="00755780"/>
    <w:sectPr w:rsidR="00755780" w:rsidSect="00125D72">
      <w:pgSz w:w="11900" w:h="16840"/>
      <w:pgMar w:top="1440" w:right="1800" w:bottom="1440" w:left="1800" w:header="851" w:footer="992" w:gutter="0"/>
      <w:lnNumType w:countBy="1" w:restart="continuous"/>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D72"/>
    <w:rsid w:val="00125D72"/>
    <w:rsid w:val="00331A6B"/>
    <w:rsid w:val="00755780"/>
    <w:rsid w:val="00857596"/>
    <w:rsid w:val="00BA4C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95187"/>
  <w15:chartTrackingRefBased/>
  <w15:docId w15:val="{2F02A0CE-3193-4AD8-98C8-FA2E8E6EA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25D72"/>
    <w:pPr>
      <w:widowControl w:val="0"/>
      <w:pBdr>
        <w:top w:val="nil"/>
        <w:left w:val="nil"/>
        <w:bottom w:val="nil"/>
        <w:right w:val="nil"/>
        <w:between w:val="nil"/>
        <w:bar w:val="nil"/>
      </w:pBdr>
      <w:spacing w:after="0" w:line="240" w:lineRule="auto"/>
      <w:jc w:val="both"/>
    </w:pPr>
    <w:rPr>
      <w:rFonts w:ascii="DengXian" w:eastAsia="DengXian" w:hAnsi="DengXian" w:cs="DengXian"/>
      <w:color w:val="000000"/>
      <w:sz w:val="21"/>
      <w:szCs w:val="21"/>
      <w:u w:color="000000"/>
      <w:bdr w:val="nil"/>
      <w:lang w:eastAsia="zh-CN"/>
      <w14:ligatures w14:val="none"/>
    </w:rPr>
  </w:style>
  <w:style w:type="paragraph" w:styleId="Heading1">
    <w:name w:val="heading 1"/>
    <w:basedOn w:val="Normal"/>
    <w:next w:val="Normal"/>
    <w:link w:val="Heading1Char"/>
    <w:uiPriority w:val="9"/>
    <w:qFormat/>
    <w:rsid w:val="00125D72"/>
    <w:pPr>
      <w:keepNext/>
      <w:keepLines/>
      <w:widowControl/>
      <w:pBdr>
        <w:top w:val="none" w:sz="0" w:space="0" w:color="auto"/>
        <w:left w:val="none" w:sz="0" w:space="0" w:color="auto"/>
        <w:bottom w:val="none" w:sz="0" w:space="0" w:color="auto"/>
        <w:right w:val="none" w:sz="0" w:space="0" w:color="auto"/>
        <w:between w:val="none" w:sz="0" w:space="0" w:color="auto"/>
        <w:bar w:val="none" w:sz="0" w:color="auto"/>
      </w:pBdr>
      <w:spacing w:before="360" w:after="80" w:line="259" w:lineRule="auto"/>
      <w:jc w:val="left"/>
      <w:outlineLvl w:val="0"/>
    </w:pPr>
    <w:rPr>
      <w:rFonts w:asciiTheme="majorHAnsi" w:eastAsiaTheme="majorEastAsia" w:hAnsiTheme="majorHAnsi" w:cstheme="majorBidi"/>
      <w:color w:val="0F4761" w:themeColor="accent1" w:themeShade="BF"/>
      <w:sz w:val="40"/>
      <w:szCs w:val="40"/>
      <w:bdr w:val="none" w:sz="0" w:space="0" w:color="auto"/>
      <w:lang w:eastAsia="en-US"/>
      <w14:ligatures w14:val="standardContextual"/>
    </w:rPr>
  </w:style>
  <w:style w:type="paragraph" w:styleId="Heading2">
    <w:name w:val="heading 2"/>
    <w:basedOn w:val="Normal"/>
    <w:next w:val="Normal"/>
    <w:link w:val="Heading2Char"/>
    <w:uiPriority w:val="9"/>
    <w:semiHidden/>
    <w:unhideWhenUsed/>
    <w:qFormat/>
    <w:rsid w:val="00125D72"/>
    <w:pPr>
      <w:keepNext/>
      <w:keepLines/>
      <w:widowControl/>
      <w:pBdr>
        <w:top w:val="none" w:sz="0" w:space="0" w:color="auto"/>
        <w:left w:val="none" w:sz="0" w:space="0" w:color="auto"/>
        <w:bottom w:val="none" w:sz="0" w:space="0" w:color="auto"/>
        <w:right w:val="none" w:sz="0" w:space="0" w:color="auto"/>
        <w:between w:val="none" w:sz="0" w:space="0" w:color="auto"/>
        <w:bar w:val="none" w:sz="0" w:color="auto"/>
      </w:pBdr>
      <w:spacing w:before="160" w:after="80" w:line="259" w:lineRule="auto"/>
      <w:jc w:val="left"/>
      <w:outlineLvl w:val="1"/>
    </w:pPr>
    <w:rPr>
      <w:rFonts w:asciiTheme="majorHAnsi" w:eastAsiaTheme="majorEastAsia" w:hAnsiTheme="majorHAnsi" w:cstheme="majorBidi"/>
      <w:color w:val="0F4761" w:themeColor="accent1" w:themeShade="BF"/>
      <w:sz w:val="32"/>
      <w:szCs w:val="32"/>
      <w:bdr w:val="none" w:sz="0" w:space="0" w:color="auto"/>
      <w:lang w:eastAsia="en-US"/>
      <w14:ligatures w14:val="standardContextual"/>
    </w:rPr>
  </w:style>
  <w:style w:type="paragraph" w:styleId="Heading3">
    <w:name w:val="heading 3"/>
    <w:basedOn w:val="Normal"/>
    <w:next w:val="Normal"/>
    <w:link w:val="Heading3Char"/>
    <w:uiPriority w:val="9"/>
    <w:semiHidden/>
    <w:unhideWhenUsed/>
    <w:qFormat/>
    <w:rsid w:val="00125D72"/>
    <w:pPr>
      <w:keepNext/>
      <w:keepLines/>
      <w:widowControl/>
      <w:pBdr>
        <w:top w:val="none" w:sz="0" w:space="0" w:color="auto"/>
        <w:left w:val="none" w:sz="0" w:space="0" w:color="auto"/>
        <w:bottom w:val="none" w:sz="0" w:space="0" w:color="auto"/>
        <w:right w:val="none" w:sz="0" w:space="0" w:color="auto"/>
        <w:between w:val="none" w:sz="0" w:space="0" w:color="auto"/>
        <w:bar w:val="none" w:sz="0" w:color="auto"/>
      </w:pBdr>
      <w:spacing w:before="160" w:after="80" w:line="259" w:lineRule="auto"/>
      <w:jc w:val="left"/>
      <w:outlineLvl w:val="2"/>
    </w:pPr>
    <w:rPr>
      <w:rFonts w:asciiTheme="minorHAnsi" w:eastAsiaTheme="majorEastAsia" w:hAnsiTheme="minorHAnsi" w:cstheme="majorBidi"/>
      <w:color w:val="0F4761" w:themeColor="accent1" w:themeShade="BF"/>
      <w:sz w:val="28"/>
      <w:szCs w:val="28"/>
      <w:bdr w:val="none" w:sz="0" w:space="0" w:color="auto"/>
      <w:lang w:eastAsia="en-US"/>
      <w14:ligatures w14:val="standardContextual"/>
    </w:rPr>
  </w:style>
  <w:style w:type="paragraph" w:styleId="Heading4">
    <w:name w:val="heading 4"/>
    <w:basedOn w:val="Normal"/>
    <w:next w:val="Normal"/>
    <w:link w:val="Heading4Char"/>
    <w:uiPriority w:val="9"/>
    <w:semiHidden/>
    <w:unhideWhenUsed/>
    <w:qFormat/>
    <w:rsid w:val="00125D72"/>
    <w:pPr>
      <w:keepNext/>
      <w:keepLines/>
      <w:widowControl/>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jc w:val="left"/>
      <w:outlineLvl w:val="3"/>
    </w:pPr>
    <w:rPr>
      <w:rFonts w:asciiTheme="minorHAnsi" w:eastAsiaTheme="majorEastAsia" w:hAnsiTheme="minorHAnsi" w:cstheme="majorBidi"/>
      <w:i/>
      <w:iCs/>
      <w:color w:val="0F4761" w:themeColor="accent1" w:themeShade="BF"/>
      <w:sz w:val="22"/>
      <w:szCs w:val="22"/>
      <w:bdr w:val="none" w:sz="0" w:space="0" w:color="auto"/>
      <w:lang w:eastAsia="en-US"/>
      <w14:ligatures w14:val="standardContextual"/>
    </w:rPr>
  </w:style>
  <w:style w:type="paragraph" w:styleId="Heading5">
    <w:name w:val="heading 5"/>
    <w:basedOn w:val="Normal"/>
    <w:next w:val="Normal"/>
    <w:link w:val="Heading5Char"/>
    <w:uiPriority w:val="9"/>
    <w:semiHidden/>
    <w:unhideWhenUsed/>
    <w:qFormat/>
    <w:rsid w:val="00125D72"/>
    <w:pPr>
      <w:keepNext/>
      <w:keepLines/>
      <w:widowControl/>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jc w:val="left"/>
      <w:outlineLvl w:val="4"/>
    </w:pPr>
    <w:rPr>
      <w:rFonts w:asciiTheme="minorHAnsi" w:eastAsiaTheme="majorEastAsia" w:hAnsiTheme="minorHAnsi" w:cstheme="majorBidi"/>
      <w:color w:val="0F4761" w:themeColor="accent1" w:themeShade="BF"/>
      <w:sz w:val="22"/>
      <w:szCs w:val="22"/>
      <w:bdr w:val="none" w:sz="0" w:space="0" w:color="auto"/>
      <w:lang w:eastAsia="en-US"/>
      <w14:ligatures w14:val="standardContextual"/>
    </w:rPr>
  </w:style>
  <w:style w:type="paragraph" w:styleId="Heading6">
    <w:name w:val="heading 6"/>
    <w:basedOn w:val="Normal"/>
    <w:next w:val="Normal"/>
    <w:link w:val="Heading6Char"/>
    <w:uiPriority w:val="9"/>
    <w:semiHidden/>
    <w:unhideWhenUsed/>
    <w:qFormat/>
    <w:rsid w:val="00125D72"/>
    <w:pPr>
      <w:keepNext/>
      <w:keepLines/>
      <w:widowControl/>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jc w:val="left"/>
      <w:outlineLvl w:val="5"/>
    </w:pPr>
    <w:rPr>
      <w:rFonts w:asciiTheme="minorHAnsi" w:eastAsiaTheme="majorEastAsia" w:hAnsiTheme="minorHAnsi" w:cstheme="majorBidi"/>
      <w:i/>
      <w:iCs/>
      <w:color w:val="595959" w:themeColor="text1" w:themeTint="A6"/>
      <w:sz w:val="22"/>
      <w:szCs w:val="22"/>
      <w:bdr w:val="none" w:sz="0" w:space="0" w:color="auto"/>
      <w:lang w:eastAsia="en-US"/>
      <w14:ligatures w14:val="standardContextual"/>
    </w:rPr>
  </w:style>
  <w:style w:type="paragraph" w:styleId="Heading7">
    <w:name w:val="heading 7"/>
    <w:basedOn w:val="Normal"/>
    <w:next w:val="Normal"/>
    <w:link w:val="Heading7Char"/>
    <w:uiPriority w:val="9"/>
    <w:semiHidden/>
    <w:unhideWhenUsed/>
    <w:qFormat/>
    <w:rsid w:val="00125D72"/>
    <w:pPr>
      <w:keepNext/>
      <w:keepLines/>
      <w:widowControl/>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jc w:val="left"/>
      <w:outlineLvl w:val="6"/>
    </w:pPr>
    <w:rPr>
      <w:rFonts w:asciiTheme="minorHAnsi" w:eastAsiaTheme="majorEastAsia" w:hAnsiTheme="minorHAnsi" w:cstheme="majorBidi"/>
      <w:color w:val="595959" w:themeColor="text1" w:themeTint="A6"/>
      <w:sz w:val="22"/>
      <w:szCs w:val="22"/>
      <w:bdr w:val="none" w:sz="0" w:space="0" w:color="auto"/>
      <w:lang w:eastAsia="en-US"/>
      <w14:ligatures w14:val="standardContextual"/>
    </w:rPr>
  </w:style>
  <w:style w:type="paragraph" w:styleId="Heading8">
    <w:name w:val="heading 8"/>
    <w:basedOn w:val="Normal"/>
    <w:next w:val="Normal"/>
    <w:link w:val="Heading8Char"/>
    <w:uiPriority w:val="9"/>
    <w:semiHidden/>
    <w:unhideWhenUsed/>
    <w:qFormat/>
    <w:rsid w:val="00125D72"/>
    <w:pPr>
      <w:keepNext/>
      <w:keepLines/>
      <w:widowControl/>
      <w:pBdr>
        <w:top w:val="none" w:sz="0" w:space="0" w:color="auto"/>
        <w:left w:val="none" w:sz="0" w:space="0" w:color="auto"/>
        <w:bottom w:val="none" w:sz="0" w:space="0" w:color="auto"/>
        <w:right w:val="none" w:sz="0" w:space="0" w:color="auto"/>
        <w:between w:val="none" w:sz="0" w:space="0" w:color="auto"/>
        <w:bar w:val="none" w:sz="0" w:color="auto"/>
      </w:pBdr>
      <w:spacing w:line="259" w:lineRule="auto"/>
      <w:jc w:val="left"/>
      <w:outlineLvl w:val="7"/>
    </w:pPr>
    <w:rPr>
      <w:rFonts w:asciiTheme="minorHAnsi" w:eastAsiaTheme="majorEastAsia" w:hAnsiTheme="minorHAnsi" w:cstheme="majorBidi"/>
      <w:i/>
      <w:iCs/>
      <w:color w:val="272727" w:themeColor="text1" w:themeTint="D8"/>
      <w:sz w:val="22"/>
      <w:szCs w:val="22"/>
      <w:bdr w:val="none" w:sz="0" w:space="0" w:color="auto"/>
      <w:lang w:eastAsia="en-US"/>
      <w14:ligatures w14:val="standardContextual"/>
    </w:rPr>
  </w:style>
  <w:style w:type="paragraph" w:styleId="Heading9">
    <w:name w:val="heading 9"/>
    <w:basedOn w:val="Normal"/>
    <w:next w:val="Normal"/>
    <w:link w:val="Heading9Char"/>
    <w:uiPriority w:val="9"/>
    <w:semiHidden/>
    <w:unhideWhenUsed/>
    <w:qFormat/>
    <w:rsid w:val="00125D72"/>
    <w:pPr>
      <w:keepNext/>
      <w:keepLines/>
      <w:widowControl/>
      <w:pBdr>
        <w:top w:val="none" w:sz="0" w:space="0" w:color="auto"/>
        <w:left w:val="none" w:sz="0" w:space="0" w:color="auto"/>
        <w:bottom w:val="none" w:sz="0" w:space="0" w:color="auto"/>
        <w:right w:val="none" w:sz="0" w:space="0" w:color="auto"/>
        <w:between w:val="none" w:sz="0" w:space="0" w:color="auto"/>
        <w:bar w:val="none" w:sz="0" w:color="auto"/>
      </w:pBdr>
      <w:spacing w:line="259" w:lineRule="auto"/>
      <w:jc w:val="left"/>
      <w:outlineLvl w:val="8"/>
    </w:pPr>
    <w:rPr>
      <w:rFonts w:asciiTheme="minorHAnsi" w:eastAsiaTheme="majorEastAsia" w:hAnsiTheme="minorHAnsi" w:cstheme="majorBidi"/>
      <w:color w:val="272727" w:themeColor="text1" w:themeTint="D8"/>
      <w:sz w:val="22"/>
      <w:szCs w:val="22"/>
      <w:bdr w:val="none" w:sz="0" w:space="0" w:color="auto"/>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5D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5D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5D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5D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5D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5D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5D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5D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5D72"/>
    <w:rPr>
      <w:rFonts w:eastAsiaTheme="majorEastAsia" w:cstheme="majorBidi"/>
      <w:color w:val="272727" w:themeColor="text1" w:themeTint="D8"/>
    </w:rPr>
  </w:style>
  <w:style w:type="paragraph" w:styleId="Title">
    <w:name w:val="Title"/>
    <w:basedOn w:val="Normal"/>
    <w:next w:val="Normal"/>
    <w:link w:val="TitleChar"/>
    <w:uiPriority w:val="10"/>
    <w:qFormat/>
    <w:rsid w:val="00125D72"/>
    <w:pPr>
      <w:widowControl/>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jc w:val="left"/>
    </w:pPr>
    <w:rPr>
      <w:rFonts w:asciiTheme="majorHAnsi" w:eastAsiaTheme="majorEastAsia" w:hAnsiTheme="majorHAnsi" w:cstheme="majorBidi"/>
      <w:color w:val="auto"/>
      <w:spacing w:val="-10"/>
      <w:kern w:val="28"/>
      <w:sz w:val="56"/>
      <w:szCs w:val="56"/>
      <w:bdr w:val="none" w:sz="0" w:space="0" w:color="auto"/>
      <w:lang w:eastAsia="en-US"/>
      <w14:ligatures w14:val="standardContextual"/>
    </w:rPr>
  </w:style>
  <w:style w:type="character" w:customStyle="1" w:styleId="TitleChar">
    <w:name w:val="Title Char"/>
    <w:basedOn w:val="DefaultParagraphFont"/>
    <w:link w:val="Title"/>
    <w:uiPriority w:val="10"/>
    <w:rsid w:val="00125D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5D72"/>
    <w:pPr>
      <w:widowControl/>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left"/>
    </w:pPr>
    <w:rPr>
      <w:rFonts w:asciiTheme="minorHAnsi" w:eastAsiaTheme="majorEastAsia" w:hAnsiTheme="minorHAnsi" w:cstheme="majorBidi"/>
      <w:color w:val="595959" w:themeColor="text1" w:themeTint="A6"/>
      <w:spacing w:val="15"/>
      <w:sz w:val="28"/>
      <w:szCs w:val="28"/>
      <w:bdr w:val="none" w:sz="0" w:space="0" w:color="auto"/>
      <w:lang w:eastAsia="en-US"/>
      <w14:ligatures w14:val="standardContextual"/>
    </w:rPr>
  </w:style>
  <w:style w:type="character" w:customStyle="1" w:styleId="SubtitleChar">
    <w:name w:val="Subtitle Char"/>
    <w:basedOn w:val="DefaultParagraphFont"/>
    <w:link w:val="Subtitle"/>
    <w:uiPriority w:val="11"/>
    <w:rsid w:val="00125D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5D72"/>
    <w:pPr>
      <w:widowControl/>
      <w:pBdr>
        <w:top w:val="none" w:sz="0" w:space="0" w:color="auto"/>
        <w:left w:val="none" w:sz="0" w:space="0" w:color="auto"/>
        <w:bottom w:val="none" w:sz="0" w:space="0" w:color="auto"/>
        <w:right w:val="none" w:sz="0" w:space="0" w:color="auto"/>
        <w:between w:val="none" w:sz="0" w:space="0" w:color="auto"/>
        <w:bar w:val="none" w:sz="0" w:color="auto"/>
      </w:pBdr>
      <w:spacing w:before="160" w:after="160" w:line="259" w:lineRule="auto"/>
      <w:jc w:val="center"/>
    </w:pPr>
    <w:rPr>
      <w:rFonts w:asciiTheme="minorHAnsi" w:eastAsiaTheme="minorHAnsi" w:hAnsiTheme="minorHAnsi" w:cstheme="minorBidi"/>
      <w:i/>
      <w:iCs/>
      <w:color w:val="404040" w:themeColor="text1" w:themeTint="BF"/>
      <w:sz w:val="22"/>
      <w:szCs w:val="22"/>
      <w:bdr w:val="none" w:sz="0" w:space="0" w:color="auto"/>
      <w:lang w:eastAsia="en-US"/>
      <w14:ligatures w14:val="standardContextual"/>
    </w:rPr>
  </w:style>
  <w:style w:type="character" w:customStyle="1" w:styleId="QuoteChar">
    <w:name w:val="Quote Char"/>
    <w:basedOn w:val="DefaultParagraphFont"/>
    <w:link w:val="Quote"/>
    <w:uiPriority w:val="29"/>
    <w:rsid w:val="00125D72"/>
    <w:rPr>
      <w:i/>
      <w:iCs/>
      <w:color w:val="404040" w:themeColor="text1" w:themeTint="BF"/>
    </w:rPr>
  </w:style>
  <w:style w:type="paragraph" w:styleId="ListParagraph">
    <w:name w:val="List Paragraph"/>
    <w:basedOn w:val="Normal"/>
    <w:uiPriority w:val="34"/>
    <w:qFormat/>
    <w:rsid w:val="00125D72"/>
    <w:pPr>
      <w:widowControl/>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jc w:val="left"/>
    </w:pPr>
    <w:rPr>
      <w:rFonts w:asciiTheme="minorHAnsi" w:eastAsiaTheme="minorHAnsi" w:hAnsiTheme="minorHAnsi" w:cstheme="minorBidi"/>
      <w:color w:val="auto"/>
      <w:sz w:val="22"/>
      <w:szCs w:val="22"/>
      <w:bdr w:val="none" w:sz="0" w:space="0" w:color="auto"/>
      <w:lang w:eastAsia="en-US"/>
      <w14:ligatures w14:val="standardContextual"/>
    </w:rPr>
  </w:style>
  <w:style w:type="character" w:styleId="IntenseEmphasis">
    <w:name w:val="Intense Emphasis"/>
    <w:basedOn w:val="DefaultParagraphFont"/>
    <w:uiPriority w:val="21"/>
    <w:qFormat/>
    <w:rsid w:val="00125D72"/>
    <w:rPr>
      <w:i/>
      <w:iCs/>
      <w:color w:val="0F4761" w:themeColor="accent1" w:themeShade="BF"/>
    </w:rPr>
  </w:style>
  <w:style w:type="paragraph" w:styleId="IntenseQuote">
    <w:name w:val="Intense Quote"/>
    <w:basedOn w:val="Normal"/>
    <w:next w:val="Normal"/>
    <w:link w:val="IntenseQuoteChar"/>
    <w:uiPriority w:val="30"/>
    <w:qFormat/>
    <w:rsid w:val="00125D72"/>
    <w:pPr>
      <w:widowControl/>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line="259" w:lineRule="auto"/>
      <w:ind w:left="864" w:right="864"/>
      <w:jc w:val="center"/>
    </w:pPr>
    <w:rPr>
      <w:rFonts w:asciiTheme="minorHAnsi" w:eastAsiaTheme="minorHAnsi" w:hAnsiTheme="minorHAnsi" w:cstheme="minorBidi"/>
      <w:i/>
      <w:iCs/>
      <w:color w:val="0F4761" w:themeColor="accent1" w:themeShade="BF"/>
      <w:sz w:val="22"/>
      <w:szCs w:val="22"/>
      <w:bdr w:val="none" w:sz="0" w:space="0" w:color="auto"/>
      <w:lang w:eastAsia="en-US"/>
      <w14:ligatures w14:val="standardContextual"/>
    </w:rPr>
  </w:style>
  <w:style w:type="character" w:customStyle="1" w:styleId="IntenseQuoteChar">
    <w:name w:val="Intense Quote Char"/>
    <w:basedOn w:val="DefaultParagraphFont"/>
    <w:link w:val="IntenseQuote"/>
    <w:uiPriority w:val="30"/>
    <w:rsid w:val="00125D72"/>
    <w:rPr>
      <w:i/>
      <w:iCs/>
      <w:color w:val="0F4761" w:themeColor="accent1" w:themeShade="BF"/>
    </w:rPr>
  </w:style>
  <w:style w:type="character" w:styleId="IntenseReference">
    <w:name w:val="Intense Reference"/>
    <w:basedOn w:val="DefaultParagraphFont"/>
    <w:uiPriority w:val="32"/>
    <w:qFormat/>
    <w:rsid w:val="00125D72"/>
    <w:rPr>
      <w:b/>
      <w:bCs/>
      <w:smallCaps/>
      <w:color w:val="0F4761" w:themeColor="accent1" w:themeShade="BF"/>
      <w:spacing w:val="5"/>
    </w:rPr>
  </w:style>
  <w:style w:type="character" w:customStyle="1" w:styleId="None">
    <w:name w:val="None"/>
    <w:rsid w:val="00125D72"/>
  </w:style>
  <w:style w:type="character" w:styleId="LineNumber">
    <w:name w:val="line number"/>
    <w:basedOn w:val="DefaultParagraphFont"/>
    <w:uiPriority w:val="99"/>
    <w:semiHidden/>
    <w:unhideWhenUsed/>
    <w:rsid w:val="00125D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1846</Words>
  <Characters>10528</Characters>
  <Application>Microsoft Office Word</Application>
  <DocSecurity>0</DocSecurity>
  <Lines>87</Lines>
  <Paragraphs>24</Paragraphs>
  <ScaleCrop>false</ScaleCrop>
  <Company>Springer Nature</Company>
  <LinksUpToDate>false</LinksUpToDate>
  <CharactersWithSpaces>12350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2025-03-12T06:56:00Z</dcterms:created>
  <dcterms:modified xsi:type="dcterms:W3CDTF">2025-03-12T06:57:00Z</dcterms:modified>
</cp:coreProperties>
</file>