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15EC9" w14:textId="4F02C639" w:rsidR="009D2D6B" w:rsidRDefault="00EB40B8">
      <w:pPr>
        <w:rPr>
          <w:b/>
          <w:bCs/>
        </w:rPr>
      </w:pPr>
      <w:r>
        <w:rPr>
          <w:b/>
          <w:bCs/>
        </w:rPr>
        <w:t>M</w:t>
      </w:r>
      <w:r w:rsidRPr="00EB40B8">
        <w:rPr>
          <w:b/>
          <w:bCs/>
        </w:rPr>
        <w:t xml:space="preserve">ethod </w:t>
      </w:r>
      <w:r>
        <w:rPr>
          <w:b/>
          <w:bCs/>
        </w:rPr>
        <w:t>D</w:t>
      </w:r>
      <w:r w:rsidRPr="00EB40B8">
        <w:rPr>
          <w:b/>
          <w:bCs/>
        </w:rPr>
        <w:t>etails</w:t>
      </w:r>
    </w:p>
    <w:p w14:paraId="4DDD9F38" w14:textId="77777777" w:rsidR="00EB40B8" w:rsidRDefault="00EB40B8" w:rsidP="00EB40B8">
      <w:pPr>
        <w:rPr>
          <w:b/>
          <w:bCs/>
        </w:rPr>
      </w:pPr>
      <w:r>
        <w:rPr>
          <w:b/>
          <w:bCs/>
        </w:rPr>
        <w:t>1 Data collection</w:t>
      </w:r>
    </w:p>
    <w:p w14:paraId="504F2E53" w14:textId="6B8DDFB6" w:rsidR="00EB40B8" w:rsidRDefault="00EB40B8">
      <w:bookmarkStart w:id="0" w:name="_Hlk195047380"/>
      <w:r>
        <w:t xml:space="preserve">Publicly available </w:t>
      </w:r>
      <w:proofErr w:type="spellStart"/>
      <w:r>
        <w:t>scRNA</w:t>
      </w:r>
      <w:proofErr w:type="spellEnd"/>
      <w:r>
        <w:t xml:space="preserve">-seq dataset of GSE215403 was obtained from </w:t>
      </w:r>
      <w:proofErr w:type="spellStart"/>
      <w:r>
        <w:t>Kurkalang</w:t>
      </w:r>
      <w:proofErr w:type="spellEnd"/>
      <w:r>
        <w:t xml:space="preserve"> et al, 2023 </w:t>
      </w:r>
      <w:r>
        <w:fldChar w:fldCharType="begin"/>
      </w:r>
      <w:r w:rsidR="001233E5">
        <w:instrText xml:space="preserve"> ADDIN ZOTERO_ITEM CSL_CITATION {"citationID":"sx3DCQBM","properties":{"formattedCitation":"[1]","plainCitation":"[1]","noteIndex":0},"citationItems":[{"id":366,"uris":["http://zotero.org/users/local/eqnvYy5m/items/SVTGB5ME"],"itemData":{"id":366,"type":"article-journal","abstract":"Oral squamous cell carcinoma of the gingivo-buccal region (OSCC-GB) is the most common cancer among men in India, and is associated with poor prognosis and frequent recurrence. Cellular heterogeneity in OSCC-GB was investigated by single-cell RNA sequencing of tumors derived from the oral cavity of 12 OSCC-GB patients, 3 of whom had concomitant presence of a precancerous lesion (oral submucous fibrosis [OSMF]). Unique malignant cell types, features, and phenotypic shifts in the stromal cell population were identified in oral tumors with associated submucous fibrosis. Expression levels of FOS, ATP1A, and DUSP1 provided robust discrimination between tumors with or without the concomitant presence of OSMF. Malignant cell populations shared between tumors with and without OSMF were enriched with the expression of partial epithelial-mesenchymal transition (pEMT) or fetal cell type signatures indicative of two dominant cellular programs in OSCC-GB-pEMT and fetal cellular reprogramming. Malignant cells exhibiting fetal cellular and pEMT programs were enriched with the expression of immune-related pathway genes known to be involved in antitumor immune response. In the tumor microenvironment, higher infiltration of immune cells than the stromal cells was observed. The T cell population was large in tumors and diverse subtypes of T cells with varying levels of infiltration were found. We also detected double-negative PLCG2+ T cells and cells with intermediate M1-M2 macrophage polarization. Our findings shed light on unique aspects of cellular heterogeneity and cell states in OSCC-GB.","container-title":"Cancer Science","DOI":"10.1111/cas.15979","ISSN":"1349-7006","issue":"12","journalAbbreviation":"Cancer Sci","language":"en-US","note":"PMID: 37792582\nPMCID: PMC10728019","page":"4732-4746","source":"PubMed","title":"Single-cell transcriptomic analysis of gingivo-buccal oral cancer reveals two dominant cellular programs","volume":"114","author":[{"family":"Kurkalang","given":"Sillarine"},{"family":"Roy","given":"Sumitava"},{"family":"Acharya","given":"Arunima"},{"family":"Mazumder","given":"Paramita"},{"family":"Mazumder","given":"Somnath"},{"family":"Patra","given":"Subrata"},{"family":"Ghosh","given":"Shekhar"},{"family":"Sarkar","given":"Sumanta"},{"family":"Kundu","given":"Sudip"},{"family":"Biswas","given":"Nidhan Kumar"},{"family":"Ghose","given":"Sandip"},{"family":"Majumder","given":"Partha P."},{"family":"Maitra","given":"Arindam"}],"issued":{"date-parts":[["2023",12]]}}}],"schema":"https://github.com/citation-style-language/schema/raw/master/csl-citation.json"} </w:instrText>
      </w:r>
      <w:r>
        <w:fldChar w:fldCharType="separate"/>
      </w:r>
      <w:r w:rsidR="001233E5" w:rsidRPr="001233E5">
        <w:rPr>
          <w:rFonts w:ascii="Calibri" w:hAnsi="Calibri" w:cs="Calibri"/>
        </w:rPr>
        <w:t>[1]</w:t>
      </w:r>
      <w:r>
        <w:fldChar w:fldCharType="end"/>
      </w:r>
      <w:r>
        <w:t xml:space="preserve"> and ST dataset of GSE220978 was obtained from </w:t>
      </w:r>
      <w:proofErr w:type="spellStart"/>
      <w:r>
        <w:t>Zhi</w:t>
      </w:r>
      <w:proofErr w:type="spellEnd"/>
      <w:r>
        <w:t xml:space="preserve"> et al, 2024</w:t>
      </w:r>
      <w:r w:rsidR="001233E5">
        <w:t xml:space="preserve"> </w:t>
      </w:r>
      <w:r>
        <w:fldChar w:fldCharType="begin"/>
      </w:r>
      <w:r w:rsidR="001233E5">
        <w:instrText xml:space="preserve"> ADDIN ZOTERO_ITEM CSL_CITATION {"citationID":"xVPMtV0v","properties":{"formattedCitation":"[2]","plainCitation":"[2]","noteIndex":0},"citationItems":[{"id":372,"uris":["http://zotero.org/users/local/eqnvYy5m/items/JFJWVS3F"],"itemData":{"id":372,"type":"article-journal","abstract":"In South and Southeast Asia, the habit of chewing betel nuts is prevalent, which leads to oral submucous fibrosis (OSF). OSF is a well-established precancerous lesion, and a portion of OSF cases eventually progress to oral squamous cell carcinoma (OSCC). However, the specific molecular mechanisms underlying the malignant transformation of OSCC from OSF are poorly understood. In this study, the leading-edge techniques of Spatial Transcriptomics (ST) and Spatial Metabolomics (SM) are integrated to obtain spatial location information of cancer cells, fibroblasts, and immune cells, as well as the transcriptomic and metabolomic landscapes in OSF-derived OSCC tissues. This work reveals for the first time that some OSF-derived OSCC cells undergo partial epithelial-mesenchymal transition (pEMT) within the in situ carcinoma (ISC) region, eventually acquiring fibroblast-like phenotypes and participating in collagen deposition. Complex interactions among epithelial cells, fibroblasts, and immune cells in the tumor microenvironment are demonstrated. Most importantly, significant metabolic reprogramming in OSF-derived OSCC, including abnormal polyamine metabolism, potentially playing a pivotal role in promoting tumorigenesis and immune evasion is discovered. The ST and SM data in this study shed new light on deciphering the mechanisms of OSF-derived OSCC. The work also offers invaluable clues for the prevention and treatment of OSCC.","container-title":"Advanced Science (Weinheim, Baden-Wurttemberg, Germany)","DOI":"10.1002/advs.202306515","ISSN":"2198-3844","issue":"12","journalAbbreviation":"Adv Sci (Weinh)","language":"en-US","note":"PMID: 38229179\nPMCID: PMC10966560","page":"e2306515","source":"PubMed","title":"Spatial Transcriptomic and Metabolomic Landscapes of Oral Submucous Fibrosis-Derived Oral Squamous Cell Carcinoma and its Tumor Microenvironment","volume":"11","author":[{"family":"Zhi","given":"Yuan"},{"family":"Wang","given":"Qian"},{"family":"Zi","given":"Moxin"},{"family":"Zhang","given":"Shanshan"},{"family":"Ge","given":"Junshang"},{"family":"Liu","given":"Keyue"},{"family":"Lu","given":"Linsong"},{"family":"Fan","given":"Chunmei"},{"family":"Yan","given":"Qijia"},{"family":"Shi","given":"Lei"},{"family":"Chen","given":"Pan"},{"family":"Fan","given":"Songqing"},{"family":"Liao","given":"Qianjin"},{"family":"Guo","given":"Can"},{"family":"Wang","given":"Fuyan"},{"family":"Gong","given":"Zhaojian"},{"family":"Xiong","given":"Wei"},{"family":"Zeng","given":"Zhaoyang"}],"issued":{"date-parts":[["2024",3]]}}}],"schema":"https://github.com/citation-style-language/schema/raw/master/csl-citation.json"} </w:instrText>
      </w:r>
      <w:r>
        <w:fldChar w:fldCharType="separate"/>
      </w:r>
      <w:r w:rsidR="001233E5" w:rsidRPr="001233E5">
        <w:rPr>
          <w:rFonts w:ascii="Calibri" w:hAnsi="Calibri" w:cs="Calibri"/>
        </w:rPr>
        <w:t>[2]</w:t>
      </w:r>
      <w:r>
        <w:fldChar w:fldCharType="end"/>
      </w:r>
      <w:r>
        <w:t xml:space="preserve">, GSE208253 was obtained from Arora et al, 2023 </w:t>
      </w:r>
      <w:r>
        <w:fldChar w:fldCharType="begin"/>
      </w:r>
      <w:r w:rsidR="001233E5">
        <w:instrText xml:space="preserve"> ADDIN ZOTERO_ITEM CSL_CITATION {"citationID":"YSyF239y","properties":{"formattedCitation":"[3]","plainCitation":"[3]","noteIndex":0},"citationItems":[{"id":922,"uris":["http://zotero.org/users/local/eqnvYy5m/items/ZKK6HX6K"],"itemData":{"id":922,"type":"article-journal","abstract":"The spatial organization of the tumor microenvironment has a profound impact on biology and therapy response. Here, we perform an integrative single-cell and spatial transcriptomic analysis on HPV-negative oral squamous cell carcinoma (OSCC) to comprehensively characterize malignant cells in tumor core (TC) and leading edge (LE) transcriptional architectures. We show that the TC and LE are characterized by unique transcriptional profiles, neighboring cellular compositions, and ligand-receptor interactions. We demonstrate that the gene expression profile associated with the LE is conserved across different cancers while the TC is tissue specific, highlighting common mechanisms underlying tumor progression and invasion. Additionally, we find our LE gene signature is associated with worse clinical outcomes while TC gene signature is associated with improved prognosis across multiple cancer types. Finally, using an in silico modeling approach, we describe spatially-regulated patterns of cell development in OSCC that are predictably associated with drug response. Our work provides pan-cancer insights into TC and LE biology and interactive spatial atlases (http://www.pboselab.ca/spatial_OSCC/; http://www.pboselab.ca/dynamo_OSCC/) that can be foundational for developing novel targeted therapies.","container-title":"Nature Communications","DOI":"10.1038/s41467-023-40271-4","ISSN":"2041-1723","issue":"1","journalAbbreviation":"Nat Commun","language":"en","license":"2023 The Author(s)","note":"publisher: Nature Publishing Group","page":"5029","source":"www.nature.com","title":"Spatial transcriptomics reveals distinct and conserved tumor core and edge architectures that predict survival and targeted therapy response","URL":"https://www.nature.com/articles/s41467-023-40271-4","volume":"14","author":[{"family":"Arora","given":"Rohit"},{"family":"Cao","given":"Christian"},{"family":"Kumar","given":"Mehul"},{"family":"Sinha","given":"Sarthak"},{"family":"Chanda","given":"Ayan"},{"family":"McNeil","given":"Reid"},{"family":"Samuel","given":"Divya"},{"family":"Arora","given":"Rahul K."},{"family":"Matthews","given":"T. Wayne"},{"family":"Chandarana","given":"Shamir"},{"family":"Hart","given":"Robert"},{"family":"Dort","given":"Joseph C."},{"family":"Biernaskie","given":"Jeff"},{"family":"Neri","given":"Paola"},{"family":"Hyrcza","given":"Martin D."},{"family":"Bose","given":"Pinaki"}],"accessed":{"date-parts":[["2025",4,11]]},"issued":{"date-parts":[["2023",8,18]]}}}],"schema":"https://github.com/citation-style-language/schema/raw/master/csl-citation.json"} </w:instrText>
      </w:r>
      <w:r>
        <w:fldChar w:fldCharType="separate"/>
      </w:r>
      <w:r w:rsidR="001233E5" w:rsidRPr="001233E5">
        <w:rPr>
          <w:rFonts w:ascii="Calibri" w:hAnsi="Calibri" w:cs="Calibri"/>
        </w:rPr>
        <w:t>[3]</w:t>
      </w:r>
      <w:r>
        <w:fldChar w:fldCharType="end"/>
      </w:r>
      <w:r>
        <w:t>.</w:t>
      </w:r>
      <w:bookmarkEnd w:id="0"/>
    </w:p>
    <w:p w14:paraId="368BC414" w14:textId="50709C4A" w:rsidR="00EB40B8" w:rsidRDefault="00EB40B8">
      <w:r>
        <w:rPr>
          <w:b/>
          <w:bCs/>
        </w:rPr>
        <w:t>2</w:t>
      </w:r>
      <w:r>
        <w:t xml:space="preserve"> </w:t>
      </w:r>
      <w:proofErr w:type="spellStart"/>
      <w:r>
        <w:rPr>
          <w:b/>
          <w:bCs/>
        </w:rPr>
        <w:t>scRNA</w:t>
      </w:r>
      <w:proofErr w:type="spellEnd"/>
      <w:r>
        <w:rPr>
          <w:b/>
          <w:bCs/>
        </w:rPr>
        <w:t>-seq data preprocessing and Integration</w:t>
      </w:r>
    </w:p>
    <w:p w14:paraId="3777DA91" w14:textId="77777777" w:rsidR="00EB40B8" w:rsidRDefault="00EB40B8" w:rsidP="00EB40B8">
      <w:pPr>
        <w:ind w:firstLineChars="200" w:firstLine="420"/>
      </w:pPr>
      <w:r>
        <w:t>For single-cell RNA sequencing (</w:t>
      </w:r>
      <w:proofErr w:type="spellStart"/>
      <w:r>
        <w:t>scRNA</w:t>
      </w:r>
      <w:proofErr w:type="spellEnd"/>
      <w:r>
        <w:t>-seq) analysis, raw count matrices were processed using the Seurat package (v4.1.0) in R. To address potential batch effects across samples in the GSE215403 dataset, we implemented the following integrative pipeline:</w:t>
      </w:r>
    </w:p>
    <w:p w14:paraId="0C08B74F" w14:textId="77777777" w:rsidR="00EB40B8" w:rsidRDefault="00EB40B8" w:rsidP="00EB40B8">
      <w:pPr>
        <w:ind w:firstLineChars="200" w:firstLine="420"/>
      </w:pPr>
      <w:r>
        <w:t>Batch Effect Mitigation: Merged samples were harmonized using the Harmony algorithm (v1.2.0) to correct for technical variability arising from sequencing batches or donor-specific effects. Batch-corrected embeddings were visualized via TSNE.</w:t>
      </w:r>
    </w:p>
    <w:p w14:paraId="456D01E1" w14:textId="77777777" w:rsidR="00EB40B8" w:rsidRDefault="00EB40B8" w:rsidP="00EB40B8">
      <w:pPr>
        <w:ind w:firstLineChars="200" w:firstLine="420"/>
      </w:pPr>
      <w:r>
        <w:t>Rigorous Quality Control: Removed cells with &lt;400 or &gt;7,500 detected genes, &gt;10% mitochondrial reads. Cells expressing hemoglobin genes (e.g., HBB, HBA1/2, HBD) were filtered using a threshold of &gt;3 log-normalized count. Gene Filtering: Genes detected in &lt;3 cells were excluded.</w:t>
      </w:r>
    </w:p>
    <w:p w14:paraId="01EDE6B7" w14:textId="77777777" w:rsidR="00EB40B8" w:rsidRDefault="00EB40B8" w:rsidP="00EB40B8">
      <w:pPr>
        <w:ind w:firstLineChars="200" w:firstLine="420"/>
      </w:pPr>
      <w:r>
        <w:t>Normalization and Feature Selection: Post-filtering, data were log-normalized (scale factor = 10,000), and 3,000 highly variable genes (HVGs) were selected using the variance-stabilizing transformation (</w:t>
      </w:r>
      <w:proofErr w:type="spellStart"/>
      <w:r>
        <w:t>vst</w:t>
      </w:r>
      <w:proofErr w:type="spellEnd"/>
      <w:r>
        <w:t>) method. Scaling regressed out mitochondrial read percentages and UMI count effects.</w:t>
      </w:r>
    </w:p>
    <w:p w14:paraId="00E9DE5B" w14:textId="01F239E3" w:rsidR="00EB40B8" w:rsidRDefault="001233E5">
      <w:r>
        <w:rPr>
          <w:b/>
          <w:bCs/>
        </w:rPr>
        <w:t>3</w:t>
      </w:r>
      <w:r w:rsidR="00EB40B8">
        <w:rPr>
          <w:b/>
          <w:bCs/>
        </w:rPr>
        <w:t xml:space="preserve"> Cell–cell communication analysis</w:t>
      </w:r>
    </w:p>
    <w:p w14:paraId="522230AE" w14:textId="77777777" w:rsidR="00EB40B8" w:rsidRDefault="00EB40B8" w:rsidP="00EB40B8">
      <w:pPr>
        <w:pStyle w:val="a7"/>
      </w:pPr>
      <w:r>
        <w:rPr>
          <w:rFonts w:hint="eastAsia"/>
        </w:rPr>
        <w:t>T</w:t>
      </w:r>
      <w:r>
        <w:t>he “</w:t>
      </w:r>
      <w:proofErr w:type="spellStart"/>
      <w:r>
        <w:t>createCellChat</w:t>
      </w:r>
      <w:proofErr w:type="spellEnd"/>
      <w:r>
        <w:t>” function</w:t>
      </w:r>
      <w:r>
        <w:rPr>
          <w:rFonts w:hint="eastAsia"/>
        </w:rPr>
        <w:t xml:space="preserve"> was</w:t>
      </w:r>
      <w:r>
        <w:t xml:space="preserve"> used to generate the cell chat object, followed by data preprocessing with the “</w:t>
      </w:r>
      <w:proofErr w:type="spellStart"/>
      <w:r>
        <w:t>identifyOverExpressedGenes</w:t>
      </w:r>
      <w:proofErr w:type="spellEnd"/>
      <w:r>
        <w:t>”, “</w:t>
      </w:r>
      <w:proofErr w:type="spellStart"/>
      <w:r>
        <w:t>identifyOverExpressedInteractions</w:t>
      </w:r>
      <w:proofErr w:type="spellEnd"/>
      <w:r>
        <w:t>”, and “</w:t>
      </w:r>
      <w:proofErr w:type="spellStart"/>
      <w:r>
        <w:t>projectData</w:t>
      </w:r>
      <w:proofErr w:type="spellEnd"/>
      <w:r>
        <w:t xml:space="preserve">” functions using default parameters and the human </w:t>
      </w:r>
      <w:proofErr w:type="spellStart"/>
      <w:r>
        <w:t>CellChatDB</w:t>
      </w:r>
      <w:proofErr w:type="spellEnd"/>
      <w:r>
        <w:t>. The “</w:t>
      </w:r>
      <w:proofErr w:type="spellStart"/>
      <w:r>
        <w:t>computeCommunProb</w:t>
      </w:r>
      <w:proofErr w:type="spellEnd"/>
      <w:r>
        <w:t>”, “</w:t>
      </w:r>
      <w:proofErr w:type="spellStart"/>
      <w:r>
        <w:t>filterCommunication</w:t>
      </w:r>
      <w:proofErr w:type="spellEnd"/>
      <w:r>
        <w:t>” (</w:t>
      </w:r>
      <w:proofErr w:type="spellStart"/>
      <w:r>
        <w:t>min.cells</w:t>
      </w:r>
      <w:proofErr w:type="spellEnd"/>
      <w:r>
        <w:t xml:space="preserve"> = 3), and “</w:t>
      </w:r>
      <w:proofErr w:type="spellStart"/>
      <w:r>
        <w:t>computeCommunProbPathway</w:t>
      </w:r>
      <w:proofErr w:type="spellEnd"/>
      <w:r>
        <w:t xml:space="preserve">” functions were subsequently employed to identify potential ligand-receptor interactions. Finally, the cell communication network was aggregated using the </w:t>
      </w:r>
      <w:proofErr w:type="spellStart"/>
      <w:r>
        <w:t>aggregateNet</w:t>
      </w:r>
      <w:proofErr w:type="spellEnd"/>
      <w:r>
        <w:t xml:space="preserve"> function.</w:t>
      </w:r>
    </w:p>
    <w:p w14:paraId="55344AB0" w14:textId="4DE1BC5A" w:rsidR="00EB40B8" w:rsidRDefault="001233E5">
      <w:r>
        <w:rPr>
          <w:b/>
          <w:bCs/>
        </w:rPr>
        <w:t>4</w:t>
      </w:r>
      <w:r w:rsidR="00EB40B8">
        <w:rPr>
          <w:b/>
          <w:bCs/>
        </w:rPr>
        <w:t xml:space="preserve"> Functional enrichment analysis</w:t>
      </w:r>
    </w:p>
    <w:p w14:paraId="411DE60A" w14:textId="665F9160" w:rsidR="00EB40B8" w:rsidRDefault="00EB40B8">
      <w:r>
        <w:t>Enrichment pathways</w:t>
      </w:r>
      <w:r>
        <w:rPr>
          <w:color w:val="FF0000"/>
        </w:rPr>
        <w:t xml:space="preserve"> </w:t>
      </w:r>
      <w:r>
        <w:t xml:space="preserve">among different subpopulations were detected by using the </w:t>
      </w:r>
      <w:proofErr w:type="spellStart"/>
      <w:r>
        <w:t>limma</w:t>
      </w:r>
      <w:proofErr w:type="spellEnd"/>
      <w:r>
        <w:t xml:space="preserve"> R package with |log2 fold change (FC)|&gt;1 and adjusted p &lt; 0.05 as the cutoff threshold </w:t>
      </w:r>
      <w:r>
        <w:fldChar w:fldCharType="begin"/>
      </w:r>
      <w:r w:rsidR="001233E5">
        <w:instrText xml:space="preserve"> ADDIN ZOTERO_ITEM CSL_CITATION {"citationID":"aEaVpxVY","properties":{"formattedCitation":"[4]","plainCitation":"[4]","noteIndex":0},"citationItems":[{"id":532,"uris":["http://zotero.org/users/local/eqnvYy5m/items/SQSSBPGL"],"itemData":{"id":532,"type":"article-journal","abstract":"limma is an R/Bioconductor software package that provides an integrated solution for analysing data from gene expression experiments. It contains rich features for handling complex experimental designs and for information borrowing to overcome the problem of small sample sizes. Over the past decade, limma has been a popular choice for gene discovery through differential expression analyses of microarray and high-throughput PCR data. The package contains particularly strong facilities for reading, normalizing and exploring such data. Recently, the capabilities of limma have been significantly expanded in two important directions. First, the package can now perform both differential expression and differential splicing analyses of RNA sequencing (RNA-seq) data. All the downstream analysis tools previously restricted to microarray data are now available for RNA-seq as well. These capabilities allow users to analyse both RNA-seq and microarray data with very similar pipelines. Second, the package is now able to go past the traditional gene-wise expression analyses in a variety of ways, analysing expression profiles in terms of co-regulated sets of genes or in terms of higher-order expression signatures. This provides enhanced possibilities for biological interpretation of gene expression differences. This article reviews the philosophy and design of the limma package, summarizing both new and historical features, with an emphasis on recent enhancements and features that have not been previously described.","container-title":"Nucleic Acids Research","DOI":"10.1093/nar/gkv007","ISSN":"0305-1048","issue":"7","journalAbbreviation":"Nucleic Acids Res","language":"en-US","note":"PMID: 25605792\nPMCID: PMC4402510","page":"e47","source":"PubMed Central","title":"limma powers differential expression analyses for RNA-sequencing and microarray studies","URL":"https://www.ncbi.nlm.nih.gov/pmc/articles/PMC4402510/","volume":"43","author":[{"family":"Ritchie","given":"Matthew E."},{"family":"Phipson","given":"Belinda"},{"family":"Wu","given":"Di"},{"family":"Hu","given":"Yifang"},{"family":"Law","given":"Charity W."},{"family":"Shi","given":"Wei"},{"family":"Smyth","given":"Gordon K."}],"accessed":{"date-parts":[["2024",9,29]]},"issued":{"date-parts":[["2015",4,20]]}}}],"schema":"https://github.com/citation-style-language/schema/raw/master/csl-citation.json"} </w:instrText>
      </w:r>
      <w:r>
        <w:fldChar w:fldCharType="separate"/>
      </w:r>
      <w:r w:rsidR="001233E5" w:rsidRPr="001233E5">
        <w:rPr>
          <w:rFonts w:ascii="Calibri" w:hAnsi="Calibri" w:cs="Calibri"/>
        </w:rPr>
        <w:t>[4]</w:t>
      </w:r>
      <w:r>
        <w:fldChar w:fldCharType="end"/>
      </w:r>
      <w:r>
        <w:t xml:space="preserve">. </w:t>
      </w:r>
      <w:r>
        <w:rPr>
          <w:rFonts w:hint="eastAsia"/>
        </w:rPr>
        <w:t xml:space="preserve">A </w:t>
      </w:r>
      <w:r>
        <w:t>permutation approach</w:t>
      </w:r>
      <w:r>
        <w:rPr>
          <w:rFonts w:hint="eastAsia"/>
        </w:rPr>
        <w:t xml:space="preserve"> was used</w:t>
      </w:r>
      <w:r>
        <w:t xml:space="preserve"> to estimate an empirical FDR at a specified p-value threshold, and report multiple hypothesis correction based on the </w:t>
      </w:r>
      <w:proofErr w:type="spellStart"/>
      <w:r>
        <w:t>Benjamini</w:t>
      </w:r>
      <w:proofErr w:type="spellEnd"/>
      <w:r>
        <w:t>-Hochberg (B.H.) approach to obtain corrected p-values. The '</w:t>
      </w:r>
      <w:proofErr w:type="spellStart"/>
      <w:r>
        <w:t>pheatmap</w:t>
      </w:r>
      <w:proofErr w:type="spellEnd"/>
      <w:r>
        <w:t xml:space="preserve">' and 'ggplot2' R packages were used to visualize the GSVA results. GSEA results were visualized using the </w:t>
      </w:r>
      <w:proofErr w:type="spellStart"/>
      <w:r>
        <w:t>ridgeplot</w:t>
      </w:r>
      <w:proofErr w:type="spellEnd"/>
      <w:r>
        <w:t xml:space="preserve"> function from the </w:t>
      </w:r>
      <w:proofErr w:type="spellStart"/>
      <w:r>
        <w:t>enrichplot</w:t>
      </w:r>
      <w:proofErr w:type="spellEnd"/>
      <w:r>
        <w:t xml:space="preserve"> package.</w:t>
      </w:r>
    </w:p>
    <w:p w14:paraId="66C91E60" w14:textId="6FD823EB" w:rsidR="00EB40B8" w:rsidRDefault="001233E5">
      <w:r>
        <w:rPr>
          <w:b/>
          <w:bCs/>
        </w:rPr>
        <w:t>5</w:t>
      </w:r>
      <w:r w:rsidR="00EB40B8">
        <w:rPr>
          <w:b/>
          <w:bCs/>
        </w:rPr>
        <w:t xml:space="preserve"> Survival analysis in TCGA HNSC data set</w:t>
      </w:r>
    </w:p>
    <w:p w14:paraId="109ED12C" w14:textId="1C7D41EE" w:rsidR="00EB40B8" w:rsidRDefault="00EB40B8">
      <w:r>
        <w:t xml:space="preserve">For </w:t>
      </w:r>
      <w:proofErr w:type="spellStart"/>
      <w:r>
        <w:t>INHBA+Mac</w:t>
      </w:r>
      <w:proofErr w:type="spellEnd"/>
      <w:r>
        <w:t xml:space="preserve"> survival analysis, the high- versus low-score cohorts were stratified based on median expression levels. Overall survival (OS) outcomes were evaluated through the survival R package, employing Kaplan-Meier methodology with statistical significance determined by the log-rank test. The survival::</w:t>
      </w:r>
      <w:r w:rsidR="00AB4CEE">
        <w:t xml:space="preserve"> </w:t>
      </w:r>
      <w:proofErr w:type="spellStart"/>
      <w:r>
        <w:t>coxph</w:t>
      </w:r>
      <w:proofErr w:type="spellEnd"/>
      <w:r>
        <w:t xml:space="preserve"> function implemented a Cox proportional hazards regression model to calculate hazard ratios (HR) with corresponding 95% confidence intervals (CI). Survival curves were generated using the </w:t>
      </w:r>
      <w:proofErr w:type="spellStart"/>
      <w:r>
        <w:t>survminer</w:t>
      </w:r>
      <w:proofErr w:type="spellEnd"/>
      <w:r>
        <w:t xml:space="preserve"> package’s </w:t>
      </w:r>
      <w:proofErr w:type="spellStart"/>
      <w:r>
        <w:t>ggsurvplot</w:t>
      </w:r>
      <w:proofErr w:type="spellEnd"/>
      <w:r>
        <w:t xml:space="preserve"> function, which interfaces with the survival package’s </w:t>
      </w:r>
      <w:proofErr w:type="spellStart"/>
      <w:r>
        <w:t>survfit</w:t>
      </w:r>
      <w:proofErr w:type="spellEnd"/>
      <w:r>
        <w:t>() function for Kaplan-</w:t>
      </w:r>
      <w:r>
        <w:lastRenderedPageBreak/>
        <w:t>Meier estimation.</w:t>
      </w:r>
    </w:p>
    <w:p w14:paraId="7DA4E1ED" w14:textId="23EB08AF" w:rsidR="00EB40B8" w:rsidRDefault="001233E5">
      <w:r>
        <w:rPr>
          <w:b/>
          <w:bCs/>
        </w:rPr>
        <w:t>6</w:t>
      </w:r>
      <w:r w:rsidR="00EB40B8">
        <w:rPr>
          <w:b/>
          <w:bCs/>
        </w:rPr>
        <w:t xml:space="preserve"> </w:t>
      </w:r>
      <w:r w:rsidR="00EB40B8">
        <w:rPr>
          <w:rFonts w:hint="eastAsia"/>
          <w:b/>
          <w:bCs/>
        </w:rPr>
        <w:t>S</w:t>
      </w:r>
      <w:r w:rsidR="00EB40B8">
        <w:rPr>
          <w:b/>
          <w:bCs/>
        </w:rPr>
        <w:t xml:space="preserve">T data preprocessing, Integration </w:t>
      </w:r>
      <w:r w:rsidR="00EB40B8">
        <w:rPr>
          <w:rFonts w:hint="eastAsia"/>
          <w:b/>
          <w:bCs/>
        </w:rPr>
        <w:t>a</w:t>
      </w:r>
      <w:r w:rsidR="00EB40B8">
        <w:rPr>
          <w:b/>
          <w:bCs/>
        </w:rPr>
        <w:t>nd data visualization</w:t>
      </w:r>
    </w:p>
    <w:p w14:paraId="6C5B35E4" w14:textId="32AEE46D" w:rsidR="00EB40B8" w:rsidRDefault="00EB40B8">
      <w:r>
        <w:t>Using the “Load10×_Spatial” function to load spatial transcriptomics data, we performed normalization using the “</w:t>
      </w:r>
      <w:proofErr w:type="spellStart"/>
      <w:r>
        <w:t>SCTransform</w:t>
      </w:r>
      <w:proofErr w:type="spellEnd"/>
      <w:r>
        <w:t>” function. Subsequently, the “</w:t>
      </w:r>
      <w:proofErr w:type="spellStart"/>
      <w:r>
        <w:t>FindIntegrationAnchors</w:t>
      </w:r>
      <w:proofErr w:type="spellEnd"/>
      <w:r>
        <w:t>” function was applied to integrate the expression profiles and remove batch effects. The “</w:t>
      </w:r>
      <w:proofErr w:type="spellStart"/>
      <w:r>
        <w:t>IntegrateData</w:t>
      </w:r>
      <w:proofErr w:type="spellEnd"/>
      <w:r>
        <w:t>” function was then utilized to merge data from eight slices.</w:t>
      </w:r>
    </w:p>
    <w:p w14:paraId="5D52E200" w14:textId="16D293E1" w:rsidR="00EB40B8" w:rsidRPr="00EB40B8" w:rsidRDefault="001233E5" w:rsidP="00EB40B8">
      <w:pPr>
        <w:rPr>
          <w:b/>
          <w:bCs/>
        </w:rPr>
      </w:pPr>
      <w:r>
        <w:rPr>
          <w:b/>
          <w:bCs/>
        </w:rPr>
        <w:t>7</w:t>
      </w:r>
      <w:r w:rsidR="00EB40B8" w:rsidRPr="00EB40B8">
        <w:rPr>
          <w:b/>
          <w:bCs/>
        </w:rPr>
        <w:t xml:space="preserve"> The sequences of the primers (5’-3’)</w:t>
      </w:r>
    </w:p>
    <w:p w14:paraId="1CE760DA" w14:textId="5059530C" w:rsidR="00EB40B8" w:rsidRDefault="00EB40B8" w:rsidP="00EB40B8">
      <w:pPr>
        <w:ind w:firstLineChars="200" w:firstLine="420"/>
      </w:pPr>
      <w:r>
        <w:t>Homo-TGF</w:t>
      </w:r>
      <w:r>
        <w:rPr>
          <w:rFonts w:cstheme="minorHAnsi"/>
        </w:rPr>
        <w:t>β</w:t>
      </w:r>
      <w:r>
        <w:t xml:space="preserve">1-118F </w:t>
      </w:r>
      <w:r>
        <w:tab/>
        <w:t>GCAACAATTCCTGGCGATACC;</w:t>
      </w:r>
    </w:p>
    <w:p w14:paraId="0D01B4B5" w14:textId="0DD3CC27" w:rsidR="00EB40B8" w:rsidRDefault="00EB40B8" w:rsidP="00EB40B8">
      <w:pPr>
        <w:ind w:firstLineChars="200" w:firstLine="420"/>
      </w:pPr>
      <w:r>
        <w:t>Homo-TGF</w:t>
      </w:r>
      <w:r>
        <w:rPr>
          <w:rFonts w:cstheme="minorHAnsi"/>
        </w:rPr>
        <w:t>β</w:t>
      </w:r>
      <w:r>
        <w:t xml:space="preserve">1-118R </w:t>
      </w:r>
      <w:r>
        <w:tab/>
        <w:t>ATTTCCCCTCCACGGCTCAA;</w:t>
      </w:r>
    </w:p>
    <w:p w14:paraId="5AE128F6" w14:textId="114BB103" w:rsidR="00EB40B8" w:rsidRDefault="00EB40B8" w:rsidP="00EB40B8">
      <w:pPr>
        <w:ind w:firstLineChars="200" w:firstLine="420"/>
      </w:pPr>
      <w:r>
        <w:t>H-GAPDH-138F, GCACCGTCAAGGCTGAGAAC;</w:t>
      </w:r>
    </w:p>
    <w:p w14:paraId="0FAD18E8" w14:textId="77777777" w:rsidR="00EB40B8" w:rsidRDefault="00EB40B8" w:rsidP="00EB40B8">
      <w:pPr>
        <w:ind w:firstLineChars="200" w:firstLine="420"/>
      </w:pPr>
      <w:r>
        <w:t>H-</w:t>
      </w:r>
      <w:bookmarkStart w:id="1" w:name="_Hlk195049517"/>
      <w:r>
        <w:t>GAPDH</w:t>
      </w:r>
      <w:bookmarkEnd w:id="1"/>
      <w:r>
        <w:t>-138R, TGGTGAAGACGCCAGTGGA;</w:t>
      </w:r>
    </w:p>
    <w:p w14:paraId="4DE98D41" w14:textId="77777777" w:rsidR="00EB40B8" w:rsidRDefault="00EB40B8" w:rsidP="00EB40B8">
      <w:pPr>
        <w:ind w:firstLineChars="200" w:firstLine="420"/>
      </w:pPr>
      <w:r>
        <w:t>H-INHBA-F, CCTCCCAAAGGATGTACCCAA;</w:t>
      </w:r>
    </w:p>
    <w:p w14:paraId="170B6964" w14:textId="1FD28673" w:rsidR="00EB40B8" w:rsidRDefault="00EB40B8" w:rsidP="00EB40B8">
      <w:pPr>
        <w:ind w:firstLineChars="200" w:firstLine="420"/>
      </w:pPr>
      <w:r>
        <w:t>H-INHBA-R, CTCTATCTCCACATACCCGTTCT.</w:t>
      </w:r>
    </w:p>
    <w:p w14:paraId="16D9242F" w14:textId="6B00B5A5" w:rsidR="00300EF4" w:rsidRDefault="001233E5" w:rsidP="00EB40B8">
      <w:pPr>
        <w:rPr>
          <w:b/>
          <w:bCs/>
        </w:rPr>
      </w:pPr>
      <w:bookmarkStart w:id="2" w:name="_Hlk195301430"/>
      <w:r>
        <w:rPr>
          <w:b/>
          <w:bCs/>
        </w:rPr>
        <w:t xml:space="preserve">8 </w:t>
      </w:r>
      <w:r w:rsidR="00EB40B8" w:rsidRPr="00EB40B8">
        <w:rPr>
          <w:b/>
          <w:bCs/>
        </w:rPr>
        <w:t xml:space="preserve">Clinical Tissue Sample </w:t>
      </w:r>
      <w:r w:rsidR="00B56E6C" w:rsidRPr="00B56E6C">
        <w:rPr>
          <w:b/>
          <w:bCs/>
        </w:rPr>
        <w:t>Collection</w:t>
      </w:r>
    </w:p>
    <w:p w14:paraId="0FDAA4C6" w14:textId="5AEB7AF6" w:rsidR="00EB40B8" w:rsidRPr="00EB40B8" w:rsidRDefault="00EB40B8" w:rsidP="00300EF4">
      <w:pPr>
        <w:ind w:firstLineChars="200" w:firstLine="420"/>
        <w:rPr>
          <w:b/>
          <w:bCs/>
        </w:rPr>
      </w:pPr>
      <w:r w:rsidRPr="00EB40B8">
        <w:rPr>
          <w:b/>
          <w:bCs/>
        </w:rPr>
        <w:t>Selection Criteria</w:t>
      </w:r>
      <w:bookmarkEnd w:id="2"/>
      <w:r w:rsidRPr="00EB40B8">
        <w:rPr>
          <w:b/>
          <w:bCs/>
        </w:rPr>
        <w:t>:</w:t>
      </w:r>
    </w:p>
    <w:p w14:paraId="7BC460AF" w14:textId="37BE1EF3" w:rsidR="00EB40B8" w:rsidRDefault="00EB40B8" w:rsidP="001233E5">
      <w:pPr>
        <w:ind w:leftChars="200" w:left="420"/>
      </w:pPr>
      <w:r>
        <w:t xml:space="preserve">(1) Age: </w:t>
      </w:r>
      <w:r w:rsidRPr="0059236A">
        <w:t>Patients aged 18–72 years</w:t>
      </w:r>
      <w:r>
        <w:t>;</w:t>
      </w:r>
    </w:p>
    <w:p w14:paraId="679DD27A" w14:textId="77777777" w:rsidR="00EB40B8" w:rsidRDefault="00EB40B8" w:rsidP="001233E5">
      <w:pPr>
        <w:ind w:leftChars="200" w:left="420"/>
      </w:pPr>
      <w:r>
        <w:t xml:space="preserve">(2) Diagnosis: Patients with </w:t>
      </w:r>
      <w:proofErr w:type="spellStart"/>
      <w:r>
        <w:t>histopathologically</w:t>
      </w:r>
      <w:proofErr w:type="spellEnd"/>
      <w:r>
        <w:t xml:space="preserve"> confirmed OSCC, subclassified as either: ODSCC, which arose from OSF with documented clinical progression (e.g., trismus, fibrotic bands); or NODSCC, which had no prior OSF diagnosis or fibrotic features;</w:t>
      </w:r>
    </w:p>
    <w:p w14:paraId="37500756" w14:textId="77777777" w:rsidR="00EB40B8" w:rsidRDefault="00EB40B8" w:rsidP="001233E5">
      <w:pPr>
        <w:ind w:leftChars="200" w:left="420"/>
      </w:pPr>
      <w:r>
        <w:t xml:space="preserve">(3) </w:t>
      </w:r>
      <w:r w:rsidRPr="0059236A">
        <w:t>Treatment Indication: Eligibility for curative-intent surgical resection with tumor-free margins</w:t>
      </w:r>
      <w:r>
        <w:t>;</w:t>
      </w:r>
    </w:p>
    <w:p w14:paraId="15ED82C7" w14:textId="2319FEC8" w:rsidR="00EB40B8" w:rsidRDefault="00EB40B8" w:rsidP="001233E5">
      <w:pPr>
        <w:ind w:leftChars="200" w:left="420"/>
      </w:pPr>
      <w:r>
        <w:t xml:space="preserve">(4) </w:t>
      </w:r>
      <w:r w:rsidRPr="0059236A">
        <w:t>Ethical Compliance: Written informed consent obtained prior to tissue collection.</w:t>
      </w:r>
    </w:p>
    <w:p w14:paraId="2F4A2FA6" w14:textId="0D9B9AA2" w:rsidR="00EB40B8" w:rsidRPr="00EB40B8" w:rsidRDefault="00EB40B8" w:rsidP="001233E5">
      <w:pPr>
        <w:ind w:leftChars="200" w:left="420"/>
        <w:rPr>
          <w:b/>
          <w:bCs/>
        </w:rPr>
      </w:pPr>
      <w:r w:rsidRPr="00EB40B8">
        <w:rPr>
          <w:b/>
          <w:bCs/>
        </w:rPr>
        <w:t>Exclusion Criteria:</w:t>
      </w:r>
    </w:p>
    <w:p w14:paraId="7E6A3192" w14:textId="77777777" w:rsidR="00EB40B8" w:rsidRDefault="00EB40B8" w:rsidP="001233E5">
      <w:pPr>
        <w:ind w:leftChars="200" w:left="420"/>
      </w:pPr>
      <w:r>
        <w:t xml:space="preserve">(1) </w:t>
      </w:r>
      <w:r w:rsidRPr="0059236A">
        <w:t>Comorbidities: Significant systemic comorbidities (e.g., uncontrolled diabetes, cardiovascular disease) that could confound molecular analyses</w:t>
      </w:r>
      <w:r>
        <w:t>;</w:t>
      </w:r>
    </w:p>
    <w:p w14:paraId="51C4CFD7" w14:textId="77777777" w:rsidR="00EB40B8" w:rsidRDefault="00EB40B8" w:rsidP="001233E5">
      <w:pPr>
        <w:ind w:leftChars="200" w:left="420"/>
      </w:pPr>
      <w:r>
        <w:t xml:space="preserve">(2) </w:t>
      </w:r>
      <w:r w:rsidRPr="0059236A">
        <w:t>Treatment History: Prior exposure to preoperative chemotherapy or radiotherapy</w:t>
      </w:r>
      <w:r>
        <w:t>;</w:t>
      </w:r>
    </w:p>
    <w:p w14:paraId="2B7DE01C" w14:textId="387B55FE" w:rsidR="00EB40B8" w:rsidRDefault="00EB40B8" w:rsidP="001233E5">
      <w:pPr>
        <w:ind w:leftChars="200" w:left="420"/>
      </w:pPr>
      <w:r>
        <w:t xml:space="preserve">(3) </w:t>
      </w:r>
      <w:r w:rsidRPr="0059236A">
        <w:t>Neoplastic History: Concurrent or prior malignancies.</w:t>
      </w:r>
    </w:p>
    <w:p w14:paraId="6E9ED094" w14:textId="5DB4BFC4" w:rsidR="00EB40B8" w:rsidRDefault="00EB40B8" w:rsidP="00EB40B8"/>
    <w:p w14:paraId="7A2DA1BC" w14:textId="1634CFAC" w:rsidR="00EB40B8" w:rsidRDefault="00EB40B8" w:rsidP="00EB40B8">
      <w:pPr>
        <w:rPr>
          <w:b/>
          <w:bCs/>
        </w:rPr>
      </w:pPr>
      <w:r>
        <w:rPr>
          <w:b/>
          <w:bCs/>
        </w:rPr>
        <w:t>References</w:t>
      </w:r>
    </w:p>
    <w:p w14:paraId="42216C27" w14:textId="77777777" w:rsidR="001233E5" w:rsidRPr="001233E5" w:rsidRDefault="00EB40B8" w:rsidP="001233E5">
      <w:pPr>
        <w:pStyle w:val="a9"/>
        <w:rPr>
          <w:rFonts w:ascii="等线" w:eastAsia="等线" w:hAnsi="等线"/>
        </w:rPr>
      </w:pPr>
      <w:r>
        <w:fldChar w:fldCharType="begin"/>
      </w:r>
      <w:r w:rsidR="001233E5">
        <w:instrText xml:space="preserve"> ADDIN ZOTERO_BIBL {"uncited":[],"omitted":[],"custom":[]} CSL_BIBLIOGRAPHY </w:instrText>
      </w:r>
      <w:r>
        <w:fldChar w:fldCharType="separate"/>
      </w:r>
      <w:r w:rsidR="001233E5" w:rsidRPr="001233E5">
        <w:rPr>
          <w:rFonts w:ascii="等线" w:eastAsia="等线" w:hAnsi="等线"/>
        </w:rPr>
        <w:t>[1]</w:t>
      </w:r>
      <w:r w:rsidR="001233E5" w:rsidRPr="001233E5">
        <w:rPr>
          <w:rFonts w:ascii="等线" w:eastAsia="等线" w:hAnsi="等线"/>
        </w:rPr>
        <w:tab/>
        <w:t>S. Kurkalang, S. Roy, A. Acharya, P. Mazumder, S. Mazumder, S. Patra, S. Ghosh, S. Sarkar, S. Kundu, N.K. Biswas, S. Ghose, P.P. Majumder, A. Maitra, Single-cell transcriptomic analysis of gingivo-buccal oral cancer reveals two dominant cellular programs, Cancer Sci. 114 (2023) 4732–4746. https://doi.org/10.1111/cas.15979.</w:t>
      </w:r>
    </w:p>
    <w:p w14:paraId="173EEA90" w14:textId="77777777" w:rsidR="001233E5" w:rsidRPr="001233E5" w:rsidRDefault="001233E5" w:rsidP="001233E5">
      <w:pPr>
        <w:pStyle w:val="a9"/>
        <w:rPr>
          <w:rFonts w:ascii="等线" w:eastAsia="等线" w:hAnsi="等线"/>
        </w:rPr>
      </w:pPr>
      <w:r w:rsidRPr="001233E5">
        <w:rPr>
          <w:rFonts w:ascii="等线" w:eastAsia="等线" w:hAnsi="等线"/>
        </w:rPr>
        <w:t>[2]</w:t>
      </w:r>
      <w:r w:rsidRPr="001233E5">
        <w:rPr>
          <w:rFonts w:ascii="等线" w:eastAsia="等线" w:hAnsi="等线"/>
        </w:rPr>
        <w:tab/>
        <w:t>Y. Zhi, Q. Wang, M. Zi, S. Zhang, J. Ge, K. Liu, L. Lu, C. Fan, Q. Yan, L. Shi, P. Chen, S. Fan, Q. Liao, C. Guo, F. Wang, Z. Gong, W. Xiong, Z. Zeng, Spatial Transcriptomic and Metabolomic Landscapes of Oral Submucous Fibrosis-Derived Oral Squamous Cell Carcinoma and its Tumor Microenvironment, Adv. Sci. Weinh. Baden-Wurtt. Ger. 11 (2024) e2306515. https://doi.org/10.1002/advs.202306515.</w:t>
      </w:r>
    </w:p>
    <w:p w14:paraId="63B95A58" w14:textId="77777777" w:rsidR="001233E5" w:rsidRPr="001233E5" w:rsidRDefault="001233E5" w:rsidP="001233E5">
      <w:pPr>
        <w:pStyle w:val="a9"/>
        <w:rPr>
          <w:rFonts w:ascii="等线" w:eastAsia="等线" w:hAnsi="等线"/>
        </w:rPr>
      </w:pPr>
      <w:r w:rsidRPr="001233E5">
        <w:rPr>
          <w:rFonts w:ascii="等线" w:eastAsia="等线" w:hAnsi="等线"/>
        </w:rPr>
        <w:t>[3]</w:t>
      </w:r>
      <w:r w:rsidRPr="001233E5">
        <w:rPr>
          <w:rFonts w:ascii="等线" w:eastAsia="等线" w:hAnsi="等线"/>
        </w:rPr>
        <w:tab/>
        <w:t>R. Arora, C. Cao, M. Kumar, S. Sinha, A. Chanda, R. McNeil, D. Samuel, R.K. Arora, T.W. Matthews, S. Chandarana, R. Hart, J.C. Dort, J. Biernaskie, P. Neri, M.D. Hyrcza, P. Bose, Spatial transcriptomics reveals distinct and conserved tumor core and edge architectures that predict survival and targeted therapy response, Nat. Commun. 14 (2023) 5029. https://doi.org/10.1038/s41467-023-40271-4.</w:t>
      </w:r>
    </w:p>
    <w:p w14:paraId="58CBDF79" w14:textId="77777777" w:rsidR="001233E5" w:rsidRPr="001233E5" w:rsidRDefault="001233E5" w:rsidP="001233E5">
      <w:pPr>
        <w:pStyle w:val="a9"/>
        <w:rPr>
          <w:rFonts w:ascii="等线" w:eastAsia="等线" w:hAnsi="等线"/>
        </w:rPr>
      </w:pPr>
      <w:r w:rsidRPr="001233E5">
        <w:rPr>
          <w:rFonts w:ascii="等线" w:eastAsia="等线" w:hAnsi="等线"/>
        </w:rPr>
        <w:t>[4]</w:t>
      </w:r>
      <w:r w:rsidRPr="001233E5">
        <w:rPr>
          <w:rFonts w:ascii="等线" w:eastAsia="等线" w:hAnsi="等线"/>
        </w:rPr>
        <w:tab/>
        <w:t xml:space="preserve">M.E. Ritchie, B. Phipson, D. Wu, Y. Hu, C.W. Law, W. Shi, G.K. Smyth, limma powers </w:t>
      </w:r>
      <w:r w:rsidRPr="001233E5">
        <w:rPr>
          <w:rFonts w:ascii="等线" w:eastAsia="等线" w:hAnsi="等线"/>
        </w:rPr>
        <w:lastRenderedPageBreak/>
        <w:t>differential expression analyses for RNA-sequencing and microarray studies, Nucleic Acids Res. 43 (2015) e47. https://doi.org/10.1093/nar/gkv007.</w:t>
      </w:r>
    </w:p>
    <w:p w14:paraId="030FA52C" w14:textId="2CD0B95C" w:rsidR="00EB40B8" w:rsidRPr="00EB40B8" w:rsidRDefault="00EB40B8" w:rsidP="00EB40B8">
      <w:r>
        <w:fldChar w:fldCharType="end"/>
      </w:r>
    </w:p>
    <w:sectPr w:rsidR="00EB40B8" w:rsidRPr="00EB40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10F6B" w14:textId="77777777" w:rsidR="00302CDB" w:rsidRDefault="00302CDB" w:rsidP="00EB40B8">
      <w:r>
        <w:separator/>
      </w:r>
    </w:p>
  </w:endnote>
  <w:endnote w:type="continuationSeparator" w:id="0">
    <w:p w14:paraId="1D240F71" w14:textId="77777777" w:rsidR="00302CDB" w:rsidRDefault="00302CDB" w:rsidP="00EB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D76D0" w14:textId="77777777" w:rsidR="00302CDB" w:rsidRDefault="00302CDB" w:rsidP="00EB40B8">
      <w:r>
        <w:separator/>
      </w:r>
    </w:p>
  </w:footnote>
  <w:footnote w:type="continuationSeparator" w:id="0">
    <w:p w14:paraId="0DCA42D8" w14:textId="77777777" w:rsidR="00302CDB" w:rsidRDefault="00302CDB" w:rsidP="00EB4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D6B"/>
    <w:rsid w:val="001233E5"/>
    <w:rsid w:val="00300EF4"/>
    <w:rsid w:val="00302CDB"/>
    <w:rsid w:val="007113E1"/>
    <w:rsid w:val="009D2D6B"/>
    <w:rsid w:val="00A3396A"/>
    <w:rsid w:val="00AB4CEE"/>
    <w:rsid w:val="00B56E6C"/>
    <w:rsid w:val="00EB4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4E993D"/>
  <w15:chartTrackingRefBased/>
  <w15:docId w15:val="{D846FA40-F3B0-4EA5-A3AC-0C6DE1AF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0B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B40B8"/>
    <w:rPr>
      <w:sz w:val="18"/>
      <w:szCs w:val="18"/>
    </w:rPr>
  </w:style>
  <w:style w:type="paragraph" w:styleId="a5">
    <w:name w:val="footer"/>
    <w:basedOn w:val="a"/>
    <w:link w:val="a6"/>
    <w:uiPriority w:val="99"/>
    <w:unhideWhenUsed/>
    <w:rsid w:val="00EB40B8"/>
    <w:pPr>
      <w:tabs>
        <w:tab w:val="center" w:pos="4153"/>
        <w:tab w:val="right" w:pos="8306"/>
      </w:tabs>
      <w:snapToGrid w:val="0"/>
      <w:jc w:val="left"/>
    </w:pPr>
    <w:rPr>
      <w:sz w:val="18"/>
      <w:szCs w:val="18"/>
    </w:rPr>
  </w:style>
  <w:style w:type="character" w:customStyle="1" w:styleId="a6">
    <w:name w:val="页脚 字符"/>
    <w:basedOn w:val="a0"/>
    <w:link w:val="a5"/>
    <w:uiPriority w:val="99"/>
    <w:rsid w:val="00EB40B8"/>
    <w:rPr>
      <w:sz w:val="18"/>
      <w:szCs w:val="18"/>
    </w:rPr>
  </w:style>
  <w:style w:type="paragraph" w:styleId="a7">
    <w:name w:val="annotation text"/>
    <w:basedOn w:val="a"/>
    <w:link w:val="a8"/>
    <w:autoRedefine/>
    <w:uiPriority w:val="99"/>
    <w:unhideWhenUsed/>
    <w:qFormat/>
    <w:rsid w:val="00EB40B8"/>
    <w:pPr>
      <w:ind w:firstLineChars="200" w:firstLine="420"/>
      <w:jc w:val="left"/>
    </w:pPr>
  </w:style>
  <w:style w:type="character" w:customStyle="1" w:styleId="a8">
    <w:name w:val="批注文字 字符"/>
    <w:basedOn w:val="a0"/>
    <w:link w:val="a7"/>
    <w:uiPriority w:val="99"/>
    <w:qFormat/>
    <w:rsid w:val="00EB40B8"/>
  </w:style>
  <w:style w:type="paragraph" w:styleId="a9">
    <w:name w:val="Bibliography"/>
    <w:basedOn w:val="a"/>
    <w:next w:val="a"/>
    <w:uiPriority w:val="37"/>
    <w:unhideWhenUsed/>
    <w:rsid w:val="00EB40B8"/>
    <w:pPr>
      <w:tabs>
        <w:tab w:val="left" w:pos="384"/>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2725</Words>
  <Characters>14800</Characters>
  <Application>Microsoft Office Word</Application>
  <DocSecurity>0</DocSecurity>
  <Lines>208</Lines>
  <Paragraphs>56</Paragraphs>
  <ScaleCrop>false</ScaleCrop>
  <Company/>
  <LinksUpToDate>false</LinksUpToDate>
  <CharactersWithSpaces>17469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思敏 赵</dc:creator>
  <cp:keywords/>
  <dc:description/>
  <cp:lastModifiedBy>思敏 赵</cp:lastModifiedBy>
  <cp:revision>5</cp:revision>
  <dcterms:created xsi:type="dcterms:W3CDTF">2025-04-11T09:11:00Z</dcterms:created>
  <dcterms:modified xsi:type="dcterms:W3CDTF">2025-04-11T14:29:00Z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id="5gzfNIEv"/&gt;&lt;style id="http://www.zotero.org/styles/cancer-letters" hasBibliography="1" bibliographyStyleHasBeenSet="1"/&gt;&lt;prefs&gt;&lt;pref name="fieldType" value="Field"/&gt;&lt;pref name="automaticJournalAb</vt:lpwstr>
  </property>
  <property fmtid="{D5CDD505-2E9C-101B-9397-08002B2CF9AE}" pid="3" name="ZOTERO_PREF_2">
    <vt:lpwstr>breviations" value="true"/&gt;&lt;/prefs&gt;&lt;/data&gt;</vt:lpwstr>
  </property>
</Properties>
</file>