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19035">
      <w:pPr>
        <w:keepNext w:val="0"/>
        <w:keepLines w:val="0"/>
        <w:widowControl/>
        <w:suppressLineNumbers w:val="0"/>
        <w:spacing w:beforeAutospacing="1" w:afterAutospacing="1"/>
        <w:ind w:firstLine="561" w:firstLineChars="200"/>
        <w:jc w:val="left"/>
        <w:rPr>
          <w:rStyle w:val="8"/>
          <w:rFonts w:hint="default" w:ascii="Times New Roman Regular" w:hAnsi="Times New Roman Regular" w:eastAsia="宋体" w:cs="Times New Roman Regular"/>
          <w:color w:val="auto"/>
          <w:sz w:val="28"/>
          <w:szCs w:val="28"/>
        </w:rPr>
      </w:pPr>
      <w:r>
        <w:rPr>
          <w:rStyle w:val="8"/>
          <w:rFonts w:hint="default" w:ascii="Times New Roman Regular" w:hAnsi="Times New Roman Regular" w:eastAsia="宋体" w:cs="Times New Roman Regular"/>
          <w:color w:val="auto"/>
          <w:sz w:val="28"/>
          <w:szCs w:val="28"/>
        </w:rPr>
        <w:t>A New Perspective in Hypertensive Heart Disease: From Epidemiology to Molecular and Metabolic Inflammation Insights</w:t>
      </w:r>
    </w:p>
    <w:p w14:paraId="17815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1" w:afterAutospacing="1"/>
        <w:ind w:firstLine="480" w:firstLineChars="200"/>
        <w:textAlignment w:val="auto"/>
        <w:rPr>
          <w:rStyle w:val="8"/>
          <w:rFonts w:hint="default" w:ascii="Times New Roman Regular" w:hAnsi="Times New Roman Regular" w:cs="Times New Roman Regular"/>
          <w:i/>
          <w:iCs/>
          <w:color w:val="auto"/>
          <w:sz w:val="24"/>
          <w:szCs w:val="24"/>
        </w:rPr>
      </w:pPr>
      <w:r>
        <w:rPr>
          <w:rStyle w:val="8"/>
          <w:rFonts w:hint="default" w:ascii="Times New Roman Regular" w:hAnsi="Times New Roman Regular" w:cs="Times New Roman Regular"/>
          <w:i/>
          <w:iCs/>
          <w:color w:val="auto"/>
          <w:sz w:val="24"/>
          <w:szCs w:val="24"/>
          <w:lang w:val="en-US"/>
        </w:rPr>
        <w:t>C</w:t>
      </w:r>
      <w:r>
        <w:rPr>
          <w:rStyle w:val="8"/>
          <w:rFonts w:hint="default" w:ascii="Times New Roman Regular" w:hAnsi="Times New Roman Regular" w:eastAsia="宋体" w:cs="Times New Roman Regular"/>
          <w:i/>
          <w:iCs/>
          <w:color w:val="auto"/>
          <w:sz w:val="24"/>
          <w:szCs w:val="24"/>
          <w:lang w:val="en-US" w:eastAsia="zh-CN"/>
        </w:rPr>
        <w:t>hi Zhang</w:t>
      </w:r>
      <w:r>
        <w:rPr>
          <w:rFonts w:hint="default" w:ascii="Times New Roman Regular" w:hAnsi="Times New Roman Regular" w:eastAsia="Arial" w:cs="Times New Roman Regular"/>
          <w:color w:val="auto"/>
          <w:sz w:val="24"/>
          <w:szCs w:val="24"/>
          <w:vertAlign w:val="superscript"/>
        </w:rPr>
        <w:t>1</w:t>
      </w:r>
      <w:r>
        <w:rPr>
          <w:rFonts w:hint="default" w:ascii="Times New Roman Regular" w:hAnsi="Times New Roman Regular" w:cs="Times New Roman Regular"/>
          <w:color w:val="auto"/>
          <w:sz w:val="24"/>
          <w:szCs w:val="24"/>
          <w:vertAlign w:val="superscript"/>
          <w:lang w:val="en-US"/>
        </w:rPr>
        <w:t>,2,3</w:t>
      </w:r>
      <w:r>
        <w:rPr>
          <w:rFonts w:hint="default" w:ascii="Times New Roman Regular" w:hAnsi="Times New Roman Regular" w:cs="Times New Roman Regular"/>
          <w:color w:val="auto"/>
          <w:sz w:val="24"/>
          <w:szCs w:val="24"/>
          <w:vertAlign w:val="superscript"/>
        </w:rPr>
        <w:t>#</w:t>
      </w:r>
      <w:r>
        <w:rPr>
          <w:rStyle w:val="8"/>
          <w:rFonts w:hint="default" w:ascii="Times New Roman Regular" w:hAnsi="Times New Roman Regular" w:eastAsia="宋体" w:cs="Times New Roman Regular"/>
          <w:i/>
          <w:iCs/>
          <w:color w:val="auto"/>
          <w:sz w:val="24"/>
          <w:szCs w:val="24"/>
          <w:lang w:val="en-US" w:eastAsia="zh-CN"/>
        </w:rPr>
        <w:t>，Huijun Du</w:t>
      </w:r>
      <w:r>
        <w:rPr>
          <w:rFonts w:hint="default" w:ascii="Times New Roman Regular" w:hAnsi="Times New Roman Regular" w:eastAsia="Arial" w:cs="Times New Roman Regular"/>
          <w:color w:val="auto"/>
          <w:sz w:val="24"/>
          <w:szCs w:val="24"/>
          <w:vertAlign w:val="superscript"/>
        </w:rPr>
        <w:t>1</w:t>
      </w:r>
      <w:r>
        <w:rPr>
          <w:rFonts w:hint="default" w:ascii="Times New Roman Regular" w:hAnsi="Times New Roman Regular" w:cs="Times New Roman Regular"/>
          <w:color w:val="auto"/>
          <w:sz w:val="24"/>
          <w:szCs w:val="24"/>
          <w:vertAlign w:val="superscript"/>
          <w:lang w:val="en-US"/>
        </w:rPr>
        <w:t>,2,3</w:t>
      </w:r>
      <w:r>
        <w:rPr>
          <w:rFonts w:hint="default" w:ascii="Times New Roman Regular" w:hAnsi="Times New Roman Regular" w:cs="Times New Roman Regular"/>
          <w:color w:val="auto"/>
          <w:sz w:val="24"/>
          <w:szCs w:val="24"/>
          <w:vertAlign w:val="superscript"/>
        </w:rPr>
        <w:t>#</w:t>
      </w:r>
      <w:r>
        <w:rPr>
          <w:rStyle w:val="8"/>
          <w:rFonts w:hint="default" w:ascii="Times New Roman Regular" w:hAnsi="Times New Roman Regular" w:eastAsia="宋体" w:cs="Times New Roman Regular"/>
          <w:i/>
          <w:iCs/>
          <w:color w:val="auto"/>
          <w:sz w:val="24"/>
          <w:szCs w:val="24"/>
          <w:lang w:val="en-US" w:eastAsia="zh-CN"/>
        </w:rPr>
        <w:t>，Shengwei Yang</w:t>
      </w:r>
      <w:r>
        <w:rPr>
          <w:rFonts w:hint="default" w:ascii="Times New Roman Regular" w:hAnsi="Times New Roman Regular" w:cs="Times New Roman Regular"/>
          <w:color w:val="auto"/>
          <w:sz w:val="24"/>
          <w:szCs w:val="24"/>
          <w:vertAlign w:val="superscript"/>
          <w:lang w:val="en-US" w:eastAsia="zh-CN"/>
        </w:rPr>
        <w:t>4</w:t>
      </w:r>
      <w:r>
        <w:rPr>
          <w:rFonts w:hint="default" w:ascii="Times New Roman Regular" w:hAnsi="Times New Roman Regular" w:cs="Times New Roman Regular"/>
          <w:color w:val="auto"/>
          <w:sz w:val="24"/>
          <w:szCs w:val="24"/>
          <w:vertAlign w:val="superscript"/>
        </w:rPr>
        <w:t>#</w:t>
      </w:r>
      <w:r>
        <w:rPr>
          <w:rStyle w:val="8"/>
          <w:rFonts w:hint="default" w:ascii="Times New Roman Regular" w:hAnsi="Times New Roman Regular" w:eastAsia="宋体" w:cs="Times New Roman Regular"/>
          <w:i/>
          <w:iCs/>
          <w:color w:val="auto"/>
          <w:sz w:val="24"/>
          <w:szCs w:val="24"/>
          <w:lang w:val="en-US" w:eastAsia="zh-CN"/>
        </w:rPr>
        <w:t>，Bingchen Liu</w:t>
      </w:r>
      <w:r>
        <w:rPr>
          <w:rFonts w:hint="default" w:ascii="Times New Roman Regular" w:hAnsi="Times New Roman Regular" w:eastAsia="Arial" w:cs="Times New Roman Regular"/>
          <w:color w:val="auto"/>
          <w:sz w:val="24"/>
          <w:szCs w:val="24"/>
          <w:vertAlign w:val="superscript"/>
        </w:rPr>
        <w:t>1</w:t>
      </w:r>
      <w:r>
        <w:rPr>
          <w:rFonts w:hint="default" w:ascii="Times New Roman Regular" w:hAnsi="Times New Roman Regular" w:cs="Times New Roman Regular"/>
          <w:color w:val="auto"/>
          <w:sz w:val="24"/>
          <w:szCs w:val="24"/>
          <w:vertAlign w:val="superscript"/>
          <w:lang w:val="en-US"/>
        </w:rPr>
        <w:t>,2,3</w:t>
      </w:r>
    </w:p>
    <w:p w14:paraId="0825B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1" w:afterAutospacing="1"/>
        <w:ind w:firstLine="480" w:firstLineChars="200"/>
        <w:textAlignment w:val="auto"/>
        <w:rPr>
          <w:rStyle w:val="8"/>
          <w:rFonts w:hint="default" w:ascii="Times New Roman Regular" w:hAnsi="Times New Roman Regular" w:cs="Times New Roman Regular"/>
          <w:i/>
          <w:iCs/>
          <w:color w:val="auto"/>
          <w:sz w:val="24"/>
          <w:szCs w:val="24"/>
        </w:rPr>
      </w:pPr>
      <w:r>
        <w:rPr>
          <w:rStyle w:val="8"/>
          <w:rFonts w:hint="default" w:ascii="Times New Roman Regular" w:hAnsi="Times New Roman Regular" w:cs="Times New Roman Regular"/>
          <w:i/>
          <w:iCs/>
          <w:color w:val="auto"/>
          <w:sz w:val="24"/>
          <w:szCs w:val="24"/>
        </w:rPr>
        <w:t>1. Department of Cardiology，The Second Affiliated Hospital, School of Medicine, Zhejiang University， Hangzhou 310009, China;</w:t>
      </w:r>
    </w:p>
    <w:p w14:paraId="3A730A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1" w:afterAutospacing="1"/>
        <w:ind w:firstLine="480" w:firstLineChars="200"/>
        <w:textAlignment w:val="auto"/>
        <w:rPr>
          <w:rStyle w:val="8"/>
          <w:rFonts w:hint="default" w:ascii="Times New Roman Regular" w:hAnsi="Times New Roman Regular" w:cs="Times New Roman Regular"/>
          <w:i/>
          <w:iCs/>
          <w:color w:val="auto"/>
          <w:sz w:val="24"/>
          <w:szCs w:val="24"/>
        </w:rPr>
      </w:pPr>
      <w:r>
        <w:rPr>
          <w:rStyle w:val="8"/>
          <w:rFonts w:hint="default" w:ascii="Times New Roman Regular" w:hAnsi="Times New Roman Regular" w:cs="Times New Roman Regular"/>
          <w:i/>
          <w:iCs/>
          <w:color w:val="auto"/>
          <w:sz w:val="24"/>
          <w:szCs w:val="24"/>
        </w:rPr>
        <w:t>2. State Key Laboratory of Transvascular Implantation Devices，Hangzhou 310009, China;</w:t>
      </w:r>
    </w:p>
    <w:p w14:paraId="610161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1" w:afterAutospacing="1"/>
        <w:ind w:firstLine="480" w:firstLineChars="200"/>
        <w:textAlignment w:val="auto"/>
        <w:rPr>
          <w:rStyle w:val="8"/>
          <w:rFonts w:hint="default" w:ascii="Times New Roman Regular" w:hAnsi="Times New Roman Regular" w:cs="Times New Roman Regular"/>
          <w:i/>
          <w:iCs/>
          <w:color w:val="auto"/>
          <w:sz w:val="24"/>
          <w:szCs w:val="24"/>
        </w:rPr>
      </w:pPr>
      <w:r>
        <w:rPr>
          <w:rFonts w:hint="default" w:ascii="Times New Roman Regular" w:hAnsi="Times New Roman Regular" w:cs="Times New Roman Regular" w:eastAsiaTheme="minorEastAsia"/>
          <w:b/>
          <w:i/>
          <w:iCs/>
          <w:color w:val="auto"/>
          <w:kern w:val="2"/>
          <w:sz w:val="24"/>
          <w:szCs w:val="24"/>
          <w:lang w:val="en-US" w:eastAsia="zh-CN" w:bidi="ar-SA"/>
        </w:rPr>
        <w:t>3.</w:t>
      </w:r>
      <w:r>
        <w:rPr>
          <w:rFonts w:hint="eastAsia" w:ascii="Times New Roman Regular" w:hAnsi="Times New Roman Regular" w:cs="Times New Roman Regular"/>
          <w:b/>
          <w:i/>
          <w:iCs/>
          <w:color w:val="auto"/>
          <w:kern w:val="2"/>
          <w:sz w:val="24"/>
          <w:szCs w:val="24"/>
          <w:lang w:val="en-US" w:eastAsia="zh-CN" w:bidi="ar-SA"/>
        </w:rPr>
        <w:t xml:space="preserve"> </w:t>
      </w:r>
      <w:r>
        <w:rPr>
          <w:rStyle w:val="8"/>
          <w:rFonts w:hint="default" w:ascii="Times New Roman Regular" w:hAnsi="Times New Roman Regular" w:cs="Times New Roman Regular"/>
          <w:i/>
          <w:iCs/>
          <w:color w:val="auto"/>
          <w:sz w:val="24"/>
          <w:szCs w:val="24"/>
        </w:rPr>
        <w:t>Heart Regeneration and Repair Key Laboratory of Zhejiang province，Hangzhou 310009, China;</w:t>
      </w:r>
    </w:p>
    <w:p w14:paraId="48C8E7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1" w:afterAutospacing="1"/>
        <w:ind w:firstLine="480" w:firstLineChars="200"/>
        <w:textAlignment w:val="auto"/>
        <w:rPr>
          <w:rStyle w:val="8"/>
          <w:rFonts w:hint="default" w:ascii="Times New Roman Regular" w:hAnsi="Times New Roman Regular" w:cs="Times New Roman Regular"/>
          <w:i/>
          <w:iCs/>
          <w:color w:val="auto"/>
          <w:sz w:val="24"/>
          <w:szCs w:val="24"/>
        </w:rPr>
      </w:pPr>
      <w:r>
        <w:rPr>
          <w:rFonts w:hint="default" w:ascii="Times New Roman Regular" w:hAnsi="Times New Roman Regular" w:cs="Times New Roman Regular" w:eastAsiaTheme="minorEastAsia"/>
          <w:b/>
          <w:i/>
          <w:iCs/>
          <w:color w:val="auto"/>
          <w:kern w:val="2"/>
          <w:sz w:val="24"/>
          <w:szCs w:val="24"/>
          <w:lang w:val="en-US" w:eastAsia="zh-CN" w:bidi="ar-SA"/>
        </w:rPr>
        <w:t>4.</w:t>
      </w:r>
      <w:r>
        <w:rPr>
          <w:rFonts w:hint="eastAsia" w:ascii="Times New Roman Regular" w:hAnsi="Times New Roman Regular" w:cs="Times New Roman Regular"/>
          <w:b/>
          <w:i/>
          <w:iCs/>
          <w:color w:val="auto"/>
          <w:kern w:val="2"/>
          <w:sz w:val="24"/>
          <w:szCs w:val="24"/>
          <w:lang w:val="en-US" w:eastAsia="zh-CN" w:bidi="ar-SA"/>
        </w:rPr>
        <w:t xml:space="preserve"> </w:t>
      </w:r>
      <w:r>
        <w:rPr>
          <w:rStyle w:val="8"/>
          <w:rFonts w:hint="default" w:ascii="Times New Roman Regular" w:hAnsi="Times New Roman Regular" w:cs="Times New Roman Regular"/>
          <w:i/>
          <w:iCs/>
          <w:color w:val="auto"/>
          <w:sz w:val="24"/>
          <w:szCs w:val="24"/>
        </w:rPr>
        <w:t>Insigma Technology Co.,Ltd.</w:t>
      </w:r>
      <w:r>
        <w:rPr>
          <w:rStyle w:val="8"/>
          <w:rFonts w:hint="eastAsia" w:ascii="Times New Roman Regular" w:hAnsi="Times New Roman Regular" w:cs="Times New Roman Regular"/>
          <w:i/>
          <w:iCs/>
          <w:color w:val="auto"/>
          <w:sz w:val="24"/>
          <w:szCs w:val="24"/>
          <w:lang w:val="en-US" w:eastAsia="zh-CN"/>
        </w:rPr>
        <w:t xml:space="preserve"> </w:t>
      </w:r>
      <w:r>
        <w:rPr>
          <w:rStyle w:val="8"/>
          <w:rFonts w:hint="default" w:ascii="Times New Roman Regular" w:hAnsi="Times New Roman Regular" w:cs="Times New Roman Regular"/>
          <w:i/>
          <w:iCs/>
          <w:color w:val="auto"/>
          <w:sz w:val="24"/>
          <w:szCs w:val="24"/>
        </w:rPr>
        <w:t>Hangzhou 310009, China;</w:t>
      </w:r>
    </w:p>
    <w:p w14:paraId="4DF7021A">
      <w:pPr>
        <w:shd w:val="clear" w:color="auto" w:fill="FFFFFF"/>
        <w:spacing w:line="480" w:lineRule="auto"/>
        <w:rPr>
          <w:rStyle w:val="8"/>
          <w:rFonts w:hint="default" w:ascii="Times New Roman Regular" w:hAnsi="Times New Roman Regular" w:cs="Times New Roman Regular"/>
          <w:i/>
          <w:iCs/>
          <w:color w:val="auto"/>
          <w:sz w:val="24"/>
          <w:szCs w:val="24"/>
        </w:rPr>
      </w:pPr>
      <w:r>
        <w:rPr>
          <w:rStyle w:val="8"/>
          <w:rFonts w:hint="eastAsia" w:ascii="Times New Roman Regular" w:hAnsi="Times New Roman Regular" w:eastAsia="宋体" w:cs="Times New Roman Regular"/>
          <w:i/>
          <w:iCs/>
        </w:rPr>
        <w:t># CZ</w:t>
      </w:r>
      <w:r>
        <w:rPr>
          <w:rStyle w:val="8"/>
          <w:rFonts w:hint="default" w:ascii="Times New Roman Regular" w:hAnsi="Times New Roman Regular" w:eastAsia="宋体" w:cs="Times New Roman Regular"/>
          <w:i/>
          <w:iCs/>
          <w:lang w:val="en-US"/>
        </w:rPr>
        <w:t>,</w:t>
      </w:r>
      <w:r>
        <w:rPr>
          <w:rStyle w:val="8"/>
          <w:rFonts w:hint="eastAsia" w:ascii="Times New Roman Regular" w:hAnsi="Times New Roman Regular" w:eastAsia="宋体" w:cs="Times New Roman Regular"/>
          <w:i/>
          <w:iCs/>
          <w:lang w:val="en-US" w:eastAsia="zh-CN"/>
        </w:rPr>
        <w:t xml:space="preserve"> </w:t>
      </w:r>
      <w:r>
        <w:rPr>
          <w:rStyle w:val="8"/>
          <w:rFonts w:hint="eastAsia" w:ascii="Times New Roman Regular" w:hAnsi="Times New Roman Regular" w:eastAsia="宋体" w:cs="Times New Roman Regular"/>
          <w:i/>
          <w:iCs/>
        </w:rPr>
        <w:t>HD</w:t>
      </w:r>
      <w:r>
        <w:rPr>
          <w:rStyle w:val="8"/>
          <w:rFonts w:hint="default" w:ascii="Times New Roman Regular" w:hAnsi="Times New Roman Regular" w:eastAsia="宋体" w:cs="Times New Roman Regular"/>
          <w:i/>
          <w:iCs/>
          <w:lang w:val="en-US"/>
        </w:rPr>
        <w:t xml:space="preserve"> and SY</w:t>
      </w:r>
      <w:r>
        <w:rPr>
          <w:rStyle w:val="8"/>
          <w:rFonts w:hint="eastAsia" w:ascii="Times New Roman Regular" w:hAnsi="Times New Roman Regular" w:eastAsia="宋体" w:cs="Times New Roman Regular"/>
          <w:i/>
          <w:iCs/>
        </w:rPr>
        <w:t xml:space="preserve"> contributed equally to this article.</w:t>
      </w:r>
    </w:p>
    <w:p w14:paraId="68BECACB">
      <w:pPr>
        <w:shd w:val="clear" w:color="auto" w:fill="FFFFFF"/>
        <w:spacing w:line="480" w:lineRule="auto"/>
        <w:jc w:val="left"/>
        <w:rPr>
          <w:rFonts w:hint="default" w:ascii="Times New Roman Regular" w:hAnsi="Times New Roman Regular" w:cs="Times New Roman Regular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cs="Times New Roman Regular"/>
          <w:b/>
          <w:i/>
          <w:iCs/>
          <w:sz w:val="24"/>
          <w:szCs w:val="24"/>
        </w:rPr>
        <w:t>*Corresponding author:</w:t>
      </w:r>
      <w:r>
        <w:rPr>
          <w:rFonts w:ascii="Times New Roman Regular" w:hAnsi="Times New Roman Regular" w:cs="Times New Roman Regular"/>
          <w:i/>
          <w:iCs/>
          <w:color w:val="000000"/>
          <w:sz w:val="24"/>
          <w:szCs w:val="24"/>
        </w:rPr>
        <w:t xml:space="preserve"> </w:t>
      </w:r>
      <w:r>
        <w:rPr>
          <w:rStyle w:val="8"/>
          <w:rFonts w:hint="default" w:ascii="Times New Roman Regular" w:hAnsi="Times New Roman Regular" w:eastAsia="宋体" w:cs="Times New Roman Regular"/>
          <w:i/>
          <w:iCs/>
          <w:lang w:val="en-US" w:eastAsia="zh-CN"/>
        </w:rPr>
        <w:t>B</w:t>
      </w:r>
      <w:r>
        <w:rPr>
          <w:rStyle w:val="8"/>
          <w:rFonts w:hint="eastAsia" w:ascii="Times New Roman Regular" w:hAnsi="Times New Roman Regular" w:eastAsia="宋体" w:cs="Times New Roman Regular"/>
          <w:i/>
          <w:iCs/>
          <w:lang w:val="en-US" w:eastAsia="zh-CN"/>
        </w:rPr>
        <w:t xml:space="preserve">ingchen </w:t>
      </w:r>
      <w:r>
        <w:rPr>
          <w:rStyle w:val="8"/>
          <w:rFonts w:hint="default" w:ascii="Times New Roman Regular" w:hAnsi="Times New Roman Regular" w:eastAsia="宋体" w:cs="Times New Roman Regular"/>
          <w:i/>
          <w:iCs/>
          <w:lang w:val="en-US" w:eastAsia="zh-CN"/>
        </w:rPr>
        <w:t>L</w:t>
      </w:r>
      <w:r>
        <w:rPr>
          <w:rStyle w:val="8"/>
          <w:rFonts w:hint="eastAsia" w:ascii="Times New Roman Regular" w:hAnsi="Times New Roman Regular" w:eastAsia="宋体" w:cs="Times New Roman Regular"/>
          <w:i/>
          <w:iCs/>
          <w:lang w:val="en-US" w:eastAsia="zh-CN"/>
        </w:rPr>
        <w:t>iu</w:t>
      </w:r>
      <w:r>
        <w:rPr>
          <w:rStyle w:val="8"/>
          <w:rFonts w:hint="eastAsia" w:ascii="Times New Roman Regular" w:hAnsi="Times New Roman Regular" w:eastAsia="宋体" w:cs="Times New Roman Regular"/>
          <w:i/>
          <w:iCs/>
        </w:rPr>
        <w:t>, Ph.D., Depart</w:t>
      </w:r>
      <w:r>
        <w:rPr>
          <w:rStyle w:val="8"/>
          <w:rFonts w:hint="eastAsia" w:ascii="Times New Roman Regular" w:hAnsi="Times New Roman Regular" w:cs="Times New Roman Regular"/>
          <w:i/>
          <w:iCs/>
        </w:rPr>
        <w:t>ment of Cardiology</w:t>
      </w:r>
      <w:r>
        <w:rPr>
          <w:rStyle w:val="8"/>
          <w:rFonts w:hint="eastAsia" w:ascii="Times New Roman Regular" w:hAnsi="Times New Roman Regular" w:cs="Times New Roman Regular"/>
          <w:i/>
          <w:iCs/>
          <w:lang w:val="en-US" w:eastAsia="zh-CN"/>
        </w:rPr>
        <w:t xml:space="preserve">, </w:t>
      </w:r>
      <w:r>
        <w:rPr>
          <w:rStyle w:val="8"/>
          <w:rFonts w:hint="eastAsia" w:ascii="Times New Roman Regular" w:hAnsi="Times New Roman Regular" w:cs="Times New Roman Regular"/>
          <w:i/>
          <w:iCs/>
        </w:rPr>
        <w:t>The Second Affiliated Hospital, School of Medicine, Zhejiang University</w:t>
      </w:r>
      <w:r>
        <w:rPr>
          <w:rFonts w:ascii="Times New Roman Regular" w:hAnsi="Times New Roman Regular" w:cs="Times New Roman Regular"/>
          <w:i/>
          <w:iCs/>
          <w:color w:val="000000"/>
          <w:sz w:val="24"/>
          <w:szCs w:val="24"/>
        </w:rPr>
        <w:t>, 88 Jiefang Rd, Hangzhou 310009, P.R. China. E‐mail address</w:t>
      </w:r>
      <w:r>
        <w:rPr>
          <w:rFonts w:ascii="Times New Roman Regular" w:hAnsi="Times New Roman Regular" w:cs="Times New Roman Regular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ascii="Times New Roman Regular" w:hAnsi="Times New Roman Regular" w:cs="Times New Roman Regular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 Regular" w:hAnsi="Times New Roman Regular" w:cs="Times New Roman Regular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instrText xml:space="preserve"> HYPERLINK "mailto:liubingchen111@zju.edu.cn" </w:instrText>
      </w:r>
      <w:r>
        <w:rPr>
          <w:rFonts w:hint="default" w:ascii="Times New Roman Regular" w:hAnsi="Times New Roman Regular" w:cs="Times New Roman Regular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default" w:ascii="Times New Roman Regular" w:hAnsi="Times New Roman Regular" w:cs="Times New Roman Regular"/>
          <w:i/>
          <w:iCs/>
          <w:sz w:val="24"/>
          <w:szCs w:val="24"/>
        </w:rPr>
        <w:t>liubingchen111@zju.edu.cn</w:t>
      </w:r>
      <w:r>
        <w:rPr>
          <w:rFonts w:hint="default" w:ascii="Times New Roman Regular" w:hAnsi="Times New Roman Regular" w:cs="Times New Roman Regular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</w:p>
    <w:p w14:paraId="76E49DA0">
      <w:pPr>
        <w:shd w:val="clear" w:color="auto" w:fill="FFFFFF"/>
        <w:spacing w:line="480" w:lineRule="auto"/>
        <w:jc w:val="left"/>
        <w:rPr>
          <w:rFonts w:hint="default" w:ascii="Times New Roman Regular" w:hAnsi="Times New Roman Regular" w:cs="Times New Roman Regular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02384E6">
      <w:pPr>
        <w:shd w:val="clear" w:color="auto" w:fill="FFFFFF"/>
        <w:spacing w:line="480" w:lineRule="auto"/>
        <w:jc w:val="left"/>
        <w:rPr>
          <w:rFonts w:hint="eastAsia" w:ascii="Times New Roman Regular" w:hAnsi="Times New Roman Regular" w:cs="Times New Roman Regular" w:eastAsiaTheme="minorEastAsia"/>
          <w:b/>
          <w:color w:val="auto"/>
          <w:sz w:val="24"/>
          <w:szCs w:val="24"/>
          <w:lang w:eastAsia="zh-CN"/>
        </w:rPr>
      </w:pPr>
      <w:r>
        <w:rPr>
          <w:rFonts w:hint="eastAsia" w:ascii="Times New Roman Regular" w:hAnsi="Times New Roman Regular" w:cs="Times New Roman Regular" w:eastAsiaTheme="minorEastAsia"/>
          <w:b/>
          <w:color w:val="auto"/>
          <w:sz w:val="24"/>
          <w:szCs w:val="24"/>
          <w:lang w:eastAsia="zh-CN"/>
        </w:rPr>
        <w:drawing>
          <wp:inline distT="0" distB="0" distL="114300" distR="114300">
            <wp:extent cx="5272405" cy="6725285"/>
            <wp:effectExtent l="0" t="0" r="10795" b="5715"/>
            <wp:docPr id="4" name="图片 4" descr="/Users/flora/Documents/R_learning/heart/Hypertensive Heart Disease/GSE267794_154326_254800/figure2/supplement Figure1_副supplement.tifsupplement Figure1_副suppl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/Users/flora/Documents/R_learning/heart/Hypertensive Heart Disease/GSE267794_154326_254800/figure2/supplement Figure1_副supplement.tifsupplement Figure1_副supplement"/>
                    <pic:cNvPicPr>
                      <a:picLocks noChangeAspect="1"/>
                    </pic:cNvPicPr>
                  </pic:nvPicPr>
                  <pic:blipFill>
                    <a:blip r:embed="rId4"/>
                    <a:srcRect l="5" r="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72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53EE8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 Regular" w:hAnsi="Times New Roman Regular" w:cs="Times New Roman Regular"/>
          <w:i/>
          <w:iCs/>
          <w:sz w:val="22"/>
          <w:szCs w:val="22"/>
          <w:lang w:val="en-US" w:eastAsia="zh-CN"/>
        </w:rPr>
      </w:pPr>
      <w:r>
        <w:rPr>
          <w:rFonts w:hint="default" w:ascii="Times New Roman Bold" w:hAnsi="Times New Roman Bold" w:cs="Times New Roman Bold"/>
          <w:b/>
          <w:bCs/>
          <w:i/>
          <w:iCs/>
          <w:sz w:val="22"/>
          <w:szCs w:val="22"/>
          <w:lang w:val="en-US" w:eastAsia="zh-CN"/>
        </w:rPr>
        <w:t xml:space="preserve">Supplementary Figure 1. Cut-off points for inflammatory indices calculated using the “survival curves_cutpoint” method. </w:t>
      </w:r>
      <w:r>
        <w:rPr>
          <w:rFonts w:hint="default" w:ascii="Times New Roman Regular" w:hAnsi="Times New Roman Regular" w:cs="Times New Roman Regular"/>
          <w:i/>
          <w:iCs/>
          <w:sz w:val="22"/>
          <w:szCs w:val="22"/>
          <w:lang w:val="en-US" w:eastAsia="zh-CN"/>
        </w:rPr>
        <w:t>Shown are the determined thresholds for: (A) hsCRP at 11.21 mg/L; (B) SIRI at 30.93; (C) NMLR at 10.08; (D) NHR at 0.07; (E) NPR at 0.03; (F) EMR at 0.01.</w:t>
      </w:r>
    </w:p>
    <w:p w14:paraId="66D978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1" w:afterAutospacing="1"/>
        <w:jc w:val="both"/>
        <w:textAlignment w:val="auto"/>
        <w:rPr>
          <w:rStyle w:val="8"/>
          <w:rFonts w:hint="eastAsia" w:ascii="Times New Roman Regular" w:hAnsi="Times New Roman Regular" w:cs="Times New Roman Regular" w:eastAsiaTheme="minorEastAsia"/>
          <w:i/>
          <w:iCs/>
          <w:color w:val="auto"/>
          <w:sz w:val="24"/>
          <w:szCs w:val="24"/>
          <w:lang w:eastAsia="zh-CN"/>
        </w:rPr>
      </w:pPr>
      <w:r>
        <w:rPr>
          <w:rStyle w:val="8"/>
          <w:rFonts w:hint="eastAsia" w:ascii="Times New Roman Regular" w:hAnsi="Times New Roman Regular" w:cs="Times New Roman Regular" w:eastAsiaTheme="minorEastAsia"/>
          <w:i/>
          <w:iCs/>
          <w:color w:val="auto"/>
          <w:sz w:val="24"/>
          <w:szCs w:val="24"/>
          <w:lang w:eastAsia="zh-CN"/>
        </w:rPr>
        <w:drawing>
          <wp:inline distT="0" distB="0" distL="114300" distR="114300">
            <wp:extent cx="5272405" cy="6762115"/>
            <wp:effectExtent l="0" t="0" r="10795" b="19685"/>
            <wp:docPr id="2" name="图片 2" descr="supplement Fig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 Figure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76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9944E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Style w:val="8"/>
          <w:rFonts w:hint="default" w:ascii="Times New Roman Regular" w:hAnsi="Times New Roman Regular" w:cs="Times New Roman Regular" w:eastAsiaTheme="minorEastAsia"/>
          <w:i/>
          <w:iCs/>
          <w:color w:val="auto"/>
          <w:sz w:val="22"/>
          <w:szCs w:val="22"/>
          <w:lang w:eastAsia="zh-CN"/>
        </w:rPr>
      </w:pPr>
      <w:r>
        <w:rPr>
          <w:rFonts w:hint="default" w:ascii="Times New Roman Regular" w:hAnsi="Times New Roman Regular" w:eastAsia="宋体" w:cs="Times New Roman Regular"/>
          <w:b/>
          <w:bCs/>
          <w:i/>
          <w:iCs/>
          <w:kern w:val="2"/>
          <w:sz w:val="22"/>
          <w:szCs w:val="22"/>
          <w:lang w:val="en-US" w:eastAsia="zh-CN" w:bidi="ar"/>
        </w:rPr>
        <w:t xml:space="preserve">Supplementary Figure 2. Cut-off points for other inflammatory indices calculated using the “survival curves_cutpoint” method. </w:t>
      </w:r>
      <w:r>
        <w:rPr>
          <w:rFonts w:hint="default" w:ascii="Times New Roman Regular" w:hAnsi="Times New Roman Regular" w:eastAsia="宋体" w:cs="Times New Roman Regular"/>
          <w:i/>
          <w:iCs/>
          <w:kern w:val="2"/>
          <w:sz w:val="22"/>
          <w:szCs w:val="22"/>
          <w:lang w:val="en-US" w:eastAsia="zh-CN" w:bidi="ar"/>
        </w:rPr>
        <w:t xml:space="preserve">Shown are the determined thresholds for: (A) </w:t>
      </w:r>
      <w:r>
        <w:rPr>
          <w:rFonts w:hint="default" w:ascii="Times New Roman Regular" w:hAnsi="Times New Roman Regular" w:eastAsia="宋体" w:cs="Times New Roman Regular"/>
          <w:kern w:val="2"/>
          <w:sz w:val="22"/>
          <w:szCs w:val="22"/>
          <w:lang w:val="en-US" w:eastAsia="zh-CN" w:bidi="ar"/>
        </w:rPr>
        <w:t xml:space="preserve">NLR </w:t>
      </w:r>
      <w:r>
        <w:rPr>
          <w:rFonts w:hint="default" w:ascii="Times New Roman Regular" w:hAnsi="Times New Roman Regular" w:eastAsia="宋体" w:cs="Times New Roman Regular"/>
          <w:i/>
          <w:iCs/>
          <w:kern w:val="2"/>
          <w:sz w:val="22"/>
          <w:szCs w:val="22"/>
          <w:lang w:val="en-US" w:eastAsia="zh-CN" w:bidi="ar"/>
        </w:rPr>
        <w:t>at</w:t>
      </w:r>
      <w:r>
        <w:rPr>
          <w:rFonts w:hint="default" w:ascii="Times New Roman Regular" w:hAnsi="Times New Roman Regular" w:eastAsia="宋体" w:cs="Times New Roman Regular"/>
          <w:kern w:val="2"/>
          <w:sz w:val="22"/>
          <w:szCs w:val="22"/>
          <w:lang w:val="en-US" w:eastAsia="zh-CN" w:bidi="ar"/>
        </w:rPr>
        <w:t xml:space="preserve"> 3.53</w:t>
      </w:r>
      <w:r>
        <w:rPr>
          <w:rFonts w:hint="default" w:ascii="Times New Roman Regular" w:hAnsi="Times New Roman Regular" w:eastAsia="宋体" w:cs="Times New Roman Regular"/>
          <w:i/>
          <w:iCs/>
          <w:kern w:val="2"/>
          <w:sz w:val="22"/>
          <w:szCs w:val="22"/>
          <w:lang w:val="en-US" w:eastAsia="zh-CN" w:bidi="ar"/>
        </w:rPr>
        <w:t xml:space="preserve">; (B) CAR at 0.29; (C) LMR at 0.15; (D) </w:t>
      </w:r>
      <w:r>
        <w:rPr>
          <w:rFonts w:hint="default" w:ascii="Times New Roman Regular" w:hAnsi="Times New Roman Regular" w:cs="Times New Roman Regular"/>
          <w:sz w:val="22"/>
          <w:szCs w:val="22"/>
          <w:lang w:val="en-US" w:eastAsia="zh-CN"/>
        </w:rPr>
        <w:t>SII</w:t>
      </w:r>
      <w:r>
        <w:rPr>
          <w:rFonts w:hint="default" w:ascii="Times New Roman Regular" w:hAnsi="Times New Roman Regular" w:eastAsia="宋体" w:cs="Times New Roman Regular"/>
          <w:i/>
          <w:iCs/>
          <w:kern w:val="2"/>
          <w:sz w:val="22"/>
          <w:szCs w:val="22"/>
          <w:lang w:val="en-US" w:eastAsia="zh-CN" w:bidi="ar"/>
        </w:rPr>
        <w:t xml:space="preserve"> at </w:t>
      </w:r>
      <w:r>
        <w:rPr>
          <w:rFonts w:hint="default" w:ascii="Times New Roman Regular" w:hAnsi="Times New Roman Regular" w:eastAsia="宋体" w:cs="Times New Roman Regular"/>
          <w:kern w:val="2"/>
          <w:sz w:val="22"/>
          <w:szCs w:val="22"/>
          <w:lang w:val="en-US" w:eastAsia="zh-CN" w:bidi="ar"/>
        </w:rPr>
        <w:t>807</w:t>
      </w:r>
      <w:r>
        <w:rPr>
          <w:rFonts w:hint="default" w:ascii="Times New Roman Regular" w:hAnsi="Times New Roman Regular" w:eastAsia="宋体" w:cs="Times New Roman Regular"/>
          <w:i/>
          <w:iCs/>
          <w:kern w:val="2"/>
          <w:sz w:val="22"/>
          <w:szCs w:val="22"/>
          <w:lang w:val="en-US" w:eastAsia="zh-CN" w:bidi="ar"/>
        </w:rPr>
        <w:t>; (E) ELR at 0.2; (F) EWR at 0.01.</w:t>
      </w:r>
    </w:p>
    <w:p w14:paraId="6EE7AD36">
      <w:pPr>
        <w:jc w:val="both"/>
        <w:rPr>
          <w:rFonts w:hint="default" w:ascii="Times New Roman Regular" w:hAnsi="Times New Roman Regular" w:cs="Times New Roman Regular"/>
          <w:color w:val="auto"/>
          <w:sz w:val="22"/>
          <w:szCs w:val="22"/>
        </w:rPr>
      </w:pPr>
      <w:r>
        <w:rPr>
          <w:rFonts w:hint="default" w:ascii="Times New Roman Regular" w:hAnsi="Times New Roman Regular" w:eastAsia="宋体" w:cs="Times New Roman Regular"/>
          <w:color w:val="auto"/>
          <w:kern w:val="2"/>
          <w:sz w:val="24"/>
          <w:szCs w:val="24"/>
          <w:lang w:eastAsia="zh-CN" w:bidi="ar"/>
        </w:rPr>
        <w:drawing>
          <wp:inline distT="0" distB="0" distL="114300" distR="114300">
            <wp:extent cx="5272405" cy="7137400"/>
            <wp:effectExtent l="0" t="0" r="10795" b="0"/>
            <wp:docPr id="1" name="图片 1" descr="/Users/flora/Documents/R_learning/heart/Hypertensive Heart Disease/GSE267794_154326_254800/figure2/6大炎症指标---生存曲线——supplement_画板 1.tif6大炎症指标---生存曲线——supplement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/Users/flora/Documents/R_learning/heart/Hypertensive Heart Disease/GSE267794_154326_254800/figure2/6大炎症指标---生存曲线——supplement_画板 1.tif6大炎症指标---生存曲线——supplement_画板 1"/>
                    <pic:cNvPicPr>
                      <a:picLocks noChangeAspect="1"/>
                    </pic:cNvPicPr>
                  </pic:nvPicPr>
                  <pic:blipFill>
                    <a:blip r:embed="rId6"/>
                    <a:srcRect t="6" b="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13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 Bold" w:hAnsi="Times New Roman Bold" w:cs="Times New Roman Bold"/>
          <w:b/>
          <w:bCs/>
          <w:sz w:val="22"/>
          <w:szCs w:val="22"/>
          <w:lang w:val="en-US" w:eastAsia="zh-CN"/>
        </w:rPr>
        <w:t xml:space="preserve">Supplementary </w:t>
      </w:r>
      <w:r>
        <w:rPr>
          <w:rStyle w:val="8"/>
          <w:rFonts w:hint="default" w:ascii="Times New Roman Regular" w:hAnsi="Times New Roman Regular" w:eastAsia="宋体" w:cs="Times New Roman Regular"/>
          <w:i/>
          <w:iCs/>
          <w:color w:val="auto"/>
          <w:sz w:val="22"/>
          <w:szCs w:val="22"/>
          <w:lang w:val="en-US"/>
        </w:rPr>
        <w:t>F</w:t>
      </w:r>
      <w:r>
        <w:rPr>
          <w:rStyle w:val="8"/>
          <w:rFonts w:hint="default" w:ascii="Times New Roman Regular" w:hAnsi="Times New Roman Regular" w:eastAsia="宋体" w:cs="Times New Roman Regular"/>
          <w:i/>
          <w:iCs/>
          <w:color w:val="auto"/>
          <w:sz w:val="22"/>
          <w:szCs w:val="22"/>
          <w:lang w:val="en-US" w:eastAsia="zh-CN"/>
        </w:rPr>
        <w:t>igure</w:t>
      </w:r>
      <w:r>
        <w:rPr>
          <w:rStyle w:val="8"/>
          <w:rFonts w:hint="eastAsia" w:ascii="Times New Roman Regular" w:hAnsi="Times New Roman Regular" w:eastAsia="宋体" w:cs="Times New Roman Regular"/>
          <w:i/>
          <w:iCs/>
          <w:color w:val="auto"/>
          <w:sz w:val="22"/>
          <w:szCs w:val="22"/>
          <w:lang w:val="en-US" w:eastAsia="zh-CN"/>
        </w:rPr>
        <w:t>3</w:t>
      </w:r>
      <w:r>
        <w:rPr>
          <w:rStyle w:val="8"/>
          <w:rFonts w:hint="default" w:ascii="Times New Roman Regular" w:hAnsi="Times New Roman Regular" w:eastAsia="宋体" w:cs="Times New Roman Regular"/>
          <w:i/>
          <w:iCs/>
          <w:color w:val="auto"/>
          <w:sz w:val="22"/>
          <w:szCs w:val="22"/>
        </w:rPr>
        <w:t xml:space="preserve">. </w:t>
      </w:r>
      <w:r>
        <w:rPr>
          <w:rStyle w:val="8"/>
          <w:rFonts w:hint="default" w:ascii="Times New Roman Regular" w:hAnsi="Times New Roman Regular" w:cs="Times New Roman Regular"/>
          <w:i/>
          <w:iCs/>
          <w:color w:val="auto"/>
          <w:sz w:val="22"/>
          <w:szCs w:val="22"/>
        </w:rPr>
        <w:t xml:space="preserve">Survival analysis </w:t>
      </w:r>
      <w:r>
        <w:rPr>
          <w:rStyle w:val="8"/>
          <w:rFonts w:hint="default" w:ascii="Times New Roman Regular" w:hAnsi="Times New Roman Regular" w:cs="Times New Roman Regular"/>
          <w:i/>
          <w:iCs/>
          <w:color w:val="auto"/>
          <w:sz w:val="22"/>
          <w:szCs w:val="22"/>
          <w:lang w:val="en-US" w:eastAsia="zh-CN"/>
        </w:rPr>
        <w:t xml:space="preserve">of </w:t>
      </w:r>
      <w:r>
        <w:rPr>
          <w:rStyle w:val="8"/>
          <w:rFonts w:hint="default" w:ascii="Times New Roman Regular" w:hAnsi="Times New Roman Regular" w:cs="Times New Roman Regular"/>
          <w:i/>
          <w:iCs/>
          <w:color w:val="auto"/>
          <w:sz w:val="22"/>
          <w:szCs w:val="22"/>
        </w:rPr>
        <w:t>inflammatory indices in hypertension</w:t>
      </w:r>
      <w:r>
        <w:rPr>
          <w:rStyle w:val="8"/>
          <w:rFonts w:hint="default" w:ascii="Times New Roman Regular" w:hAnsi="Times New Roman Regular" w:eastAsia="宋体" w:cs="Times New Roman Regular"/>
          <w:i/>
          <w:iCs/>
          <w:color w:val="auto"/>
          <w:sz w:val="22"/>
          <w:szCs w:val="22"/>
          <w:lang w:val="en-US" w:eastAsia="zh-CN"/>
        </w:rPr>
        <w:t xml:space="preserve"> individuals</w:t>
      </w:r>
      <w:r>
        <w:rPr>
          <w:rStyle w:val="8"/>
          <w:rFonts w:hint="default" w:ascii="Times New Roman Regular" w:hAnsi="Times New Roman Regular" w:cs="Times New Roman Regular"/>
          <w:i/>
          <w:iCs/>
          <w:color w:val="auto"/>
          <w:sz w:val="22"/>
          <w:szCs w:val="22"/>
        </w:rPr>
        <w:t xml:space="preserve">. </w:t>
      </w:r>
      <w:r>
        <w:rPr>
          <w:rFonts w:hint="default" w:ascii="Times New Roman Regular" w:hAnsi="Times New Roman Regular" w:cs="Times New Roman Regular"/>
          <w:i/>
          <w:iCs/>
          <w:color w:val="auto"/>
          <w:sz w:val="22"/>
          <w:szCs w:val="22"/>
        </w:rPr>
        <w:t xml:space="preserve">(A) Kaplan-Meier survival curves stratified by </w:t>
      </w:r>
      <w:r>
        <w:rPr>
          <w:rFonts w:hint="default" w:ascii="Times New Roman Regular" w:hAnsi="Times New Roman Regular" w:cs="Times New Roman Regular"/>
          <w:i/>
          <w:iCs/>
          <w:color w:val="auto"/>
          <w:sz w:val="22"/>
          <w:szCs w:val="22"/>
          <w:lang w:val="en-US"/>
        </w:rPr>
        <w:t>NLR</w:t>
      </w:r>
      <w:r>
        <w:rPr>
          <w:rFonts w:hint="default" w:ascii="Times New Roman Regular" w:hAnsi="Times New Roman Regular" w:cs="Times New Roman Regular"/>
          <w:i/>
          <w:iCs/>
          <w:color w:val="auto"/>
          <w:sz w:val="22"/>
          <w:szCs w:val="22"/>
        </w:rPr>
        <w:t xml:space="preserve"> categories;(B) Kaplan-Meier survival curves stratified by </w:t>
      </w:r>
      <w:r>
        <w:rPr>
          <w:rFonts w:hint="default" w:ascii="Times New Roman Regular" w:hAnsi="Times New Roman Regular" w:cs="Times New Roman Regular"/>
          <w:i/>
          <w:iCs/>
          <w:color w:val="auto"/>
          <w:sz w:val="22"/>
          <w:szCs w:val="22"/>
          <w:lang w:val="en-US"/>
        </w:rPr>
        <w:t>CAR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sz w:val="22"/>
          <w:szCs w:val="22"/>
          <w:lang w:val="en-US" w:eastAsia="zh-CN"/>
        </w:rPr>
        <w:t xml:space="preserve"> </w:t>
      </w:r>
      <w:r>
        <w:rPr>
          <w:rFonts w:hint="default" w:ascii="Times New Roman Regular" w:hAnsi="Times New Roman Regular" w:cs="Times New Roman Regular"/>
          <w:i/>
          <w:iCs/>
          <w:color w:val="auto"/>
          <w:sz w:val="22"/>
          <w:szCs w:val="22"/>
        </w:rPr>
        <w:t xml:space="preserve">categories; </w:t>
      </w:r>
      <w:r>
        <w:rPr>
          <w:rFonts w:hint="default" w:ascii="Times New Roman Regular" w:hAnsi="Times New Roman Regular" w:cs="Times New Roman Regular"/>
          <w:i/>
          <w:iCs/>
          <w:color w:val="auto"/>
          <w:sz w:val="22"/>
          <w:szCs w:val="22"/>
          <w:lang w:eastAsia="zh-CN" w:bidi="ar"/>
        </w:rPr>
        <w:t xml:space="preserve">(C) Kaplan-Meier survival curves stratified by </w:t>
      </w:r>
      <w:r>
        <w:rPr>
          <w:rFonts w:hint="default" w:ascii="Times New Roman Regular" w:hAnsi="Times New Roman Regular" w:cs="Times New Roman Regular"/>
          <w:i/>
          <w:iCs/>
          <w:color w:val="auto"/>
          <w:sz w:val="22"/>
          <w:szCs w:val="22"/>
          <w:lang w:val="en-US"/>
        </w:rPr>
        <w:t xml:space="preserve">LMR </w:t>
      </w:r>
      <w:r>
        <w:rPr>
          <w:rFonts w:hint="default" w:ascii="Times New Roman Regular" w:hAnsi="Times New Roman Regular" w:cs="Times New Roman Regular"/>
          <w:i/>
          <w:iCs/>
          <w:color w:val="auto"/>
          <w:sz w:val="22"/>
          <w:szCs w:val="22"/>
        </w:rPr>
        <w:t>categories;</w:t>
      </w:r>
      <w:r>
        <w:rPr>
          <w:rFonts w:hint="default" w:ascii="Times New Roman Regular" w:hAnsi="Times New Roman Regular" w:cs="Times New Roman Regular"/>
          <w:i/>
          <w:iCs/>
          <w:color w:val="auto"/>
          <w:sz w:val="22"/>
          <w:szCs w:val="22"/>
          <w:lang w:eastAsia="zh-CN" w:bidi="ar"/>
        </w:rPr>
        <w:t>(D) Kaplan-Meier survival curves stratified by</w:t>
      </w:r>
      <w:r>
        <w:rPr>
          <w:rFonts w:hint="default" w:ascii="Times New Roman Regular" w:hAnsi="Times New Roman Regular" w:cs="Times New Roman Regular"/>
          <w:i/>
          <w:iCs/>
          <w:color w:val="auto"/>
          <w:sz w:val="22"/>
          <w:szCs w:val="22"/>
          <w:lang w:val="en-US" w:eastAsia="zh-CN" w:bidi="ar"/>
        </w:rPr>
        <w:t xml:space="preserve"> SII </w:t>
      </w:r>
      <w:r>
        <w:rPr>
          <w:rFonts w:hint="default" w:ascii="Times New Roman Regular" w:hAnsi="Times New Roman Regular" w:cs="Times New Roman Regular"/>
          <w:i/>
          <w:iCs/>
          <w:color w:val="auto"/>
          <w:sz w:val="22"/>
          <w:szCs w:val="22"/>
        </w:rPr>
        <w:t>categories;</w:t>
      </w:r>
      <w:r>
        <w:rPr>
          <w:rFonts w:hint="default" w:ascii="Times New Roman Regular" w:hAnsi="Times New Roman Regular" w:cs="Times New Roman Regular"/>
          <w:i/>
          <w:iCs/>
          <w:color w:val="auto"/>
          <w:sz w:val="22"/>
          <w:szCs w:val="22"/>
          <w:lang w:eastAsia="zh-CN" w:bidi="ar"/>
        </w:rPr>
        <w:t xml:space="preserve">(E) Kaplan-Meier survival curves stratified by </w:t>
      </w:r>
      <w:r>
        <w:rPr>
          <w:rFonts w:hint="default" w:ascii="Times New Roman Regular" w:hAnsi="Times New Roman Regular" w:cs="Times New Roman Regular"/>
          <w:i/>
          <w:iCs/>
          <w:color w:val="auto"/>
          <w:sz w:val="22"/>
          <w:szCs w:val="22"/>
          <w:lang w:val="en-US" w:eastAsia="zh-CN" w:bidi="ar"/>
        </w:rPr>
        <w:t>ELR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sz w:val="22"/>
          <w:szCs w:val="22"/>
          <w:lang w:val="en-US" w:eastAsia="zh-CN"/>
        </w:rPr>
        <w:t xml:space="preserve"> </w:t>
      </w:r>
      <w:r>
        <w:rPr>
          <w:rFonts w:hint="default" w:ascii="Times New Roman Regular" w:hAnsi="Times New Roman Regular" w:cs="Times New Roman Regular"/>
          <w:i/>
          <w:iCs/>
          <w:color w:val="auto"/>
          <w:sz w:val="22"/>
          <w:szCs w:val="22"/>
        </w:rPr>
        <w:t>categories;</w:t>
      </w:r>
      <w:r>
        <w:rPr>
          <w:rFonts w:hint="default" w:ascii="Times New Roman Regular" w:hAnsi="Times New Roman Regular" w:cs="Times New Roman Regular"/>
          <w:i/>
          <w:iCs/>
          <w:color w:val="auto"/>
          <w:sz w:val="22"/>
          <w:szCs w:val="22"/>
          <w:lang w:eastAsia="zh-CN" w:bidi="ar"/>
        </w:rPr>
        <w:t xml:space="preserve">(F) Kaplan-Meier survival curves stratified by </w:t>
      </w:r>
      <w:r>
        <w:rPr>
          <w:rFonts w:hint="default" w:ascii="Times New Roman Regular" w:hAnsi="Times New Roman Regular" w:cs="Times New Roman Regular"/>
          <w:i/>
          <w:iCs/>
          <w:color w:val="auto"/>
          <w:sz w:val="22"/>
          <w:szCs w:val="22"/>
          <w:lang w:val="en-US"/>
        </w:rPr>
        <w:t>EWR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sz w:val="22"/>
          <w:szCs w:val="22"/>
          <w:lang w:val="en-US" w:eastAsia="zh-CN"/>
        </w:rPr>
        <w:t xml:space="preserve"> </w:t>
      </w:r>
      <w:r>
        <w:rPr>
          <w:rFonts w:hint="default" w:ascii="Times New Roman Regular" w:hAnsi="Times New Roman Regular" w:cs="Times New Roman Regular"/>
          <w:i/>
          <w:iCs/>
          <w:color w:val="auto"/>
          <w:sz w:val="22"/>
          <w:szCs w:val="22"/>
        </w:rPr>
        <w:t xml:space="preserve">categories.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2"/>
          <w:szCs w:val="22"/>
          <w:lang w:val="en-US" w:eastAsia="zh-CN" w:bidi="ar"/>
        </w:rPr>
        <w:t xml:space="preserve">(G) Kaplan-Meier survival curves stratified by EWR categories. (H) Kaplan-Meier survival curves stratified by EWR categories. (p &lt; 0.001 for all indices). </w:t>
      </w:r>
    </w:p>
    <w:p w14:paraId="64C2014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 Bold" w:hAnsi="Times New Roman Bold" w:cs="Times New Roman Bold" w:eastAsiaTheme="minor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 Bold" w:hAnsi="Times New Roman Bold" w:eastAsia="宋体" w:cs="Times New Roman Bold"/>
          <w:b/>
          <w:bCs/>
          <w:kern w:val="2"/>
          <w:sz w:val="22"/>
          <w:szCs w:val="22"/>
          <w:lang w:val="en-US" w:eastAsia="zh-CN" w:bidi="ar"/>
        </w:rPr>
        <w:t xml:space="preserve">Supplementary </w:t>
      </w:r>
      <w:r>
        <w:rPr>
          <w:rStyle w:val="8"/>
          <w:rFonts w:hint="default" w:ascii="Times New Roman Bold" w:hAnsi="Times New Roman Bold" w:eastAsia="宋体" w:cs="Times New Roman Bold"/>
          <w:b/>
          <w:bCs/>
          <w:color w:val="auto"/>
          <w:sz w:val="24"/>
          <w:szCs w:val="24"/>
          <w:lang w:val="en-US"/>
        </w:rPr>
        <w:t>T</w:t>
      </w:r>
      <w:r>
        <w:rPr>
          <w:rStyle w:val="8"/>
          <w:rFonts w:hint="default" w:ascii="Times New Roman Bold" w:hAnsi="Times New Roman Bold" w:eastAsia="宋体" w:cs="Times New Roman Bold"/>
          <w:b/>
          <w:bCs/>
          <w:color w:val="auto"/>
          <w:sz w:val="24"/>
          <w:szCs w:val="24"/>
          <w:lang w:val="en-US" w:eastAsia="zh-CN"/>
        </w:rPr>
        <w:t xml:space="preserve">able 2.1 </w:t>
      </w:r>
      <w:r>
        <w:rPr>
          <w:rStyle w:val="8"/>
          <w:rFonts w:hint="default" w:ascii="Times New Roman Bold" w:hAnsi="Times New Roman Bold" w:eastAsia="宋体" w:cs="Times New Roman Bold"/>
          <w:b/>
          <w:bCs/>
          <w:color w:val="auto"/>
          <w:sz w:val="24"/>
          <w:szCs w:val="24"/>
        </w:rPr>
        <w:t>Association of hypertension with indices and mortality outcomes.</w:t>
      </w:r>
    </w:p>
    <w:tbl>
      <w:tblPr>
        <w:tblStyle w:val="5"/>
        <w:tblW w:w="4655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1409"/>
        <w:gridCol w:w="1682"/>
        <w:gridCol w:w="1679"/>
        <w:gridCol w:w="971"/>
      </w:tblGrid>
      <w:tr w14:paraId="0E8FBA8F">
        <w:trPr>
          <w:trHeight w:val="170" w:hRule="atLeast"/>
          <w:tblHeader/>
          <w:jc w:val="center"/>
        </w:trPr>
        <w:tc>
          <w:tcPr>
            <w:tcW w:w="199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70A3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180" w:lineRule="exact"/>
              <w:ind w:left="102" w:right="102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/>
                <w:i w:val="0"/>
                <w:color w:val="auto"/>
                <w:sz w:val="18"/>
                <w:szCs w:val="18"/>
                <w:u w:val="none"/>
              </w:rPr>
              <w:t>Characteristic</w:t>
            </w:r>
          </w:p>
        </w:tc>
        <w:tc>
          <w:tcPr>
            <w:tcW w:w="1409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BA4C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/>
                <w:i w:val="0"/>
                <w:color w:val="auto"/>
                <w:sz w:val="18"/>
                <w:szCs w:val="18"/>
                <w:u w:val="none"/>
              </w:rPr>
              <w:t>Overall</w:t>
            </w:r>
          </w:p>
        </w:tc>
        <w:tc>
          <w:tcPr>
            <w:tcW w:w="168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9281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Normal</w:t>
            </w:r>
          </w:p>
        </w:tc>
        <w:tc>
          <w:tcPr>
            <w:tcW w:w="1679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817F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Hypertension</w:t>
            </w:r>
          </w:p>
        </w:tc>
        <w:tc>
          <w:tcPr>
            <w:tcW w:w="97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2EFF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/>
                <w:i w:val="0"/>
                <w:color w:val="auto"/>
                <w:sz w:val="18"/>
                <w:szCs w:val="18"/>
                <w:u w:val="none"/>
              </w:rPr>
              <w:t>p-value</w:t>
            </w:r>
          </w:p>
        </w:tc>
      </w:tr>
      <w:tr w14:paraId="7815FDDD">
        <w:trPr>
          <w:trHeight w:val="170" w:hRule="atLeast"/>
          <w:jc w:val="center"/>
        </w:trPr>
        <w:tc>
          <w:tcPr>
            <w:tcW w:w="199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0D75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No.(weighted %)</w:t>
            </w:r>
          </w:p>
        </w:tc>
        <w:tc>
          <w:tcPr>
            <w:tcW w:w="140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5A5F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4419</w:t>
            </w:r>
          </w:p>
        </w:tc>
        <w:tc>
          <w:tcPr>
            <w:tcW w:w="168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5CD0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2782(63%)</w:t>
            </w:r>
          </w:p>
        </w:tc>
        <w:tc>
          <w:tcPr>
            <w:tcW w:w="167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7829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1637(37%)</w:t>
            </w:r>
          </w:p>
        </w:tc>
        <w:tc>
          <w:tcPr>
            <w:tcW w:w="97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C3EF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</w:p>
        </w:tc>
      </w:tr>
      <w:tr w14:paraId="07FC91C1">
        <w:trPr>
          <w:trHeight w:val="170" w:hRule="atLeast"/>
          <w:jc w:val="center"/>
        </w:trPr>
        <w:tc>
          <w:tcPr>
            <w:tcW w:w="199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86D3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Age, years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, mean (SD)</w:t>
            </w:r>
          </w:p>
        </w:tc>
        <w:tc>
          <w:tcPr>
            <w:tcW w:w="140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3845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 w:eastAsiaTheme="minorEastAsia"/>
                <w:color w:val="auto"/>
                <w:sz w:val="18"/>
                <w:szCs w:val="18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47 (17)</w:t>
            </w:r>
          </w:p>
        </w:tc>
        <w:tc>
          <w:tcPr>
            <w:tcW w:w="168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56A6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 w:eastAsiaTheme="minorEastAsia"/>
                <w:color w:val="auto"/>
                <w:sz w:val="18"/>
                <w:szCs w:val="18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42 (15)</w:t>
            </w:r>
          </w:p>
        </w:tc>
        <w:tc>
          <w:tcPr>
            <w:tcW w:w="167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3A34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 w:eastAsiaTheme="minorEastAsia"/>
                <w:color w:val="auto"/>
                <w:sz w:val="18"/>
                <w:szCs w:val="18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56 (15)</w:t>
            </w:r>
          </w:p>
        </w:tc>
        <w:tc>
          <w:tcPr>
            <w:tcW w:w="97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F1E2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 w:eastAsiaTheme="minorEastAsia"/>
                <w:color w:val="auto"/>
                <w:sz w:val="18"/>
                <w:szCs w:val="18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&lt;0.001</w:t>
            </w:r>
          </w:p>
        </w:tc>
      </w:tr>
      <w:tr w14:paraId="64C1C15F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1626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Male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, %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0342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 w:eastAsiaTheme="minorEastAsia"/>
                <w:color w:val="auto"/>
                <w:sz w:val="18"/>
                <w:szCs w:val="18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1914 (42.94%)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B096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 w:eastAsiaTheme="minorEastAsia"/>
                <w:color w:val="auto"/>
                <w:sz w:val="18"/>
                <w:szCs w:val="18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1026 (39.97%)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C6B3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 w:eastAsiaTheme="minorEastAsia"/>
                <w:color w:val="auto"/>
                <w:sz w:val="18"/>
                <w:szCs w:val="18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888 (48.00%)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7604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 w:eastAsiaTheme="minorEastAsia"/>
                <w:color w:val="auto"/>
                <w:sz w:val="18"/>
                <w:szCs w:val="18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&lt;0.001</w:t>
            </w:r>
          </w:p>
        </w:tc>
      </w:tr>
      <w:tr w14:paraId="7C496125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7475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BMI category, %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1CC8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5BC8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3F8A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F878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&lt;0.001</w:t>
            </w:r>
          </w:p>
        </w:tc>
      </w:tr>
      <w:tr w14:paraId="6EBD03D3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F264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&lt;18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8956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52(1.32%)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C67F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42 (1.73%)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3575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10 (0.63%)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211F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</w:p>
        </w:tc>
      </w:tr>
      <w:tr w14:paraId="03276ABE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19C5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18-25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51CC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1130(26.78%)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85D8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805 (33.44%)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F76D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325 (15.46%)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3C42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</w:p>
        </w:tc>
      </w:tr>
      <w:tr w14:paraId="34606C1C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B0B6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25-30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7510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1389(30.83%)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27E6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795(30.60%)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5989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594 (31.22%)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B09E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 w14:paraId="5C0381B4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28F8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≥30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EBAD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1848(41.07%)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3DDF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885(34.2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858D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963(52.68%)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4033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 w14:paraId="68B1380F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2C67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ALT, U/L, mean (SD)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8DB1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24 (16)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C9EE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23 (15)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912D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26 (17)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C25A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&lt;0.001</w:t>
            </w:r>
          </w:p>
        </w:tc>
      </w:tr>
      <w:tr w14:paraId="4AE5F51F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BB13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HDL, mg/dl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, mean (SD)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C485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56 (17)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C857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56 (16)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4FDD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54 (18)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0188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0.003</w:t>
            </w:r>
          </w:p>
        </w:tc>
      </w:tr>
      <w:tr w14:paraId="54800C78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54DD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LDL, mg/dl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, mean (SD)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E2A9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112 (35)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9D96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112 (35)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7874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112 (36)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45D7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&gt;0.9</w:t>
            </w:r>
          </w:p>
        </w:tc>
      </w:tr>
      <w:tr w14:paraId="484C897E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705E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TG, mg/dl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, mean (SD)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5C31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106 (63)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07F6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97 (58)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B7CA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121 (68)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6E88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&lt;0.001</w:t>
            </w:r>
          </w:p>
        </w:tc>
      </w:tr>
      <w:tr w14:paraId="3B699984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E77A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 w:eastAsiaTheme="minorEastAsia"/>
                <w:color w:val="auto"/>
                <w:sz w:val="18"/>
                <w:szCs w:val="18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TC, mg/dl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, mean (SD)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EFE9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 w:eastAsiaTheme="minorEastAsia"/>
                <w:color w:val="auto"/>
                <w:sz w:val="18"/>
                <w:szCs w:val="18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188 (40)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5240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 w:eastAsiaTheme="minorEastAsia"/>
                <w:color w:val="auto"/>
                <w:sz w:val="18"/>
                <w:szCs w:val="18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187 (39)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62F8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 w:eastAsiaTheme="minorEastAsia"/>
                <w:color w:val="auto"/>
                <w:sz w:val="18"/>
                <w:szCs w:val="18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190 (41)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E7C1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 w:eastAsiaTheme="minorEastAsia"/>
                <w:color w:val="auto"/>
                <w:sz w:val="18"/>
                <w:szCs w:val="18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0.11</w:t>
            </w:r>
          </w:p>
        </w:tc>
      </w:tr>
      <w:tr w14:paraId="0503E18C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DF4C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HbA1c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, mean (SD)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BEF1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5.64 (0.97)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8DC0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5.47 (0.83)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42F3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5.94 (1.11)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28BC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&lt;0.001</w:t>
            </w:r>
          </w:p>
        </w:tc>
      </w:tr>
      <w:tr w14:paraId="5CF42EB1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7403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Fasting Glucose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,  mmol/l, mean (SD)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8B07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6.04 (1.73)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98D9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5.76 (1.41)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B25C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6.52 (2.10)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D1CE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&lt;0.001</w:t>
            </w:r>
          </w:p>
        </w:tc>
      </w:tr>
      <w:tr w14:paraId="23CC7964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1BDA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Albumin, g/dl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, mean (SD)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4409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42.0 (3.5)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E09C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42.3 (3.4)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F97F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41.4 (3.5)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C268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&lt;0.001</w:t>
            </w:r>
          </w:p>
        </w:tc>
      </w:tr>
      <w:tr w14:paraId="677ACF2A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5BCD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eGFR, mL/min/1.73m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vertAlign w:val="superscript"/>
                <w:lang w:val="en-US" w:eastAsia="zh-CN"/>
              </w:rPr>
              <w:t>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E0F1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95 (21)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588B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100 (19)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6B7C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86 (22)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6850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&lt;0.001</w:t>
            </w:r>
          </w:p>
        </w:tc>
      </w:tr>
      <w:tr w14:paraId="4B0EAFC1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9887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UA, mg/dl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, mean (SD)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1F53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5.34 (1.39)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77D6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5.13 (1.26)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D872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5.69 (1.52)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6EA0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&lt;0.001</w:t>
            </w:r>
          </w:p>
        </w:tc>
      </w:tr>
      <w:tr w14:paraId="0A565F2E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716A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Smoking status, %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1803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E997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A8D2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C659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0.14</w:t>
            </w:r>
          </w:p>
        </w:tc>
      </w:tr>
      <w:tr w14:paraId="32B7B53A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0ED8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Never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9C9E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636(14.19%)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201B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349(13.54%)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3968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287(15.30%)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872D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 w14:paraId="1F9FD34B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40CB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Former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E0F3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176(3.86%)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0F27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113(4.48%)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D2D3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63 (2.81%)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783A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 w14:paraId="7F3E6FE9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E68C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Now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D681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3607(81.9%)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423F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2065 (81.98%)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5F8D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1542 (81.88%)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9118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 w14:paraId="63CC758E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E5DC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Alcohol consumption, %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050E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EA6E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467B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7350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0.7</w:t>
            </w:r>
          </w:p>
        </w:tc>
      </w:tr>
      <w:tr w14:paraId="3044690C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2237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None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39C5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3309 (69.56%)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10FB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1871 (68.83%)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319F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1438 (70.8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%)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4686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 w14:paraId="451F0F4A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B357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M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oderate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2CD7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578 (15.01%)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64FE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342 (15.33%)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75E4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236 (14.46%)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CE0C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 w14:paraId="516BFFA0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420E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Heavy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BF10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532(15.4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%)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6152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314(15.8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6D89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218(14.73%)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FECF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 w14:paraId="60277249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7F4D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Monocyte number (1000 cells/uL)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, mean (SD)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ECE6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4.02 (1.58)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EE48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3.88 (1.52)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F368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4.27 (1.64)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17BA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&lt;0.001</w:t>
            </w:r>
          </w:p>
        </w:tc>
      </w:tr>
      <w:tr w14:paraId="3392DFF6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726C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Lymphocyte number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(1000 cells/uL)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, mean (SD)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05AA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2.05 (1.12)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BB08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2.06 (0.64)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C6E7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2.04 (1.63)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99EB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0.2</w:t>
            </w:r>
          </w:p>
        </w:tc>
      </w:tr>
      <w:tr w14:paraId="2A85550D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4F2E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Segmented neutrophils number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(1000 cell/uL)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, mean (SD)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3E65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0.55 (0.18)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4F4F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0.53 (0.17)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C6C1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0.59 (0.19)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7A2B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&lt;0.001</w:t>
            </w:r>
          </w:p>
        </w:tc>
      </w:tr>
    </w:tbl>
    <w:p w14:paraId="530B631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 Bold" w:hAnsi="Times New Roman Bold" w:eastAsia="宋体" w:cs="Times New Roman Bold"/>
          <w:b/>
          <w:bCs/>
          <w:kern w:val="2"/>
          <w:sz w:val="22"/>
          <w:szCs w:val="22"/>
          <w:lang w:val="en-US" w:eastAsia="zh-CN" w:bidi="ar"/>
        </w:rPr>
      </w:pPr>
    </w:p>
    <w:p w14:paraId="5143CF44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color w:val="auto"/>
          <w:sz w:val="24"/>
          <w:szCs w:val="24"/>
          <w:lang w:val="en-US" w:eastAsia="zh-CN" w:bidi="ar"/>
        </w:rPr>
      </w:pPr>
      <w:r>
        <w:rPr>
          <w:rStyle w:val="8"/>
          <w:rFonts w:hint="default" w:ascii="Times New Roman Bold" w:hAnsi="Times New Roman Bold" w:eastAsia="宋体" w:cs="Times New Roman Bold"/>
          <w:b/>
          <w:bCs/>
          <w:color w:val="auto"/>
          <w:sz w:val="24"/>
          <w:szCs w:val="24"/>
          <w:lang w:val="en-US" w:eastAsia="zh-CN"/>
        </w:rPr>
        <w:t>Supplementary T</w:t>
      </w:r>
      <w:r>
        <w:rPr>
          <w:rStyle w:val="8"/>
          <w:rFonts w:hint="default" w:ascii="Times New Roman Bold" w:hAnsi="Times New Roman Bold" w:eastAsia="宋体" w:cs="Times New Roman Bold"/>
          <w:b/>
          <w:bCs/>
          <w:color w:val="auto"/>
          <w:sz w:val="24"/>
          <w:szCs w:val="24"/>
          <w:lang w:val="en-US" w:eastAsia="zh-CN"/>
        </w:rPr>
        <w:t>able 2.1(continued)</w:t>
      </w:r>
      <w:r>
        <w:rPr>
          <w:rStyle w:val="8"/>
          <w:rFonts w:hint="default" w:ascii="Times New Roman Bold" w:hAnsi="Times New Roman Bold" w:eastAsia="宋体" w:cs="Times New Roman Bold"/>
          <w:b/>
          <w:bCs/>
          <w:color w:val="auto"/>
          <w:sz w:val="24"/>
          <w:szCs w:val="24"/>
          <w:lang w:val="en-US" w:eastAsia="zh-CN"/>
        </w:rPr>
        <w:t xml:space="preserve"> Association of hypertension with indices and mortality outcomes.</w:t>
      </w:r>
    </w:p>
    <w:tbl>
      <w:tblPr>
        <w:tblStyle w:val="5"/>
        <w:tblW w:w="4655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1409"/>
        <w:gridCol w:w="1682"/>
        <w:gridCol w:w="1679"/>
        <w:gridCol w:w="971"/>
      </w:tblGrid>
      <w:tr w14:paraId="1C8FDD25">
        <w:trPr>
          <w:trHeight w:val="170" w:hRule="atLeast"/>
          <w:tblHeader/>
          <w:jc w:val="center"/>
        </w:trPr>
        <w:tc>
          <w:tcPr>
            <w:tcW w:w="199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184D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180" w:lineRule="exact"/>
              <w:ind w:left="102" w:right="102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/>
                <w:i w:val="0"/>
                <w:color w:val="auto"/>
                <w:sz w:val="18"/>
                <w:szCs w:val="18"/>
                <w:u w:val="none"/>
              </w:rPr>
              <w:t>Characteristic</w:t>
            </w:r>
          </w:p>
        </w:tc>
        <w:tc>
          <w:tcPr>
            <w:tcW w:w="1409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37B7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/>
                <w:i w:val="0"/>
                <w:color w:val="auto"/>
                <w:sz w:val="18"/>
                <w:szCs w:val="18"/>
                <w:u w:val="none"/>
              </w:rPr>
              <w:t>Overall</w:t>
            </w:r>
          </w:p>
        </w:tc>
        <w:tc>
          <w:tcPr>
            <w:tcW w:w="168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5943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Normal</w:t>
            </w:r>
          </w:p>
        </w:tc>
        <w:tc>
          <w:tcPr>
            <w:tcW w:w="1679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5E3D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Hypertension</w:t>
            </w:r>
          </w:p>
        </w:tc>
        <w:tc>
          <w:tcPr>
            <w:tcW w:w="97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3B79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Arial" w:cs="Times New Roman Regular"/>
                <w:b/>
                <w:i w:val="0"/>
                <w:color w:val="auto"/>
                <w:sz w:val="18"/>
                <w:szCs w:val="18"/>
                <w:u w:val="none"/>
              </w:rPr>
              <w:t>p-value</w:t>
            </w:r>
          </w:p>
        </w:tc>
      </w:tr>
      <w:tr w14:paraId="16CC20CF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9E86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Mean platelet volume (fL)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, mean (SD)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918A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8.32 (0.90)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8232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8.30 (0.91)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9F0C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8.36 (0.89)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48D4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0.088</w:t>
            </w:r>
          </w:p>
        </w:tc>
      </w:tr>
      <w:tr w14:paraId="3CED8B78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570E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Diabetes, %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4D60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804 (12.32%)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44E3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237 (5.76%)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83F1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567 (23.48%)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2824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&lt;0.001</w:t>
            </w:r>
          </w:p>
        </w:tc>
      </w:tr>
      <w:tr w14:paraId="637E4ADD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33EF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Heart failure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, %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B8C6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138 (1.96%)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3E7A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15 (0.37%)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491A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123 (4.66%)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4FFE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&lt;0.001</w:t>
            </w:r>
          </w:p>
        </w:tc>
      </w:tr>
      <w:tr w14:paraId="24BED208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21DF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Coronary Heart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Disease, %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17BA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186 (3.3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8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%)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AE55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35 (1.32%)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6FE0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151 (6.8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8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%)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AB6D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&lt;0.001</w:t>
            </w:r>
          </w:p>
        </w:tc>
      </w:tr>
      <w:tr w14:paraId="530218E1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318E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Angina, %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80B1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99 (2.10%)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E614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12(0.31%)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9768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87 (5.1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%)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D85B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&lt;0.001</w:t>
            </w:r>
          </w:p>
        </w:tc>
      </w:tr>
      <w:tr w14:paraId="0AB74828">
        <w:trPr>
          <w:trHeight w:val="170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907D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Heart attract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, %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8887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191(3.17%)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6E62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38 (1.1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20D5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153 (6.6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7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%)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3628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&lt;0.001</w:t>
            </w:r>
          </w:p>
        </w:tc>
      </w:tr>
      <w:tr w14:paraId="49748496">
        <w:trPr>
          <w:trHeight w:val="407" w:hRule="atLeast"/>
          <w:jc w:val="center"/>
        </w:trPr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4D4D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Strok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e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, %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9B65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161(2.6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%)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B081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30(0.8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8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%)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D01D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131(5.6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</w:t>
            </w: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%)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60DB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180" w:lineRule="exact"/>
              <w:ind w:left="102" w:leftChars="0" w:right="102" w:rightChars="0" w:firstLine="0" w:firstLineChars="0"/>
              <w:jc w:val="center"/>
              <w:textAlignment w:val="auto"/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Arial" w:cs="Times New Roman Regular"/>
                <w:b w:val="0"/>
                <w:i w:val="0"/>
                <w:color w:val="auto"/>
                <w:sz w:val="18"/>
                <w:szCs w:val="18"/>
                <w:u w:val="none"/>
              </w:rPr>
              <w:t>&lt;0.001</w:t>
            </w:r>
          </w:p>
        </w:tc>
      </w:tr>
    </w:tbl>
    <w:p w14:paraId="3E7ED265">
      <w:pPr>
        <w:jc w:val="both"/>
        <w:rPr>
          <w:rFonts w:hint="default" w:ascii="Times New Roman Regular" w:hAnsi="Times New Roman Regular" w:eastAsia="宋体" w:cs="Times New Roman Regular"/>
          <w:color w:val="auto"/>
          <w:sz w:val="24"/>
          <w:szCs w:val="24"/>
          <w:lang w:val="en-US" w:eastAsia="zh-CN" w:bidi="ar"/>
        </w:rPr>
      </w:pPr>
    </w:p>
    <w:p w14:paraId="21DE8D50">
      <w:pPr>
        <w:jc w:val="both"/>
        <w:rPr>
          <w:rFonts w:hint="default" w:ascii="Times New Roman Regular" w:hAnsi="Times New Roman Regular" w:eastAsia="宋体" w:cs="Times New Roman Regular"/>
          <w:b/>
          <w:bCs/>
          <w:i/>
          <w:iCs/>
          <w:color w:val="auto"/>
          <w:sz w:val="24"/>
          <w:szCs w:val="24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b/>
          <w:bCs/>
          <w:i/>
          <w:iCs/>
          <w:color w:val="auto"/>
          <w:sz w:val="24"/>
          <w:szCs w:val="24"/>
          <w:lang w:val="en-US" w:eastAsia="zh-CN" w:bidi="ar"/>
        </w:rPr>
        <w:t xml:space="preserve">Table Footnote Explanation: </w:t>
      </w:r>
    </w:p>
    <w:p w14:paraId="4A94E7EF">
      <w:pPr>
        <w:jc w:val="both"/>
        <w:rPr>
          <w:rFonts w:hint="default" w:ascii="Times New Roman Regular" w:hAnsi="Times New Roman Regular" w:eastAsia="宋体" w:cs="Times New Roman Regular"/>
          <w:i/>
          <w:iCs/>
          <w:color w:val="auto"/>
          <w:sz w:val="24"/>
          <w:szCs w:val="24"/>
          <w:lang w:eastAsia="zh-CN" w:bidi="ar"/>
        </w:rPr>
      </w:pPr>
      <w:r>
        <w:rPr>
          <w:rFonts w:hint="default" w:ascii="Times New Roman Regular" w:hAnsi="Times New Roman Regular" w:eastAsia="宋体" w:cs="Times New Roman Regular"/>
          <w:i/>
          <w:iCs/>
          <w:color w:val="auto"/>
          <w:sz w:val="24"/>
          <w:szCs w:val="24"/>
          <w:lang w:val="en-US" w:eastAsia="zh-CN" w:bidi="ar"/>
        </w:rPr>
        <w:t>The inflammatory indices were calculated using established formulas:</w:t>
      </w:r>
    </w:p>
    <w:p w14:paraId="38D583F3">
      <w:pPr>
        <w:ind w:firstLine="480" w:firstLineChars="200"/>
        <w:jc w:val="both"/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</w:rPr>
      </w:pP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C-reactive Protein-to-Albumin Ratio (CAR):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hs-CRP divided by albumin.</w:t>
      </w:r>
    </w:p>
    <w:p w14:paraId="0C02097B">
      <w:pPr>
        <w:ind w:firstLine="480" w:firstLineChars="200"/>
        <w:jc w:val="both"/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</w:pP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·Neutrophil-to-Lymphocyte Ratio (NLR):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the a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bsolute neutrophil count divided by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the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absolute lymphocyte count.</w:t>
      </w:r>
    </w:p>
    <w:p w14:paraId="3D1C5762">
      <w:pPr>
        <w:ind w:firstLine="480" w:firstLineChars="200"/>
        <w:jc w:val="both"/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</w:pP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·Lymphocyte-to-Monocyte Ratio (LMR):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the a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bsolute lymphocyte count divided by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the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monocyte count.</w:t>
      </w:r>
    </w:p>
    <w:p w14:paraId="4C0CADE0">
      <w:pPr>
        <w:ind w:firstLine="480" w:firstLineChars="200"/>
        <w:jc w:val="both"/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</w:pP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N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eutrophil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-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to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-M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onocyte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-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plus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-L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ymphocyte ratio (NMLR):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(Neutrophil + Monocyte) to lymphocyte ratio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.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</w:t>
      </w:r>
    </w:p>
    <w:p w14:paraId="2B777156">
      <w:pPr>
        <w:ind w:firstLine="480" w:firstLineChars="200"/>
        <w:jc w:val="both"/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</w:pP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Neutrophil-to-Platelet ratio (NPR)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the a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bsolute neutrophil count divided by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the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absolute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p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latelet count.</w:t>
      </w:r>
    </w:p>
    <w:p w14:paraId="149E853E">
      <w:pPr>
        <w:ind w:firstLine="480" w:firstLineChars="200"/>
        <w:jc w:val="both"/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</w:pP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·Systemic Inflammation Response Index (SIRI):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Monocyte count multiplied by neutrophil count divided by lymphocyte count.</w:t>
      </w:r>
    </w:p>
    <w:p w14:paraId="4262065E">
      <w:pPr>
        <w:ind w:firstLine="480" w:firstLineChars="200"/>
        <w:jc w:val="both"/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</w:rPr>
      </w:pP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·Systemic Immune-Inflammation Index (SII):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Platelet count multiplied by neutrophil count and divided by lymphocyte count.</w:t>
      </w:r>
    </w:p>
    <w:p w14:paraId="3FEB999C">
      <w:pPr>
        <w:ind w:firstLine="480" w:firstLineChars="200"/>
        <w:jc w:val="both"/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</w:pP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·Systemic Inflammation Response Index (SIRI):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Monocyte count multiplied by neutrophil count divided by lymphocyte count.</w:t>
      </w:r>
    </w:p>
    <w:p w14:paraId="291450AE">
      <w:pPr>
        <w:ind w:firstLine="480" w:firstLineChars="200"/>
        <w:jc w:val="both"/>
        <w:rPr>
          <w:rFonts w:hint="default" w:ascii="Times New Roman Regular" w:hAnsi="Times New Roman Regular" w:eastAsia="宋体" w:cs="Times New Roman Regular"/>
          <w:b/>
          <w:bCs/>
          <w:i/>
          <w:iCs/>
          <w:color w:val="auto"/>
          <w:kern w:val="2"/>
          <w:sz w:val="24"/>
          <w:szCs w:val="24"/>
          <w:lang w:val="en-US" w:eastAsia="zh-CN" w:bidi="ar"/>
        </w:rPr>
      </w:pP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Neutrophil-to-High-Density Lipoprotein Ratio (NHR)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the a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bsolute neutrophil count divided by the HDL-C value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.</w:t>
      </w:r>
    </w:p>
    <w:p w14:paraId="7AC09DE3">
      <w:pPr>
        <w:ind w:firstLine="480" w:firstLineChars="200"/>
        <w:jc w:val="both"/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</w:pP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·Monocyte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-to-High-Density Lipoprotein Ratio (MHR)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the a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bsolute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m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onocyte count divided by the HDL-C value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.</w:t>
      </w:r>
    </w:p>
    <w:p w14:paraId="184A10D4">
      <w:pPr>
        <w:ind w:firstLine="480" w:firstLineChars="200"/>
        <w:jc w:val="both"/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</w:pP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·Hs-CRP/HDL-C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 Ratio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the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levels of serum hs-CRP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to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the HDL-C value ratio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.</w:t>
      </w:r>
    </w:p>
    <w:p w14:paraId="7D3D2372">
      <w:pPr>
        <w:ind w:firstLine="480" w:firstLineChars="200"/>
        <w:jc w:val="both"/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</w:pP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E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osinophil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 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to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 M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onocyte 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R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atio (EMR):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the a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bsolute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e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osinophil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count divided by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the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monocyte count.</w:t>
      </w:r>
    </w:p>
    <w:p w14:paraId="7C591558">
      <w:pPr>
        <w:ind w:firstLine="480" w:firstLineChars="200"/>
        <w:jc w:val="both"/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</w:pP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E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osinophil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 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to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 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Lymphocyte 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R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atio (E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L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R):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the a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bsolute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e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osinophil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count divided by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the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absolute lymphocyte count.</w:t>
      </w:r>
    </w:p>
    <w:p w14:paraId="40D2E42F">
      <w:pPr>
        <w:ind w:firstLine="480" w:firstLineChars="200"/>
        <w:jc w:val="both"/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</w:pP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E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osinophil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 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to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 White Blood Cell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R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atio (E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W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R):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the a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bsolute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e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osinophil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count divided by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the number of all white blood cells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.</w:t>
      </w:r>
    </w:p>
    <w:p w14:paraId="1F181D6D">
      <w:pPr>
        <w:ind w:firstLine="480" w:firstLineChars="200"/>
        <w:jc w:val="both"/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</w:pP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Platelet-to-Lymphocyte Ratio (PLR)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the a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bsolute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p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latelet count divided by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the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absolute lymphocyte count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.</w:t>
      </w:r>
    </w:p>
    <w:p w14:paraId="103B4D47">
      <w:pPr>
        <w:ind w:firstLine="480" w:firstLineChars="200"/>
        <w:jc w:val="both"/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</w:pP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Derived Neutrophil-to-Lymphocyte Ratio (dNLR)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the absolute neutrophil count divided by the absolute white cell count minus the absolute neutrophil count.</w:t>
      </w:r>
    </w:p>
    <w:p w14:paraId="4545E012">
      <w:pPr>
        <w:ind w:firstLine="480" w:firstLineChars="200"/>
        <w:jc w:val="both"/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</w:pP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Lymphocyte-to-High-Density Lipoprotein Ratio (LHR)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the a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bsolute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lymphocyte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count divided by the HDL-C value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.</w:t>
      </w:r>
    </w:p>
    <w:p w14:paraId="430EA56F">
      <w:pPr>
        <w:ind w:firstLine="480" w:firstLineChars="200"/>
        <w:jc w:val="both"/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</w:pP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Platelet-to-High-Density Lipoprotein Ratio (PHR)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the a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bsolute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p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latelet count divided by the HDL-C value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.</w:t>
      </w:r>
    </w:p>
    <w:p w14:paraId="66269541">
      <w:pPr>
        <w:ind w:firstLine="480" w:firstLineChars="200"/>
        <w:jc w:val="both"/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</w:pP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·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E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osinophil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-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to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-Neutrophil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R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atio (E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N</w:t>
      </w:r>
      <w:r>
        <w:rPr>
          <w:rStyle w:val="11"/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R):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the a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bsolute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>e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osinophil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 xml:space="preserve">count divided by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val="en-US" w:eastAsia="zh-CN" w:bidi="ar"/>
        </w:rPr>
        <w:t xml:space="preserve">the </w:t>
      </w:r>
      <w:r>
        <w:rPr>
          <w:rFonts w:hint="default" w:ascii="Times New Roman Regular" w:hAnsi="Times New Roman Regular" w:eastAsia="宋体" w:cs="Times New Roman Regular"/>
          <w:i/>
          <w:iCs/>
          <w:color w:val="auto"/>
          <w:kern w:val="2"/>
          <w:sz w:val="24"/>
          <w:szCs w:val="24"/>
          <w:lang w:eastAsia="zh-CN" w:bidi="ar"/>
        </w:rPr>
        <w:t>absolute Neutrophil count.</w:t>
      </w:r>
    </w:p>
    <w:p w14:paraId="26782DD3">
      <w:pPr>
        <w:jc w:val="both"/>
        <w:rPr>
          <w:rFonts w:hint="default" w:ascii="Times New Roman Regular" w:hAnsi="Times New Roman Regular" w:eastAsia="宋体" w:cs="Times New Roman Regular"/>
          <w:color w:val="auto"/>
          <w:kern w:val="2"/>
          <w:sz w:val="24"/>
          <w:szCs w:val="24"/>
          <w:lang w:eastAsia="zh-CN" w:bidi="ar"/>
        </w:rPr>
      </w:pPr>
    </w:p>
    <w:p w14:paraId="662FA71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 Bold" w:hAnsi="Times New Roman Bold" w:eastAsia="PingFang SC" w:cs="Times New Roman Bold"/>
          <w:b/>
          <w:bCs/>
          <w:color w:val="auto"/>
          <w:spacing w:val="-4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 Bold" w:hAnsi="Times New Roman Bold" w:eastAsia="宋体" w:cs="Times New Roman Bold"/>
          <w:b/>
          <w:bCs/>
          <w:kern w:val="2"/>
          <w:sz w:val="22"/>
          <w:szCs w:val="22"/>
          <w:lang w:val="en-US" w:eastAsia="zh-CN" w:bidi="ar"/>
        </w:rPr>
        <w:t xml:space="preserve">Supplementary </w:t>
      </w:r>
      <w:r>
        <w:rPr>
          <w:rFonts w:hint="default" w:ascii="Times New Roman Bold" w:hAnsi="Times New Roman Bold" w:eastAsia="PingFang SC" w:cs="Times New Roman Bold"/>
          <w:b/>
          <w:bCs/>
          <w:color w:val="auto"/>
          <w:spacing w:val="-4"/>
          <w:kern w:val="2"/>
          <w:sz w:val="24"/>
          <w:szCs w:val="24"/>
          <w:lang w:val="en-US" w:eastAsia="zh-CN" w:bidi="ar"/>
        </w:rPr>
        <w:t>Table 5. Summary of the Three datasets.</w:t>
      </w:r>
    </w:p>
    <w:tbl>
      <w:tblPr>
        <w:tblStyle w:val="13"/>
        <w:tblpPr w:leftFromText="180" w:rightFromText="180" w:vertAnchor="page" w:horzAnchor="page" w:tblpX="1768" w:tblpY="4547"/>
        <w:tblOverlap w:val="never"/>
        <w:tblW w:w="8375" w:type="dxa"/>
        <w:tblInd w:w="0" w:type="dxa"/>
        <w:tblBorders>
          <w:top w:val="single" w:color="A2A2A2" w:sz="2" w:space="0"/>
          <w:left w:val="single" w:color="A2A2A2" w:sz="2" w:space="0"/>
          <w:bottom w:val="single" w:color="A2A2A2" w:sz="2" w:space="0"/>
          <w:right w:val="single" w:color="A2A2A2" w:sz="2" w:space="0"/>
          <w:insideH w:val="single" w:color="A2A2A2" w:sz="2" w:space="0"/>
          <w:insideV w:val="single" w:color="A2A2A2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4"/>
        <w:gridCol w:w="1375"/>
        <w:gridCol w:w="773"/>
        <w:gridCol w:w="1130"/>
        <w:gridCol w:w="903"/>
        <w:gridCol w:w="1625"/>
        <w:gridCol w:w="1625"/>
      </w:tblGrid>
      <w:tr w14:paraId="72D62DBE">
        <w:trPr>
          <w:trHeight w:val="505" w:hRule="atLeast"/>
        </w:trPr>
        <w:tc>
          <w:tcPr>
            <w:tcW w:w="944" w:type="dxa"/>
            <w:shd w:val="clear" w:color="auto" w:fill="7F7F7F"/>
            <w:vAlign w:val="center"/>
          </w:tcPr>
          <w:p w14:paraId="39404721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>GSE ID</w:t>
            </w:r>
          </w:p>
        </w:tc>
        <w:tc>
          <w:tcPr>
            <w:tcW w:w="1375" w:type="dxa"/>
            <w:shd w:val="clear" w:color="auto" w:fill="7F7F7F"/>
            <w:vAlign w:val="center"/>
          </w:tcPr>
          <w:p w14:paraId="34FEFA86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>Samples</w:t>
            </w:r>
          </w:p>
        </w:tc>
        <w:tc>
          <w:tcPr>
            <w:tcW w:w="773" w:type="dxa"/>
            <w:shd w:val="clear" w:color="auto" w:fill="7F7F7F"/>
            <w:vAlign w:val="center"/>
          </w:tcPr>
          <w:p w14:paraId="4157EFDA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>Species</w:t>
            </w:r>
          </w:p>
        </w:tc>
        <w:tc>
          <w:tcPr>
            <w:tcW w:w="1130" w:type="dxa"/>
            <w:shd w:val="clear" w:color="auto" w:fill="7F7F7F"/>
            <w:vAlign w:val="center"/>
          </w:tcPr>
          <w:p w14:paraId="590B36EE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>Tissues</w:t>
            </w:r>
          </w:p>
        </w:tc>
        <w:tc>
          <w:tcPr>
            <w:tcW w:w="903" w:type="dxa"/>
            <w:shd w:val="clear" w:color="auto" w:fill="7F7F7F"/>
            <w:vAlign w:val="center"/>
          </w:tcPr>
          <w:p w14:paraId="093135A8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>Platform</w:t>
            </w:r>
          </w:p>
        </w:tc>
        <w:tc>
          <w:tcPr>
            <w:tcW w:w="1625" w:type="dxa"/>
            <w:shd w:val="clear" w:color="auto" w:fill="7F7F7F"/>
            <w:vAlign w:val="center"/>
          </w:tcPr>
          <w:p w14:paraId="6091E2E7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>Experiment type</w:t>
            </w:r>
          </w:p>
        </w:tc>
        <w:tc>
          <w:tcPr>
            <w:tcW w:w="1625" w:type="dxa"/>
            <w:shd w:val="clear" w:color="auto" w:fill="7F7F7F"/>
            <w:vAlign w:val="center"/>
          </w:tcPr>
          <w:p w14:paraId="7BFE9154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>Last update date</w:t>
            </w:r>
          </w:p>
        </w:tc>
      </w:tr>
      <w:tr w14:paraId="36A46E55">
        <w:trPr>
          <w:trHeight w:val="310" w:hRule="atLeast"/>
        </w:trPr>
        <w:tc>
          <w:tcPr>
            <w:tcW w:w="944" w:type="dxa"/>
            <w:vAlign w:val="center"/>
          </w:tcPr>
          <w:p w14:paraId="24455812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>S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 xml:space="preserve">equencing 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>D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>atasets</w:t>
            </w:r>
          </w:p>
        </w:tc>
        <w:tc>
          <w:tcPr>
            <w:tcW w:w="1375" w:type="dxa"/>
            <w:vAlign w:val="center"/>
          </w:tcPr>
          <w:p w14:paraId="6E05E0CD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 xml:space="preserve">5 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>HHD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  <w:t xml:space="preserve">s 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 xml:space="preserve">and 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 xml:space="preserve"> controls</w:t>
            </w:r>
          </w:p>
        </w:tc>
        <w:tc>
          <w:tcPr>
            <w:tcW w:w="773" w:type="dxa"/>
            <w:vAlign w:val="center"/>
          </w:tcPr>
          <w:p w14:paraId="06B5CD24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>human</w:t>
            </w:r>
          </w:p>
        </w:tc>
        <w:tc>
          <w:tcPr>
            <w:tcW w:w="1130" w:type="dxa"/>
            <w:shd w:val="clear" w:color="auto" w:fill="auto"/>
            <w:vAlign w:val="center"/>
          </w:tcPr>
          <w:p w14:paraId="73748DEC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  <w:t>left ventricular</w:t>
            </w:r>
          </w:p>
        </w:tc>
        <w:tc>
          <w:tcPr>
            <w:tcW w:w="903" w:type="dxa"/>
            <w:vAlign w:val="center"/>
          </w:tcPr>
          <w:p w14:paraId="58B0680E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color w:val="auto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625" w:type="dxa"/>
            <w:vAlign w:val="center"/>
          </w:tcPr>
          <w:p w14:paraId="18A01E5D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  <w:t>Transcriptome sequencing</w:t>
            </w:r>
          </w:p>
        </w:tc>
        <w:tc>
          <w:tcPr>
            <w:tcW w:w="1625" w:type="dxa"/>
            <w:vAlign w:val="center"/>
          </w:tcPr>
          <w:p w14:paraId="2C95A561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>-</w:t>
            </w:r>
          </w:p>
        </w:tc>
      </w:tr>
      <w:tr w14:paraId="424A8283">
        <w:trPr>
          <w:trHeight w:val="313" w:hRule="atLeast"/>
        </w:trPr>
        <w:tc>
          <w:tcPr>
            <w:tcW w:w="944" w:type="dxa"/>
            <w:vAlign w:val="center"/>
          </w:tcPr>
          <w:p w14:paraId="52297433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>GSE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>160145</w:t>
            </w:r>
          </w:p>
        </w:tc>
        <w:tc>
          <w:tcPr>
            <w:tcW w:w="1375" w:type="dxa"/>
            <w:vAlign w:val="center"/>
          </w:tcPr>
          <w:p w14:paraId="258B86CB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>8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>HHD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  <w:t xml:space="preserve">s 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 xml:space="preserve"> and 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>4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>controls</w:t>
            </w:r>
          </w:p>
        </w:tc>
        <w:tc>
          <w:tcPr>
            <w:tcW w:w="773" w:type="dxa"/>
            <w:vAlign w:val="center"/>
          </w:tcPr>
          <w:p w14:paraId="1F5320B0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>human</w:t>
            </w:r>
          </w:p>
        </w:tc>
        <w:tc>
          <w:tcPr>
            <w:tcW w:w="1130" w:type="dxa"/>
            <w:shd w:val="clear" w:color="auto" w:fill="auto"/>
            <w:vAlign w:val="center"/>
          </w:tcPr>
          <w:p w14:paraId="71CD07A4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  <w:t>left ventricular</w:t>
            </w:r>
          </w:p>
        </w:tc>
        <w:tc>
          <w:tcPr>
            <w:tcW w:w="903" w:type="dxa"/>
            <w:vAlign w:val="center"/>
          </w:tcPr>
          <w:p w14:paraId="42F08FA1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  <w:fldChar w:fldCharType="begin"/>
            </w:r>
            <w:r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  <w:instrText xml:space="preserve"> HYPERLINK "https://www.ncbi.nlm.nih.gov/geo/query/acc.cgi?acc=GPL18694" </w:instrText>
            </w:r>
            <w:r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  <w:fldChar w:fldCharType="separate"/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  <w:t>GPL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>18573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  <w:fldChar w:fldCharType="end"/>
            </w:r>
          </w:p>
        </w:tc>
        <w:tc>
          <w:tcPr>
            <w:tcW w:w="1625" w:type="dxa"/>
            <w:vAlign w:val="center"/>
          </w:tcPr>
          <w:p w14:paraId="315E2962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  <w:t>Transcriptome sequencing</w:t>
            </w:r>
          </w:p>
        </w:tc>
        <w:tc>
          <w:tcPr>
            <w:tcW w:w="1625" w:type="dxa"/>
            <w:vAlign w:val="center"/>
          </w:tcPr>
          <w:p w14:paraId="246BDCB8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>Feb 21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  <w:t>, 202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>2</w:t>
            </w:r>
          </w:p>
        </w:tc>
      </w:tr>
      <w:tr w14:paraId="22ED0355">
        <w:trPr>
          <w:trHeight w:val="368" w:hRule="atLeast"/>
        </w:trPr>
        <w:tc>
          <w:tcPr>
            <w:tcW w:w="944" w:type="dxa"/>
            <w:vAlign w:val="center"/>
          </w:tcPr>
          <w:p w14:paraId="6F52DE9B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>GSE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>240171</w:t>
            </w:r>
          </w:p>
        </w:tc>
        <w:tc>
          <w:tcPr>
            <w:tcW w:w="1375" w:type="dxa"/>
            <w:vAlign w:val="center"/>
          </w:tcPr>
          <w:p w14:paraId="2574F067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 xml:space="preserve"> HHD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  <w:t xml:space="preserve">s 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 xml:space="preserve"> and 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 xml:space="preserve">3 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>controls</w:t>
            </w:r>
          </w:p>
        </w:tc>
        <w:tc>
          <w:tcPr>
            <w:tcW w:w="773" w:type="dxa"/>
            <w:vAlign w:val="center"/>
          </w:tcPr>
          <w:p w14:paraId="7BAAD5A4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>mice</w:t>
            </w:r>
          </w:p>
        </w:tc>
        <w:tc>
          <w:tcPr>
            <w:tcW w:w="1130" w:type="dxa"/>
            <w:shd w:val="clear" w:color="auto" w:fill="auto"/>
            <w:vAlign w:val="center"/>
          </w:tcPr>
          <w:p w14:paraId="0B81494B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  <w:t>left ventricular</w:t>
            </w:r>
          </w:p>
        </w:tc>
        <w:tc>
          <w:tcPr>
            <w:tcW w:w="903" w:type="dxa"/>
            <w:vAlign w:val="center"/>
          </w:tcPr>
          <w:p w14:paraId="484FBE42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  <w:fldChar w:fldCharType="begin"/>
            </w:r>
            <w:r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  <w:instrText xml:space="preserve"> HYPERLINK "https://www.ncbi.nlm.nih.gov/geo/query/acc.cgi?acc=GPL30103" </w:instrText>
            </w:r>
            <w:r>
              <w:rPr>
                <w:rFonts w:hint="default" w:ascii="Times New Roman Regular" w:hAnsi="Times New Roman Regular" w:cs="Times New Roman Regular"/>
                <w:color w:val="auto"/>
                <w:sz w:val="18"/>
                <w:szCs w:val="18"/>
              </w:rPr>
              <w:fldChar w:fldCharType="separate"/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  <w:t>GPL301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val="en-US" w:eastAsia="zh-CN"/>
              </w:rPr>
              <w:t>72</w:t>
            </w: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  <w:fldChar w:fldCharType="end"/>
            </w:r>
          </w:p>
        </w:tc>
        <w:tc>
          <w:tcPr>
            <w:tcW w:w="1625" w:type="dxa"/>
            <w:vAlign w:val="center"/>
          </w:tcPr>
          <w:p w14:paraId="31E7A68F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  <w:t>Transcriptome sequencing</w:t>
            </w:r>
          </w:p>
        </w:tc>
        <w:tc>
          <w:tcPr>
            <w:tcW w:w="1625" w:type="dxa"/>
            <w:vAlign w:val="center"/>
          </w:tcPr>
          <w:p w14:paraId="4CD71885">
            <w:pPr>
              <w:pStyle w:val="12"/>
              <w:spacing w:before="108"/>
              <w:jc w:val="center"/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default" w:ascii="Times New Roman Regular" w:hAnsi="Times New Roman Regular" w:eastAsia="PingFang SC Semibold" w:cs="Times New Roman Regular"/>
                <w:b/>
                <w:bCs/>
                <w:color w:val="auto"/>
                <w:spacing w:val="-4"/>
                <w:sz w:val="18"/>
                <w:szCs w:val="18"/>
              </w:rPr>
              <w:t>Jun 12, 2024</w:t>
            </w:r>
          </w:p>
        </w:tc>
      </w:tr>
    </w:tbl>
    <w:p w14:paraId="11AFD33C">
      <w:pPr>
        <w:widowControl/>
        <w:jc w:val="left"/>
        <w:rPr>
          <w:rFonts w:hint="default" w:ascii="Times New Roman Regular" w:hAnsi="Times New Roman Regular" w:cs="Times New Roman Regular"/>
          <w:color w:val="auto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swiss"/>
    <w:pitch w:val="default"/>
    <w:sig w:usb0="A00002FF" w:usb1="7ACFFDFB" w:usb2="00000017" w:usb3="00000000" w:csb0="0004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PingFang SC Semibold">
    <w:panose1 w:val="020B0400000000000000"/>
    <w:charset w:val="86"/>
    <w:family w:val="swiss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yYTA1YzhhMTE2Yzk1YmIyNDM3ZWRkMzA5ODg0NDMifQ=="/>
  </w:docVars>
  <w:rsids>
    <w:rsidRoot w:val="B8BF0400"/>
    <w:rsid w:val="0D67B460"/>
    <w:rsid w:val="0E574695"/>
    <w:rsid w:val="17BF8096"/>
    <w:rsid w:val="20607B79"/>
    <w:rsid w:val="310D449B"/>
    <w:rsid w:val="557EFEF4"/>
    <w:rsid w:val="5EFFBDC3"/>
    <w:rsid w:val="66C65331"/>
    <w:rsid w:val="6DBB0661"/>
    <w:rsid w:val="6FFEF5AC"/>
    <w:rsid w:val="75DFC051"/>
    <w:rsid w:val="77BED45D"/>
    <w:rsid w:val="77BF349E"/>
    <w:rsid w:val="79E31789"/>
    <w:rsid w:val="7B5CC15E"/>
    <w:rsid w:val="7EFF1384"/>
    <w:rsid w:val="9EF7D887"/>
    <w:rsid w:val="9FFDFF62"/>
    <w:rsid w:val="B8BF0400"/>
    <w:rsid w:val="BBF96560"/>
    <w:rsid w:val="BDF22206"/>
    <w:rsid w:val="BEBE8D8F"/>
    <w:rsid w:val="BFEBF580"/>
    <w:rsid w:val="CFBB215D"/>
    <w:rsid w:val="D57A60BE"/>
    <w:rsid w:val="DBFCF09C"/>
    <w:rsid w:val="DDF36CEB"/>
    <w:rsid w:val="DFAD4C84"/>
    <w:rsid w:val="DFCE8441"/>
    <w:rsid w:val="F5DF380B"/>
    <w:rsid w:val="F5F3647A"/>
    <w:rsid w:val="F67F9EAF"/>
    <w:rsid w:val="F76FDD57"/>
    <w:rsid w:val="FB781DE0"/>
    <w:rsid w:val="FE3EA5DB"/>
    <w:rsid w:val="FE7C90CA"/>
    <w:rsid w:val="FE97D026"/>
    <w:rsid w:val="FEFAB5EF"/>
    <w:rsid w:val="FEFF2B31"/>
    <w:rsid w:val="FF7603CE"/>
    <w:rsid w:val="FF8BED55"/>
    <w:rsid w:val="FFBE9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PingFang SC" w:hAnsi="PingFang SC" w:eastAsia="PingFang SC" w:cs="PingFang SC"/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  <w:lang w:eastAsia="zh-CN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uiPriority w:val="0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15"/>
    <w:basedOn w:val="7"/>
    <w:qFormat/>
    <w:uiPriority w:val="0"/>
    <w:rPr>
      <w:rFonts w:hint="default" w:ascii="Times New Roman" w:hAnsi="Times New Roman" w:cs="Times New Roman"/>
      <w:b/>
    </w:rPr>
  </w:style>
  <w:style w:type="paragraph" w:customStyle="1" w:styleId="12">
    <w:name w:val="Table Text"/>
    <w:basedOn w:val="1"/>
    <w:semiHidden/>
    <w:qFormat/>
    <w:uiPriority w:val="0"/>
    <w:rPr>
      <w:rFonts w:ascii="PingFang SC" w:hAnsi="PingFang SC" w:eastAsia="PingFang SC" w:cs="PingFang SC"/>
      <w:sz w:val="13"/>
      <w:szCs w:val="13"/>
    </w:r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4">
    <w:name w:val="10"/>
    <w:basedOn w:val="7"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843</Words>
  <Characters>5261</Characters>
  <Lines>1</Lines>
  <Paragraphs>1</Paragraphs>
  <TotalTime>0</TotalTime>
  <ScaleCrop>false</ScaleCrop>
  <LinksUpToDate>false</LinksUpToDate>
  <CharactersWithSpaces>5871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2025-01-23T05:09:00Z</dcterms:created>
  <dc:creator>Flora</dc:creator>
  <cp:lastModifiedBy>Flora</cp:lastModifiedBy>
  <dcterms:modified xsi:type="dcterms:W3CDTF">2025-02-21T18:47:11Z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D71107286DDECDBDA79C8F67472B8AF6_41</vt:lpwstr>
  </property>
</Properties>
</file>