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CF6E31" w:rsidP="00CF6E31" w:rsidRDefault="00CF6E31" w14:paraId="076DB2B2" w14:textId="25057346">
      <w:pPr>
        <w:pStyle w:val="Heading1"/>
      </w:pPr>
      <w:r>
        <w:t xml:space="preserve">S. 2. </w:t>
      </w:r>
      <w:r>
        <w:t>Representative catchments</w:t>
      </w:r>
    </w:p>
    <w:tbl>
      <w:tblPr>
        <w:tblW w:w="219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653"/>
        <w:gridCol w:w="955"/>
        <w:gridCol w:w="1100"/>
        <w:gridCol w:w="3842"/>
        <w:gridCol w:w="1791"/>
        <w:gridCol w:w="1630"/>
        <w:gridCol w:w="2249"/>
        <w:gridCol w:w="1776"/>
        <w:gridCol w:w="360"/>
        <w:gridCol w:w="1960"/>
        <w:gridCol w:w="3665"/>
      </w:tblGrid>
      <w:tr w:rsidRPr="007E54BF" w:rsidR="00CF6E31" w:rsidTr="00A2301D" w14:paraId="26CE9FA1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C8529D1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ID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BA215C9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area_km2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42A9837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RepCatch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11E2170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RepCatch_name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BF5AD04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RepCatch_area_km2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AFB3884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RepCatch_Factor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2B3CD0F" w14:textId="77777777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b/>
                <w:bCs/>
                <w:color w:val="000000"/>
                <w:sz w:val="16"/>
                <w:szCs w:val="16"/>
                <w14:ligatures w14:val="none"/>
              </w:rPr>
              <w:t>Relevant to calculation of allocations in:</w:t>
            </w:r>
          </w:p>
        </w:tc>
      </w:tr>
      <w:tr w:rsidRPr="007E54BF" w:rsidR="00CF6E31" w:rsidTr="00A2301D" w14:paraId="63B4FCFA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FCE9B8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Murray_usHume_wet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431AB8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5063.87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8DAB2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401208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5EB42C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Cudgewa Creek at Berringama (401208)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D6E40D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356.2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9BB0CF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18.92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7ED3FC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 system</w:t>
            </w:r>
          </w:p>
        </w:tc>
      </w:tr>
      <w:tr w:rsidRPr="007E54BF" w:rsidR="00CF6E31" w:rsidTr="00A2301D" w14:paraId="2B3B1959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159DF8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Murray_usHume_dry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FE04C26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5756.06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AD64A6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401013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9F17A9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Jingellic Creek at Jingellic (401013)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FF96BB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392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EA547E8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16.22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5C46A9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 system</w:t>
            </w:r>
          </w:p>
        </w:tc>
      </w:tr>
      <w:tr w:rsidRPr="007E54BF" w:rsidR="00CF6E31" w:rsidTr="00A2301D" w14:paraId="7D310A51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5483F0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SnowyScheme_SwampyPlainsRiv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FA6C54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634.65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BEA6D6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401572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B7344D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Tooma River at Tooma Reservoir (401572)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247F5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150.757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336E06A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1.32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B4BFCE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 / Snowy system**</w:t>
            </w:r>
          </w:p>
        </w:tc>
      </w:tr>
      <w:tr w:rsidRPr="007E54BF" w:rsidR="00CF6E31" w:rsidTr="00A2301D" w14:paraId="55294C9D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D65C9A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Mitta_usDart_wet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4F6BC4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1521.87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8A0CB4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401210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BA2349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Snowy Creek at Below Granite Flat (401210)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8C82C4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412.9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2571B60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3.64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2C1F03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 system</w:t>
            </w:r>
          </w:p>
        </w:tc>
      </w:tr>
      <w:tr w:rsidRPr="007E54BF" w:rsidR="00CF6E31" w:rsidTr="00A2301D" w14:paraId="2B62667D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C6D0CB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Mitta_usDart_dry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E8C73C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1985.83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D41BFA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401215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E6346C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Morass Creek at Uplands (401215)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19E646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536.7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47FB5C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8.80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26DDA7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 system</w:t>
            </w:r>
          </w:p>
        </w:tc>
      </w:tr>
      <w:tr w:rsidRPr="007E54BF" w:rsidR="00CF6E31" w:rsidTr="00A2301D" w14:paraId="2FC0EDA5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90294C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Kiewa_wet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312D8E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858.48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517254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401216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3FED4A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Big River at Jokers Creek (401216)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231417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358.1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6AA606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1.98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141435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138E9F59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7699DA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Kiewa_dry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9D1A07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870.57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A054FF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402204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8DA928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Yackandandah Creek at Osbornes Flat (402204)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434E57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280.5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C52FF0F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3.92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70FC893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4A1632DA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183DB0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Ovens_wet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A771A4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3379.12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638C5A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403233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B027A2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Buckland River at Harris Lane (403233)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915A4C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457.1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E603CD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5.50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D0BD5C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3F03951C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A9A82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Ovens_dry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7A449D8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2857.04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4B1920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403221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B3ADC1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Reedy Creek at Woolshed (403221)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C1B6E1A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211.5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35B910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11.90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AD741C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5F98A9CE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77C2BE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Broken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1AC7FB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1910.12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1ABE6D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404207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AC4C19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Holland Creek at Kelfeera (404207)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944A49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454.7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96BE930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2.44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BDD9B38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2D7760BC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EB7245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Goulb_usEild_wet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2FA1C0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2285.96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011630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405219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611B9E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Goulburn River at Dohertys (405219)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1156DAB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699.1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E1D0D0A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2.82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B8A234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Goulburn system</w:t>
            </w:r>
          </w:p>
        </w:tc>
      </w:tr>
      <w:tr w:rsidRPr="007E54BF" w:rsidR="00CF6E31" w:rsidTr="00A2301D" w14:paraId="747A18DC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7C6EA5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Goulb_usEild_dry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5189726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1596.23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B6B3F3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405245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C659DA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Ford Creek at Mansfield (405245)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15D62EF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117.3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6A95A3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35.37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9F7DA2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Goulburn system</w:t>
            </w:r>
          </w:p>
        </w:tc>
      </w:tr>
      <w:tr w:rsidRPr="007E54BF" w:rsidR="00CF6E31" w:rsidTr="00A2301D" w14:paraId="78F1F454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B189D5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Goulb_dsEild_wet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A580DC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1969.76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F14A37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405209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5CF095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Acheron River at Taggerty (405209)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2A5CF3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625.8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E0AE91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2.22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39DD49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Goulburn system*</w:t>
            </w:r>
          </w:p>
        </w:tc>
      </w:tr>
      <w:tr w:rsidRPr="007E54BF" w:rsidR="00CF6E31" w:rsidTr="00A2301D" w14:paraId="0CD333DF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537394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Goulb_dsEild_dry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29DD8F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8814.13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C99A37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405228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D220D3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Hughes Creek at Tarcombe Rd (405228)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E61B4CB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480.6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561CA5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12.01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39BD8A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Goulburn system*</w:t>
            </w:r>
          </w:p>
        </w:tc>
      </w:tr>
      <w:tr w:rsidRPr="007E54BF" w:rsidR="00CF6E31" w:rsidTr="00A2301D" w14:paraId="40413557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D79A424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CampLodd_wet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E9AC06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1978.27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1D452F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407217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9807B6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Loddon River at Vaughan D/S Fryers Creek (407217)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10A904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294.7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D4D013B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7.10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E34F253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74029E43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0A8269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CampLodd_dry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DDE575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4304.48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5C95337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406226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78A17D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Mount Ida Creek at Derrinal (406226)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7C21336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173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B67D29C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17.15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9079C4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19AE83A8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37E6E1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Murray_toMulwala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4517A96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2915.66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4D8A25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403221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5D9836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Reedy Creek at Woolshed (403221)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492FA6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211.5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59D488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2.03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DF3B689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35491E9E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6FD8E5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SnowyScheme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84B407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4235.14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9F4849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401572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48FAEF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Tooma River at Tooma Reservoir (401572)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738C55F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150.757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7F8C6D3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11.78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DF0430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Snowy system**</w:t>
            </w:r>
          </w:p>
        </w:tc>
      </w:tr>
      <w:tr w:rsidRPr="007E54BF" w:rsidR="00CF6E31" w:rsidTr="00A2301D" w14:paraId="77381E9E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128659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Murrumb_usBurrin_wet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5CE5C0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1977.77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8AD29EC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410088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62E111D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Goodradigbee River at Brindabella (No.2&amp;No.3-Cab (410088)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05338DE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428.1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3B93A06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3.75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3F3B37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</w:t>
            </w:r>
          </w:p>
        </w:tc>
      </w:tr>
      <w:tr w:rsidRPr="007E54BF" w:rsidR="00CF6E31" w:rsidTr="00A2301D" w14:paraId="0A0A826D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EFB8FA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Murrumb_usBurrin_dry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3C1F39F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9322.95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2ABF65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410141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A15A6A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Micaligo Creek at Michelago (410141)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BA6CF4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190.6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96A874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107.18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6D44FE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</w:t>
            </w:r>
          </w:p>
        </w:tc>
      </w:tr>
      <w:tr w:rsidRPr="007E54BF" w:rsidR="00CF6E31" w:rsidTr="00A2301D" w14:paraId="068797E5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3A4ED6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Canberra_Cotter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7EF4D4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475.83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2742EA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410730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E2D92CF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Cotter River at Gingera (410730)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565CB2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129.2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D2F09E8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2.00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9BDD5A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</w:t>
            </w:r>
          </w:p>
        </w:tc>
      </w:tr>
      <w:tr w:rsidRPr="007E54BF" w:rsidR="00CF6E31" w:rsidTr="00A2301D" w14:paraId="508F2235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ADAE9A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Canberra_Googong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B41C39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891.12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4F96C99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410734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FC7DCE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Queanbeyan River at Tinderry (410734)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61729A61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564.4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4995CE0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1.33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A8CA47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</w:t>
            </w:r>
          </w:p>
        </w:tc>
      </w:tr>
      <w:tr w:rsidRPr="007E54BF" w:rsidR="00CF6E31" w:rsidTr="00A2301D" w14:paraId="080554AF" w14:textId="77777777">
        <w:trPr>
          <w:gridAfter w:val="4"/>
          <w:wAfter w:w="7761" w:type="dxa"/>
          <w:trHeight w:val="280"/>
        </w:trPr>
        <w:tc>
          <w:tcPr>
            <w:tcW w:w="2653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E201A15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Murrumb_dsBurrin_wet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0954E67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2966.56</w:t>
            </w:r>
          </w:p>
        </w:tc>
        <w:tc>
          <w:tcPr>
            <w:tcW w:w="110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AED96C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410038</w:t>
            </w:r>
          </w:p>
        </w:tc>
        <w:tc>
          <w:tcPr>
            <w:tcW w:w="3842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7BEA74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Adjungbilly Creek at Darbalara (410038)</w:t>
            </w:r>
          </w:p>
        </w:tc>
        <w:tc>
          <w:tcPr>
            <w:tcW w:w="1791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823940D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389.2</w:t>
            </w:r>
          </w:p>
        </w:tc>
        <w:tc>
          <w:tcPr>
            <w:tcW w:w="163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7F380FB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11.20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3A7D0E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System*</w:t>
            </w:r>
          </w:p>
        </w:tc>
      </w:tr>
      <w:tr w:rsidRPr="007E54BF" w:rsidR="00CF6E31" w:rsidTr="00A2301D" w14:paraId="1899A18C" w14:textId="77777777">
        <w:trPr>
          <w:gridAfter w:val="4"/>
          <w:wAfter w:w="7761" w:type="dxa"/>
          <w:trHeight w:val="280"/>
        </w:trPr>
        <w:tc>
          <w:tcPr>
            <w:tcW w:w="265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F8E6450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Murrumb_dsBurrin_dry</w:t>
            </w:r>
          </w:p>
        </w:tc>
        <w:tc>
          <w:tcPr>
            <w:tcW w:w="955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4AB276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8929.59</w:t>
            </w:r>
          </w:p>
        </w:tc>
        <w:tc>
          <w:tcPr>
            <w:tcW w:w="110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51297A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412029</w:t>
            </w:r>
          </w:p>
        </w:tc>
        <w:tc>
          <w:tcPr>
            <w:tcW w:w="384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5515662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Boorowa River at Prossers Crossing (412029)</w:t>
            </w:r>
          </w:p>
        </w:tc>
        <w:tc>
          <w:tcPr>
            <w:tcW w:w="179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C6BD095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1550.6</w:t>
            </w:r>
          </w:p>
        </w:tc>
        <w:tc>
          <w:tcPr>
            <w:tcW w:w="163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F2DBBF2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9.34</w:t>
            </w:r>
          </w:p>
        </w:tc>
        <w:tc>
          <w:tcPr>
            <w:tcW w:w="224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8900843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System*</w:t>
            </w:r>
          </w:p>
        </w:tc>
      </w:tr>
      <w:tr w:rsidRPr="007E54BF" w:rsidR="00CF6E31" w:rsidTr="00A2301D" w14:paraId="128E3A64" w14:textId="77777777">
        <w:trPr>
          <w:gridAfter w:val="4"/>
          <w:wAfter w:w="7761" w:type="dxa"/>
          <w:trHeight w:val="280"/>
        </w:trPr>
        <w:tc>
          <w:tcPr>
            <w:tcW w:w="2653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8D73BF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BillabongCk</w:t>
            </w:r>
          </w:p>
        </w:tc>
        <w:tc>
          <w:tcPr>
            <w:tcW w:w="955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424773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2798.84</w:t>
            </w:r>
          </w:p>
        </w:tc>
        <w:tc>
          <w:tcPr>
            <w:tcW w:w="110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5FDE521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410091</w:t>
            </w:r>
          </w:p>
        </w:tc>
        <w:tc>
          <w:tcPr>
            <w:tcW w:w="384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484BD14B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Billabong Creek at Walbundrie (410091)</w:t>
            </w:r>
          </w:p>
        </w:tc>
        <w:tc>
          <w:tcPr>
            <w:tcW w:w="179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FA90DD4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2636.3</w:t>
            </w:r>
          </w:p>
        </w:tc>
        <w:tc>
          <w:tcPr>
            <w:tcW w:w="163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338440DA" w14:textId="77777777">
            <w:pPr>
              <w:spacing w:after="0" w:line="240" w:lineRule="auto"/>
              <w:jc w:val="right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0.97</w:t>
            </w:r>
          </w:p>
        </w:tc>
        <w:tc>
          <w:tcPr>
            <w:tcW w:w="224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73B8C5EE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Murrimbidgee System*</w:t>
            </w:r>
          </w:p>
        </w:tc>
      </w:tr>
      <w:tr w:rsidRPr="007E54BF" w:rsidR="00CF6E31" w:rsidTr="00A2301D" w14:paraId="463275D6" w14:textId="77777777">
        <w:trPr>
          <w:trHeight w:val="280"/>
        </w:trPr>
        <w:tc>
          <w:tcPr>
            <w:tcW w:w="15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2558CEDC" w14:textId="165B3D30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 xml:space="preserve">Notes </w:t>
            </w: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* denotes that an area that is part of a system but downstream of the major reservoir(s) of that system.</w:t>
            </w:r>
          </w:p>
        </w:tc>
        <w:tc>
          <w:tcPr>
            <w:tcW w:w="360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B048298" w14:textId="7777777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5712F5A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  <w14:ligatures w14:val="none"/>
              </w:rPr>
            </w:pPr>
          </w:p>
        </w:tc>
        <w:tc>
          <w:tcPr>
            <w:tcW w:w="3665" w:type="dxa"/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0D6712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16"/>
                <w:szCs w:val="16"/>
                <w14:ligatures w14:val="none"/>
              </w:rPr>
            </w:pPr>
          </w:p>
        </w:tc>
      </w:tr>
      <w:tr w:rsidRPr="007E54BF" w:rsidR="00CF6E31" w:rsidTr="00A2301D" w14:paraId="4F46D6F0" w14:textId="77777777">
        <w:trPr>
          <w:trHeight w:val="280"/>
        </w:trPr>
        <w:tc>
          <w:tcPr>
            <w:tcW w:w="219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7E54BF" w:rsidR="00CF6E31" w:rsidP="00A2301D" w:rsidRDefault="00CF6E31" w14:paraId="18DF72E1" w14:textId="7799265E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</w:pPr>
            <w:r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 xml:space="preserve">         </w:t>
            </w: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** the Snowy system does not itself have allocations, but wat</w:t>
            </w:r>
            <w:r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e</w:t>
            </w:r>
            <w:r w:rsidRPr="007E54BF">
              <w:rPr>
                <w:rFonts w:ascii="Arial" w:hAnsi="Arial" w:eastAsia="Times New Roman" w:cs="Arial"/>
                <w:color w:val="000000"/>
                <w:sz w:val="16"/>
                <w:szCs w:val="16"/>
                <w14:ligatures w14:val="none"/>
              </w:rPr>
              <w:t>r released from the Snowy into the Murray and the Murrumbidgee systems affects their allocations</w:t>
            </w:r>
          </w:p>
        </w:tc>
      </w:tr>
    </w:tbl>
    <w:p w:rsidRPr="00CF6E31" w:rsidR="00CF6E31" w:rsidP="00CF6E31" w:rsidRDefault="00CF6E31" w14:paraId="250EC942" w14:textId="77777777">
      <w:pPr>
        <w:sectPr w:rsidRPr="00CF6E31" w:rsidR="00CF6E31" w:rsidSect="007E54B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762A6" w:rsidP="00F94EA2" w:rsidRDefault="003762A6" w14:paraId="5D320653" w14:textId="5AFD10B3">
      <w:pPr>
        <w:pStyle w:val="Heading1"/>
      </w:pPr>
      <w:r>
        <w:t>S.2.  Rainfall runoff calibration</w:t>
      </w:r>
    </w:p>
    <w:p w:rsidR="00F61D55" w:rsidP="00F94EA2" w:rsidRDefault="00F61D55" w14:paraId="3FB65B04" w14:textId="77777777">
      <w:pPr>
        <w:pStyle w:val="Heading1"/>
      </w:pPr>
      <w:r w:rsidRPr="00F61D55">
        <w:rPr>
          <w:noProof/>
        </w:rPr>
        <w:drawing>
          <wp:inline distT="0" distB="0" distL="0" distR="0" wp14:anchorId="1210F82A" wp14:editId="2E07E87F">
            <wp:extent cx="5581650" cy="3096448"/>
            <wp:effectExtent l="0" t="0" r="0" b="8890"/>
            <wp:docPr id="14891819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001" cy="310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F99" w:rsidP="00F94EA2" w:rsidRDefault="009422AA" w14:paraId="1249D221" w14:textId="77777777">
      <w:pPr>
        <w:pStyle w:val="Heading1"/>
      </w:pPr>
      <w:r w:rsidRPr="009422AA">
        <w:rPr>
          <w:noProof/>
        </w:rPr>
        <w:drawing>
          <wp:inline distT="0" distB="0" distL="0" distR="0" wp14:anchorId="3973AAB6" wp14:editId="5C3C0F80">
            <wp:extent cx="5616937" cy="3155950"/>
            <wp:effectExtent l="0" t="0" r="3175" b="6350"/>
            <wp:docPr id="19573827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974" cy="315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F99" w:rsidP="00F94EA2" w:rsidRDefault="00442F99" w14:paraId="0849B12D" w14:textId="77777777">
      <w:pPr>
        <w:pStyle w:val="Heading1"/>
      </w:pPr>
      <w:r w:rsidRPr="00442F99">
        <w:rPr>
          <w:noProof/>
        </w:rPr>
        <w:drawing>
          <wp:inline distT="0" distB="0" distL="0" distR="0" wp14:anchorId="1417DA70" wp14:editId="4BA8883E">
            <wp:extent cx="5568538" cy="3238500"/>
            <wp:effectExtent l="0" t="0" r="0" b="0"/>
            <wp:docPr id="5172385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829" cy="324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50B" w:rsidP="00F94EA2" w:rsidRDefault="0007717D" w14:paraId="0631C1B7" w14:textId="77777777">
      <w:pPr>
        <w:pStyle w:val="Heading1"/>
      </w:pPr>
      <w:r w:rsidRPr="0007717D">
        <w:rPr>
          <w:noProof/>
        </w:rPr>
        <w:drawing>
          <wp:inline distT="0" distB="0" distL="0" distR="0" wp14:anchorId="67ACAA96" wp14:editId="204D79DA">
            <wp:extent cx="5715000" cy="3376649"/>
            <wp:effectExtent l="0" t="0" r="0" b="0"/>
            <wp:docPr id="18476204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5" cy="3384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50B" w:rsidP="00F94EA2" w:rsidRDefault="006F650B" w14:paraId="74E4E490" w14:textId="77777777">
      <w:pPr>
        <w:pStyle w:val="Heading1"/>
      </w:pPr>
      <w:r w:rsidRPr="006F650B">
        <w:rPr>
          <w:noProof/>
        </w:rPr>
        <w:drawing>
          <wp:inline distT="0" distB="0" distL="0" distR="0" wp14:anchorId="29CCF26A" wp14:editId="09DF2223">
            <wp:extent cx="5816600" cy="4396125"/>
            <wp:effectExtent l="0" t="0" r="0" b="4445"/>
            <wp:docPr id="13501957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657" cy="44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98" w:rsidP="00F94EA2" w:rsidRDefault="00FC1598" w14:paraId="03244171" w14:textId="77777777">
      <w:pPr>
        <w:pStyle w:val="Heading1"/>
      </w:pPr>
      <w:r w:rsidRPr="00FC1598">
        <w:rPr>
          <w:noProof/>
        </w:rPr>
        <w:drawing>
          <wp:inline distT="0" distB="0" distL="0" distR="0" wp14:anchorId="1450E092" wp14:editId="2687E0DE">
            <wp:extent cx="5905500" cy="4338988"/>
            <wp:effectExtent l="0" t="0" r="0" b="4445"/>
            <wp:docPr id="11376260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33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C23" w:rsidP="00F94EA2" w:rsidRDefault="00BA6C23" w14:paraId="782C470C" w14:textId="77777777">
      <w:pPr>
        <w:pStyle w:val="Heading1"/>
      </w:pPr>
      <w:r w:rsidRPr="00BA6C23">
        <w:rPr>
          <w:noProof/>
        </w:rPr>
        <w:drawing>
          <wp:inline distT="0" distB="0" distL="0" distR="0" wp14:anchorId="7AC6CD0A" wp14:editId="65474D9C">
            <wp:extent cx="6369050" cy="4717325"/>
            <wp:effectExtent l="0" t="0" r="0" b="7620"/>
            <wp:docPr id="3373997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471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EA2" w:rsidP="00F94EA2" w:rsidRDefault="00BA6C23" w14:paraId="1838AC3C" w14:textId="4D8116AC">
      <w:pPr>
        <w:pStyle w:val="Heading1"/>
      </w:pPr>
      <w:r w:rsidRPr="00BA6C23">
        <w:rPr>
          <w:noProof/>
        </w:rPr>
        <w:drawing>
          <wp:inline distT="0" distB="0" distL="0" distR="0" wp14:anchorId="677D6287" wp14:editId="22AA2CF2">
            <wp:extent cx="6362700" cy="4567415"/>
            <wp:effectExtent l="0" t="0" r="0" b="5080"/>
            <wp:docPr id="208633395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456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62A6">
        <w:br w:type="column"/>
      </w:r>
      <w:r w:rsidR="00F94EA2">
        <w:rPr/>
        <w:t xml:space="preserve">S. </w:t>
      </w:r>
      <w:r w:rsidR="003762A6">
        <w:rPr/>
        <w:t>3</w:t>
      </w:r>
      <w:r w:rsidR="00F94EA2">
        <w:rPr/>
        <w:t>. Allocation modelling objective function calibration steps</w:t>
      </w:r>
    </w:p>
    <w:p w:rsidRPr="00915F48" w:rsidR="00F94EA2" w:rsidP="00F94EA2" w:rsidRDefault="00F94EA2" w14:paraId="0DF4F2E0" w14:textId="31795EDA">
      <w:pPr>
        <w:spacing w:before="120" w:after="120"/>
        <w:jc w:val="both"/>
        <w:rPr>
          <w:rFonts w:ascii="Calibri" w:hAnsi="Calibri" w:cs="Calibri"/>
        </w:rPr>
      </w:pPr>
      <w:r w:rsidRPr="00915F48">
        <w:rPr>
          <w:rFonts w:ascii="Calibri" w:hAnsi="Calibri" w:cs="Calibri"/>
        </w:rPr>
        <w:t>The specific step to calculate the objective function value is outlined as follows.</w:t>
      </w:r>
    </w:p>
    <w:p w:rsidRPr="00915F48" w:rsidR="00F94EA2" w:rsidP="00F94EA2" w:rsidRDefault="00F94EA2" w14:paraId="091639DE" w14:textId="77777777">
      <w:pPr>
        <w:pStyle w:val="ListParagraph"/>
        <w:widowControl w:val="0"/>
        <w:numPr>
          <w:ilvl w:val="0"/>
          <w:numId w:val="1"/>
        </w:numPr>
        <w:spacing w:before="120" w:after="120" w:line="240" w:lineRule="auto"/>
        <w:jc w:val="both"/>
      </w:pPr>
      <w:r w:rsidRPr="00915F48">
        <w:t>Calculate the weights of extreme and non-extreme (i.e., midway) categories</w:t>
      </w:r>
    </w:p>
    <w:p w:rsidRPr="00915F48" w:rsidR="00F94EA2" w:rsidP="00F94EA2" w:rsidRDefault="00F94EA2" w14:paraId="34B6BFDB" w14:textId="77777777">
      <w:pPr>
        <w:spacing w:before="120" w:after="120"/>
        <w:jc w:val="both"/>
        <w:rPr>
          <w:rFonts w:ascii="Calibri" w:hAnsi="Calibri" w:cs="Calibri"/>
        </w:rPr>
      </w:pPr>
      <m:oMathPara>
        <m:oMath>
          <m:sSub>
            <m:sSub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sSubPr>
            <m:e>
              <m:r>
                <w:rPr>
                  <w:rFonts w:ascii="Cambria Math" w:hAnsi="Cambria Math" w:cs="Calibri"/>
                </w:rPr>
                <m:t>w</m:t>
              </m:r>
            </m:e>
            <m:sub>
              <m:r>
                <w:rPr>
                  <w:rFonts w:ascii="Cambria Math" w:hAnsi="Cambria Math" w:cs="Calibri"/>
                </w:rPr>
                <m:t>e</m:t>
              </m:r>
            </m:sub>
          </m:sSub>
          <m:r>
            <w:rPr>
              <w:rFonts w:ascii="Cambria Math" w:hAnsi="Cambria Math" w:cs="Calibri"/>
            </w:rPr>
            <m:t>=</m:t>
          </m:r>
          <m:f>
            <m:f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fPr>
            <m:num>
              <m:r>
                <w:rPr>
                  <w:rFonts w:ascii="Cambria Math" w:hAnsi="Cambria Math" w:cs="Calibri"/>
                </w:rPr>
                <m:t>extreme</m:t>
              </m:r>
            </m:num>
            <m:den>
              <m:r>
                <w:rPr>
                  <w:rFonts w:ascii="Cambria Math" w:hAnsi="Cambria Math" w:cs="Calibri"/>
                </w:rPr>
                <m:t>extreme+midway</m:t>
              </m:r>
            </m:den>
          </m:f>
          <m:r>
            <m:rPr>
              <m:sty m:val="p"/>
            </m:rPr>
            <w:rPr>
              <w:rFonts w:ascii="Cambria Math" w:hAnsi="Cambria Math" w:cs="Calibri"/>
            </w:rPr>
            <m:t xml:space="preserve"> </m:t>
          </m:r>
        </m:oMath>
      </m:oMathPara>
    </w:p>
    <w:p w:rsidRPr="00915F48" w:rsidR="00F94EA2" w:rsidP="00F94EA2" w:rsidRDefault="00F94EA2" w14:paraId="61EB15F7" w14:textId="77777777">
      <w:pPr>
        <w:spacing w:before="120" w:after="120"/>
        <w:jc w:val="both"/>
        <w:rPr>
          <w:rFonts w:ascii="Calibri" w:hAnsi="Calibri" w:cs="Calibri"/>
        </w:rPr>
      </w:pPr>
      <m:oMathPara>
        <m:oMath>
          <m:sSub>
            <m:sSub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sSubPr>
            <m:e>
              <m:r>
                <w:rPr>
                  <w:rFonts w:ascii="Cambria Math" w:hAnsi="Cambria Math" w:cs="Calibri"/>
                </w:rPr>
                <m:t>w</m:t>
              </m:r>
            </m:e>
            <m:sub>
              <m:r>
                <w:rPr>
                  <w:rFonts w:ascii="Cambria Math" w:hAnsi="Cambria Math" w:cs="Calibri"/>
                </w:rPr>
                <m:t>m</m:t>
              </m:r>
            </m:sub>
          </m:sSub>
          <m:r>
            <w:rPr>
              <w:rFonts w:ascii="Cambria Math" w:hAnsi="Cambria Math" w:cs="Calibri"/>
            </w:rPr>
            <m:t>=</m:t>
          </m:r>
          <m:f>
            <m:f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fPr>
            <m:num>
              <m:r>
                <w:rPr>
                  <w:rFonts w:ascii="Cambria Math" w:hAnsi="Cambria Math" w:cs="Calibri"/>
                </w:rPr>
                <m:t>midway</m:t>
              </m:r>
            </m:num>
            <m:den>
              <m:r>
                <w:rPr>
                  <w:rFonts w:ascii="Cambria Math" w:hAnsi="Cambria Math" w:cs="Calibri"/>
                </w:rPr>
                <m:t>extreme+midway</m:t>
              </m:r>
            </m:den>
          </m:f>
          <m:r>
            <w:rPr>
              <w:rFonts w:ascii="Cambria Math" w:hAnsi="Cambria Math" w:cs="Calibri"/>
            </w:rPr>
            <m:t>=1-</m:t>
          </m:r>
          <m:sSub>
            <m:sSub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sSubPr>
            <m:e>
              <m:r>
                <w:rPr>
                  <w:rFonts w:ascii="Cambria Math" w:hAnsi="Cambria Math" w:cs="Calibri"/>
                </w:rPr>
                <m:t>w</m:t>
              </m:r>
            </m:e>
            <m:sub>
              <m:r>
                <w:rPr>
                  <w:rFonts w:ascii="Cambria Math" w:hAnsi="Cambria Math" w:cs="Calibri"/>
                </w:rPr>
                <m:t>e</m:t>
              </m:r>
            </m:sub>
          </m:sSub>
        </m:oMath>
      </m:oMathPara>
    </w:p>
    <w:p w:rsidRPr="00915F48" w:rsidR="00F94EA2" w:rsidP="00F94EA2" w:rsidRDefault="00F94EA2" w14:paraId="12B683AB" w14:textId="77777777">
      <w:pPr>
        <w:spacing w:before="120" w:after="120"/>
        <w:ind w:left="357"/>
        <w:jc w:val="both"/>
        <w:rPr>
          <w:rFonts w:ascii="Calibri" w:hAnsi="Calibri" w:cs="Calibri"/>
        </w:rPr>
      </w:pPr>
      <w:r w:rsidRPr="00915F48">
        <w:rPr>
          <w:rFonts w:ascii="Calibri" w:hAnsi="Calibri" w:cs="Calibri"/>
        </w:rPr>
        <w:t xml:space="preserve">where </w:t>
      </w:r>
      <m:oMath>
        <m:r>
          <w:rPr>
            <w:rFonts w:ascii="Cambria Math" w:hAnsi="Cambria Math" w:cs="Calibri"/>
          </w:rPr>
          <m:t>extreme</m:t>
        </m:r>
      </m:oMath>
      <w:r w:rsidRPr="00915F48">
        <w:rPr>
          <w:rFonts w:ascii="Calibri" w:hAnsi="Calibri" w:cs="Calibri"/>
        </w:rPr>
        <w:t xml:space="preserve"> is the number of extreme allocations and </w:t>
      </w:r>
      <m:oMath>
        <m:r>
          <w:rPr>
            <w:rFonts w:ascii="Cambria Math" w:hAnsi="Cambria Math" w:cs="Calibri"/>
          </w:rPr>
          <m:t>midway</m:t>
        </m:r>
      </m:oMath>
      <w:r w:rsidRPr="00915F48">
        <w:rPr>
          <w:rFonts w:ascii="Calibri" w:hAnsi="Calibri" w:cs="Calibri"/>
        </w:rPr>
        <w:t xml:space="preserve"> is the number of non-extreme allocations.</w:t>
      </w:r>
    </w:p>
    <w:p w:rsidRPr="00915F48" w:rsidR="00F94EA2" w:rsidP="00F94EA2" w:rsidRDefault="00F94EA2" w14:paraId="7EE5EFEA" w14:textId="77777777">
      <w:pPr>
        <w:pStyle w:val="ListParagraph"/>
        <w:widowControl w:val="0"/>
        <w:numPr>
          <w:ilvl w:val="0"/>
          <w:numId w:val="1"/>
        </w:numPr>
        <w:spacing w:before="120" w:after="120" w:line="240" w:lineRule="auto"/>
        <w:jc w:val="both"/>
      </w:pPr>
      <w:r w:rsidRPr="00915F48">
        <w:t>Calculate SI based on the weighted number of successful detections of extreme and non-extreme cases.</w:t>
      </w:r>
    </w:p>
    <w:p w:rsidRPr="00915F48" w:rsidR="00F94EA2" w:rsidP="00F94EA2" w:rsidRDefault="00F94EA2" w14:paraId="5631D812" w14:textId="77777777">
      <w:pPr>
        <w:pStyle w:val="ListParagraph"/>
        <w:spacing w:before="120" w:after="120"/>
        <w:ind w:left="0"/>
        <w:jc w:val="both"/>
      </w:pPr>
      <m:oMathPara>
        <m:oMath>
          <m:r>
            <w:rPr>
              <w:rFonts w:ascii="Cambria Math" w:hAnsi="Cambria Math"/>
            </w:rPr>
            <m:t>SI=</m:t>
          </m:r>
          <m:sSub>
            <m:sSubPr>
              <m:ctrlPr>
                <w:rPr>
                  <w:rFonts w:ascii="Cambria Math" w:hAnsi="Cambria Math" w:eastAsiaTheme="minorEastAsia"/>
                  <w:i/>
                  <w:kern w:val="2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</m:sSub>
          <m:r>
            <w:rPr>
              <w:rFonts w:ascii="Cambria Math" w:hAnsi="Cambria Math"/>
            </w:rPr>
            <m:t>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eastAsiaTheme="minorEastAsia"/>
                      <w:i/>
                      <w:kern w:val="2"/>
                      <w:lang w:eastAsia="zh-CN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hits</m:t>
                  </m:r>
                </m:num>
                <m:den>
                  <m:r>
                    <w:rPr>
                      <w:rFonts w:ascii="Cambria Math" w:hAnsi="Cambria Math"/>
                    </w:rPr>
                    <m:t>extreme</m:t>
                  </m:r>
                </m:den>
              </m:f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 w:eastAsiaTheme="minorEastAsia"/>
                  <w:i/>
                  <w:kern w:val="2"/>
                  <w:lang w:eastAsia="zh-CN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m</m:t>
              </m:r>
            </m:sub>
          </m:sSub>
          <m:r>
            <w:rPr>
              <w:rFonts w:ascii="Cambria Math" w:hAnsi="Cambria Math"/>
            </w:rPr>
            <m:t>×(</m:t>
          </m:r>
          <m:f>
            <m:fPr>
              <m:ctrlPr>
                <w:rPr>
                  <w:rFonts w:ascii="Cambria Math" w:hAnsi="Cambria Math" w:eastAsiaTheme="minorEastAsia"/>
                  <w:i/>
                  <w:kern w:val="2"/>
                  <w:lang w:eastAsia="zh-CN"/>
                </w:rPr>
              </m:ctrlPr>
            </m:fPr>
            <m:num>
              <m:r>
                <w:rPr>
                  <w:rFonts w:ascii="Cambria Math" w:hAnsi="Cambria Math"/>
                </w:rPr>
                <m:t>correct</m:t>
              </m:r>
            </m:num>
            <m:den>
              <m:r>
                <w:rPr>
                  <w:rFonts w:ascii="Cambria Math" w:hAnsi="Cambria Math"/>
                </w:rPr>
                <m:t>midway</m:t>
              </m:r>
            </m:den>
          </m:f>
          <m:r>
            <w:rPr>
              <w:rFonts w:ascii="Cambria Math" w:hAnsi="Cambria Math"/>
            </w:rPr>
            <m:t>)</m:t>
          </m:r>
        </m:oMath>
      </m:oMathPara>
    </w:p>
    <w:p w:rsidRPr="00915F48" w:rsidR="00F94EA2" w:rsidP="00F94EA2" w:rsidRDefault="00F94EA2" w14:paraId="513B1250" w14:textId="77777777">
      <w:pPr>
        <w:pStyle w:val="ListParagraph"/>
        <w:spacing w:before="120" w:after="120"/>
        <w:ind w:left="357"/>
        <w:jc w:val="both"/>
      </w:pPr>
      <w:r w:rsidRPr="00915F48">
        <w:t xml:space="preserve">where </w:t>
      </w:r>
      <m:oMath>
        <m:r>
          <w:rPr>
            <w:rFonts w:ascii="Cambria Math" w:hAnsi="Cambria Math"/>
          </w:rPr>
          <m:t>hits</m:t>
        </m:r>
      </m:oMath>
      <w:r w:rsidRPr="00915F48">
        <w:t xml:space="preserve"> is the number of successful detection of extreme allocations and any correct detection of non-extreme allocations will be counted as a </w:t>
      </w:r>
      <m:oMath>
        <m:r>
          <w:rPr>
            <w:rFonts w:ascii="Cambria Math" w:hAnsi="Cambria Math"/>
          </w:rPr>
          <m:t>correct</m:t>
        </m:r>
      </m:oMath>
      <w:r w:rsidRPr="00915F48">
        <w:t xml:space="preserve">. </w:t>
      </w:r>
    </w:p>
    <w:p w:rsidRPr="00915F48" w:rsidR="00F94EA2" w:rsidP="00F94EA2" w:rsidRDefault="00F94EA2" w14:paraId="623A76DB" w14:textId="77777777">
      <w:pPr>
        <w:pStyle w:val="ListParagraph"/>
        <w:widowControl w:val="0"/>
        <w:numPr>
          <w:ilvl w:val="0"/>
          <w:numId w:val="1"/>
        </w:numPr>
        <w:spacing w:before="120" w:after="120" w:line="240" w:lineRule="auto"/>
        <w:jc w:val="both"/>
      </w:pPr>
      <w:r w:rsidRPr="00915F48">
        <w:t>Calculate NNSE based on the prediction accuracy of non-extreme cases.</w:t>
      </w:r>
    </w:p>
    <w:p w:rsidRPr="00915F48" w:rsidR="00F94EA2" w:rsidP="00F94EA2" w:rsidRDefault="00F94EA2" w14:paraId="77EE89B2" w14:textId="77777777">
      <w:pPr>
        <w:spacing w:before="120" w:after="120"/>
        <w:ind w:left="357"/>
        <w:jc w:val="both"/>
        <w:rPr>
          <w:rFonts w:ascii="Calibri" w:hAnsi="Calibri" w:cs="Calibri"/>
        </w:rPr>
      </w:pPr>
      <m:oMathPara>
        <m:oMath>
          <m:r>
            <w:rPr>
              <w:rFonts w:ascii="Cambria Math" w:hAnsi="Cambria Math" w:cs="Calibri"/>
            </w:rPr>
            <m:t>NNSE=</m:t>
          </m:r>
          <m:f>
            <m:f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fPr>
            <m:num>
              <m:r>
                <w:rPr>
                  <w:rFonts w:ascii="Cambria Math" w:hAnsi="Cambria Math" w:cs="Calibri"/>
                </w:rPr>
                <m:t>1</m:t>
              </m:r>
            </m:num>
            <m:den>
              <m:r>
                <w:rPr>
                  <w:rFonts w:ascii="Cambria Math" w:hAnsi="Cambria Math" w:cs="Calibri"/>
                </w:rPr>
                <m:t>2-NSE</m:t>
              </m:r>
            </m:den>
          </m:f>
          <m:r>
            <w:rPr>
              <w:rFonts w:ascii="Cambria Math" w:hAnsi="Cambria Math" w:cs="Calibri"/>
            </w:rPr>
            <m:t>=</m:t>
          </m:r>
          <m:f>
            <m:fPr>
              <m:ctrlPr>
                <w:rPr>
                  <w:rFonts w:ascii="Cambria Math" w:hAnsi="Cambria Math" w:cs="Calibri" w:eastAsiaTheme="minorEastAsia"/>
                  <w:i/>
                  <w:kern w:val="2"/>
                  <w:lang w:eastAsia="zh-CN"/>
                </w:rPr>
              </m:ctrlPr>
            </m:fPr>
            <m:num>
              <m:r>
                <w:rPr>
                  <w:rFonts w:ascii="Cambria Math" w:hAnsi="Cambria Math" w:cs="Calibri"/>
                </w:rPr>
                <m:t>1</m:t>
              </m:r>
            </m:num>
            <m:den>
              <m:r>
                <w:rPr>
                  <w:rFonts w:ascii="Cambria Math" w:hAnsi="Cambria Math" w:cs="Calibri"/>
                </w:rPr>
                <m:t>1+</m:t>
              </m:r>
              <m:f>
                <m:fPr>
                  <m:ctrlPr>
                    <w:rPr>
                      <w:rFonts w:ascii="Cambria Math" w:hAnsi="Cambria Math" w:cs="Calibri" w:eastAsiaTheme="minorEastAsia"/>
                      <w:i/>
                      <w:kern w:val="2"/>
                      <w:lang w:eastAsia="zh-CN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 w:cs="Calibri" w:eastAsiaTheme="minorEastAsia"/>
                          <w:i/>
                          <w:kern w:val="2"/>
                          <w:lang w:eastAsia="zh-CN"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 w:cs="Calibri" w:eastAsiaTheme="minorEastAsia"/>
                              <w:i/>
                              <w:kern w:val="2"/>
                              <w:lang w:eastAsia="zh-CN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Calibri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 w:eastAsiaTheme="minorEastAsia"/>
                                  <w:i/>
                                  <w:kern w:val="2"/>
                                  <w:lang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</w:rPr>
                                <m:t>Am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</w:rPr>
                                <m:t>o</m:t>
                              </m:r>
                            </m:sub>
                          </m:sSub>
                          <m:r>
                            <w:rPr>
                              <w:rFonts w:ascii="Cambria Math" w:hAnsi="Cambria Math" w:cs="Calibri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 w:eastAsiaTheme="minorEastAsia"/>
                                  <w:i/>
                                  <w:kern w:val="2"/>
                                  <w:lang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</w:rPr>
                                <m:t>Am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</w:rPr>
                                <m:t>m</m:t>
                              </m:r>
                            </m:sub>
                          </m:sSub>
                          <m:r>
                            <w:rPr>
                              <w:rFonts w:ascii="Cambria Math" w:hAnsi="Cambria Math" w:cs="Calibri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Calibri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 w:cs="Calibri" w:eastAsiaTheme="minorEastAsia"/>
                          <w:i/>
                          <w:kern w:val="2"/>
                          <w:lang w:eastAsia="zh-CN"/>
                        </w:rPr>
                      </m:ctrlPr>
                    </m:naryPr>
                    <m:sub/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 w:cs="Calibri" w:eastAsiaTheme="minorEastAsia"/>
                              <w:i/>
                              <w:kern w:val="2"/>
                              <w:lang w:eastAsia="zh-CN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Calibri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Calibri" w:eastAsiaTheme="minorEastAsia"/>
                                  <w:i/>
                                  <w:kern w:val="2"/>
                                  <w:lang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</w:rPr>
                                <m:t>Am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</w:rPr>
                                <m:t>o</m:t>
                              </m:r>
                            </m:sub>
                          </m:sSub>
                          <m:r>
                            <w:rPr>
                              <w:rFonts w:ascii="Cambria Math" w:hAnsi="Cambria Math" w:cs="Calibri"/>
                            </w:rPr>
                            <m:t>-</m:t>
                          </m:r>
                          <m:acc>
                            <m:accPr>
                              <m:chr m:val="̅"/>
                              <m:ctrlPr>
                                <w:rPr>
                                  <w:rFonts w:ascii="Cambria Math" w:hAnsi="Cambria Math" w:cs="Calibri" w:eastAsiaTheme="minorEastAsia"/>
                                  <w:i/>
                                  <w:kern w:val="2"/>
                                  <w:lang w:eastAsia="zh-CN"/>
                                </w:rPr>
                              </m:ctrlPr>
                            </m:acc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Calibri" w:eastAsiaTheme="minorEastAsia"/>
                                      <w:i/>
                                      <w:kern w:val="2"/>
                                      <w:lang w:eastAsia="zh-C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Calibri"/>
                                    </w:rPr>
                                    <m:t>Am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Calibri"/>
                                    </w:rPr>
                                    <m:t>o</m:t>
                                  </m:r>
                                </m:sub>
                              </m:sSub>
                            </m:e>
                          </m:acc>
                          <m:r>
                            <w:rPr>
                              <w:rFonts w:ascii="Cambria Math" w:hAnsi="Cambria Math" w:cs="Calibri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hAnsi="Cambria Math" w:cs="Calibri"/>
                            </w:rPr>
                            <m:t>2</m:t>
                          </m:r>
                        </m:sup>
                      </m:sSup>
                    </m:e>
                  </m:nary>
                </m:den>
              </m:f>
            </m:den>
          </m:f>
        </m:oMath>
      </m:oMathPara>
    </w:p>
    <w:p w:rsidRPr="00915F48" w:rsidR="00F94EA2" w:rsidP="00F94EA2" w:rsidRDefault="00F94EA2" w14:paraId="15255F36" w14:textId="77777777">
      <w:pPr>
        <w:spacing w:before="120" w:after="120"/>
        <w:ind w:left="357"/>
        <w:jc w:val="both"/>
        <w:rPr>
          <w:rFonts w:ascii="Calibri" w:hAnsi="Calibri" w:cs="Calibri"/>
        </w:rPr>
      </w:pPr>
      <w:r w:rsidRPr="00915F48">
        <w:rPr>
          <w:rFonts w:ascii="Calibri" w:hAnsi="Calibri" w:cs="Calibri"/>
        </w:rPr>
        <w:t xml:space="preserve">where </w:t>
      </w:r>
      <m:oMath>
        <m:sSub>
          <m:sSubPr>
            <m:ctrlPr>
              <w:rPr>
                <w:rFonts w:ascii="Cambria Math" w:hAnsi="Cambria Math" w:cs="Calibri" w:eastAsiaTheme="minorEastAsia"/>
                <w:i/>
                <w:kern w:val="2"/>
                <w:lang w:eastAsia="zh-CN"/>
              </w:rPr>
            </m:ctrlPr>
          </m:sSubPr>
          <m:e>
            <m:r>
              <w:rPr>
                <w:rFonts w:ascii="Cambria Math" w:hAnsi="Cambria Math" w:cs="Calibri"/>
              </w:rPr>
              <m:t>Am</m:t>
            </m:r>
          </m:e>
          <m:sub>
            <m:r>
              <w:rPr>
                <w:rFonts w:ascii="Cambria Math" w:hAnsi="Cambria Math" w:cs="Calibri"/>
              </w:rPr>
              <m:t>o</m:t>
            </m:r>
          </m:sub>
        </m:sSub>
        <m:r>
          <w:rPr>
            <w:rFonts w:ascii="Cambria Math" w:hAnsi="Cambria Math" w:cs="Calibri"/>
          </w:rPr>
          <m:t xml:space="preserve"> </m:t>
        </m:r>
      </m:oMath>
      <w:r w:rsidRPr="00915F48">
        <w:rPr>
          <w:rFonts w:ascii="Calibri" w:hAnsi="Calibri" w:cs="Calibri"/>
        </w:rPr>
        <w:t xml:space="preserve">are the observed midway allocations, </w:t>
      </w:r>
      <m:oMath>
        <m:acc>
          <m:accPr>
            <m:chr m:val="̅"/>
            <m:ctrlPr>
              <w:rPr>
                <w:rFonts w:ascii="Cambria Math" w:hAnsi="Cambria Math" w:cs="Calibri" w:eastAsiaTheme="minorEastAsia"/>
                <w:i/>
                <w:kern w:val="2"/>
                <w:lang w:eastAsia="zh-CN"/>
              </w:rPr>
            </m:ctrlPr>
          </m:accPr>
          <m:e>
            <m:sSub>
              <m:sSubPr>
                <m:ctrlPr>
                  <w:rPr>
                    <w:rFonts w:ascii="Cambria Math" w:hAnsi="Cambria Math" w:cs="Calibri" w:eastAsiaTheme="minorEastAsia"/>
                    <w:i/>
                    <w:kern w:val="2"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Calibri"/>
                  </w:rPr>
                  <m:t>Am</m:t>
                </m:r>
              </m:e>
              <m:sub>
                <m:r>
                  <w:rPr>
                    <w:rFonts w:ascii="Cambria Math" w:hAnsi="Cambria Math" w:cs="Calibri"/>
                  </w:rPr>
                  <m:t>o</m:t>
                </m:r>
              </m:sub>
            </m:sSub>
          </m:e>
        </m:acc>
      </m:oMath>
      <w:r w:rsidRPr="00915F48">
        <w:rPr>
          <w:rFonts w:ascii="Calibri" w:hAnsi="Calibri" w:cs="Calibri"/>
        </w:rPr>
        <w:t xml:space="preserve"> is the average of the observed midway allocations, and </w:t>
      </w:r>
      <m:oMath>
        <m:sSub>
          <m:sSubPr>
            <m:ctrlPr>
              <w:rPr>
                <w:rFonts w:ascii="Cambria Math" w:hAnsi="Cambria Math" w:cs="Calibri" w:eastAsiaTheme="minorEastAsia"/>
                <w:i/>
                <w:kern w:val="2"/>
                <w:lang w:eastAsia="zh-CN"/>
              </w:rPr>
            </m:ctrlPr>
          </m:sSubPr>
          <m:e>
            <m:r>
              <w:rPr>
                <w:rFonts w:ascii="Cambria Math" w:hAnsi="Cambria Math" w:cs="Calibri"/>
              </w:rPr>
              <m:t>Am</m:t>
            </m:r>
          </m:e>
          <m:sub>
            <m:r>
              <w:rPr>
                <w:rFonts w:ascii="Cambria Math" w:hAnsi="Cambria Math" w:cs="Calibri"/>
              </w:rPr>
              <m:t>m</m:t>
            </m:r>
          </m:sub>
        </m:sSub>
        <m:r>
          <w:rPr>
            <w:rFonts w:ascii="Cambria Math" w:hAnsi="Cambria Math" w:cs="Calibri"/>
          </w:rPr>
          <m:t xml:space="preserve"> </m:t>
        </m:r>
      </m:oMath>
      <w:r w:rsidRPr="00915F48">
        <w:rPr>
          <w:rFonts w:ascii="Calibri" w:hAnsi="Calibri" w:cs="Calibri"/>
        </w:rPr>
        <w:t>are the modelled midway allocations.</w:t>
      </w:r>
    </w:p>
    <w:p w:rsidRPr="00915F48" w:rsidR="00F94EA2" w:rsidP="00F94EA2" w:rsidRDefault="00F94EA2" w14:paraId="55C263AC" w14:textId="77777777">
      <w:pPr>
        <w:pStyle w:val="ListParagraph"/>
        <w:widowControl w:val="0"/>
        <w:numPr>
          <w:ilvl w:val="0"/>
          <w:numId w:val="1"/>
        </w:numPr>
        <w:spacing w:before="120" w:after="120" w:line="240" w:lineRule="auto"/>
        <w:jc w:val="both"/>
      </w:pPr>
      <w:r w:rsidRPr="00915F48">
        <w:t>The objective function is defined as</w:t>
      </w:r>
    </w:p>
    <w:p w:rsidRPr="00915F48" w:rsidR="00F94EA2" w:rsidP="00F94EA2" w:rsidRDefault="00F94EA2" w14:paraId="1D769B26" w14:textId="77777777">
      <w:pPr>
        <w:ind w:left="360"/>
        <w:jc w:val="both"/>
        <w:rPr>
          <w:rFonts w:ascii="Calibri" w:hAnsi="Calibri" w:cs="Calibri"/>
        </w:rPr>
      </w:pPr>
      <m:oMathPara>
        <m:oMath>
          <m:r>
            <w:rPr>
              <w:rFonts w:ascii="Cambria Math" w:hAnsi="Cambria Math" w:cs="Calibri"/>
            </w:rPr>
            <m:t xml:space="preserve">Obj= </m:t>
          </m:r>
          <m:sSub>
            <m:sSubPr>
              <m:ctrlPr>
                <w:rPr>
                  <w:rFonts w:ascii="Cambria Math" w:hAnsi="Cambria Math" w:cs="Calibri"/>
                  <w:i/>
                </w:rPr>
              </m:ctrlPr>
            </m:sSubPr>
            <m:e>
              <m:r>
                <w:rPr>
                  <w:rFonts w:ascii="Cambria Math" w:hAnsi="Cambria Math" w:cs="Calibri"/>
                </w:rPr>
                <m:t>w</m:t>
              </m:r>
            </m:e>
            <m:sub>
              <m:r>
                <w:rPr>
                  <w:rFonts w:ascii="Cambria Math" w:hAnsi="Cambria Math" w:cs="Calibri"/>
                </w:rPr>
                <m:t>e</m:t>
              </m:r>
            </m:sub>
          </m:sSub>
          <m:r>
            <w:rPr>
              <w:rFonts w:ascii="Cambria Math" w:hAnsi="Cambria Math" w:cs="Calibri"/>
            </w:rPr>
            <m:t>×SI+</m:t>
          </m:r>
          <m:sSub>
            <m:sSubPr>
              <m:ctrlPr>
                <w:rPr>
                  <w:rFonts w:ascii="Cambria Math" w:hAnsi="Cambria Math" w:cs="Calibri"/>
                  <w:i/>
                </w:rPr>
              </m:ctrlPr>
            </m:sSubPr>
            <m:e>
              <m:r>
                <w:rPr>
                  <w:rFonts w:ascii="Cambria Math" w:hAnsi="Cambria Math" w:cs="Calibri"/>
                </w:rPr>
                <m:t>w</m:t>
              </m:r>
            </m:e>
            <m:sub>
              <m:r>
                <w:rPr>
                  <w:rFonts w:ascii="Cambria Math" w:hAnsi="Cambria Math" w:cs="Calibri"/>
                </w:rPr>
                <m:t>m</m:t>
              </m:r>
            </m:sub>
          </m:sSub>
          <m:r>
            <w:rPr>
              <w:rFonts w:ascii="Cambria Math" w:hAnsi="Cambria Math" w:cs="Calibri"/>
            </w:rPr>
            <m:t>×NNSE</m:t>
          </m:r>
        </m:oMath>
      </m:oMathPara>
    </w:p>
    <w:p w:rsidR="002E370E" w:rsidRDefault="002E370E" w14:paraId="7B40E7F0" w14:textId="77777777"/>
    <w:sectPr w:rsidR="002E370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B2698B"/>
    <w:multiLevelType w:val="hybridMultilevel"/>
    <w:tmpl w:val="5BDA57A6"/>
    <w:lvl w:ilvl="0" w:tplc="A5DC77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5829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EA2"/>
    <w:rsid w:val="0007717D"/>
    <w:rsid w:val="002E370E"/>
    <w:rsid w:val="003762A6"/>
    <w:rsid w:val="00442F99"/>
    <w:rsid w:val="006F650B"/>
    <w:rsid w:val="00707D4D"/>
    <w:rsid w:val="007E54BF"/>
    <w:rsid w:val="009422AA"/>
    <w:rsid w:val="00BA6C23"/>
    <w:rsid w:val="00CF6E31"/>
    <w:rsid w:val="00F61D55"/>
    <w:rsid w:val="00F94EA2"/>
    <w:rsid w:val="00FC1598"/>
    <w:rsid w:val="07A3B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DC26C"/>
  <w15:chartTrackingRefBased/>
  <w15:docId w15:val="{242BCBCD-FC4B-4BB6-A6A0-0A979361A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94EA2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4EA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EA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E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E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E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E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E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E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E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94EA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F94EA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94EA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94EA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94EA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94EA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94EA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94EA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94E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4EA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94EA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E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F94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4EA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F94E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4E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4E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EA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94E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4E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94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4.emf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3.emf" Id="rId7" /><Relationship Type="http://schemas.openxmlformats.org/officeDocument/2006/relationships/image" Target="media/image8.emf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emf" Id="rId6" /><Relationship Type="http://schemas.openxmlformats.org/officeDocument/2006/relationships/image" Target="media/image7.emf" Id="rId11" /><Relationship Type="http://schemas.openxmlformats.org/officeDocument/2006/relationships/image" Target="media/image1.emf" Id="rId5" /><Relationship Type="http://schemas.openxmlformats.org/officeDocument/2006/relationships/image" Target="media/image6.emf" Id="rId10" /><Relationship Type="http://schemas.openxmlformats.org/officeDocument/2006/relationships/webSettings" Target="webSettings.xml" Id="rId4" /><Relationship Type="http://schemas.openxmlformats.org/officeDocument/2006/relationships/image" Target="media/image5.emf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The University of Melbourne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Avril Horne</dc:creator>
  <keywords/>
  <dc:description/>
  <lastModifiedBy>Andrew John</lastModifiedBy>
  <revision>12</revision>
  <dcterms:created xsi:type="dcterms:W3CDTF">2025-02-03T03:55:00.0000000Z</dcterms:created>
  <dcterms:modified xsi:type="dcterms:W3CDTF">2025-02-10T01:49:28.7213314Z</dcterms:modified>
</coreProperties>
</file>