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1C69E" w14:textId="4C4604D9" w:rsidR="00095C99" w:rsidRPr="006B1BA4" w:rsidRDefault="00095C99" w:rsidP="00095C99">
      <w:pPr>
        <w:pStyle w:val="Title"/>
        <w:rPr>
          <w:sz w:val="72"/>
          <w:szCs w:val="72"/>
        </w:rPr>
      </w:pPr>
      <w:r w:rsidRPr="006B1BA4">
        <w:rPr>
          <w:sz w:val="72"/>
          <w:szCs w:val="72"/>
        </w:rPr>
        <w:t>Supplementary data</w:t>
      </w:r>
    </w:p>
    <w:p w14:paraId="3534DAC4" w14:textId="77777777" w:rsidR="00095C99" w:rsidRPr="00095C99" w:rsidRDefault="00095C99" w:rsidP="00095C99"/>
    <w:p w14:paraId="4FD1CF66" w14:textId="62182BE1" w:rsidR="00095C99" w:rsidRPr="006B1BA4" w:rsidRDefault="00C92C94" w:rsidP="00095C99">
      <w:pPr>
        <w:pStyle w:val="Title"/>
        <w:rPr>
          <w:sz w:val="40"/>
          <w:szCs w:val="40"/>
        </w:rPr>
      </w:pPr>
      <w:r w:rsidRPr="006B1BA4">
        <w:rPr>
          <w:sz w:val="40"/>
          <w:szCs w:val="40"/>
        </w:rPr>
        <w:t>“</w:t>
      </w:r>
      <w:r w:rsidR="00095C99" w:rsidRPr="006B1BA4">
        <w:rPr>
          <w:sz w:val="40"/>
          <w:szCs w:val="40"/>
        </w:rPr>
        <w:t>Maternal pre-pregnancy BMI influences breast milk composition, infant gut microbiome development, and early-life growth of term infants</w:t>
      </w:r>
      <w:r w:rsidRPr="006B1BA4">
        <w:rPr>
          <w:sz w:val="40"/>
          <w:szCs w:val="40"/>
        </w:rPr>
        <w:t>”</w:t>
      </w:r>
    </w:p>
    <w:p w14:paraId="22D787AA" w14:textId="4B596BCB" w:rsidR="00A36D63" w:rsidRPr="00095C99" w:rsidRDefault="00095C99" w:rsidP="00095C99">
      <w:pPr>
        <w:pStyle w:val="Subtitle"/>
        <w:jc w:val="left"/>
        <w:rPr>
          <w:sz w:val="20"/>
          <w:szCs w:val="20"/>
          <w:vertAlign w:val="superscript"/>
          <w:lang w:val="da-DK"/>
        </w:rPr>
      </w:pPr>
      <w:r w:rsidRPr="00095C99">
        <w:rPr>
          <w:sz w:val="20"/>
          <w:szCs w:val="20"/>
          <w:lang w:val="da-DK"/>
        </w:rPr>
        <w:t>Rasmus Riemer Jakobsen, Julie Astono, Frederick Børger Beck, Trine Kirk Jacobsen, Katrine O. Poulsen, Rikke A. Larsen, Emma V. Jessen</w:t>
      </w:r>
      <w:r w:rsidRPr="00095C99">
        <w:rPr>
          <w:rFonts w:cs="Times"/>
          <w:sz w:val="20"/>
          <w:szCs w:val="20"/>
          <w:lang w:val="da-DK"/>
        </w:rPr>
        <w:t>,</w:t>
      </w:r>
      <w:r w:rsidRPr="00095C99">
        <w:rPr>
          <w:sz w:val="20"/>
          <w:szCs w:val="20"/>
          <w:lang w:val="da-DK"/>
        </w:rPr>
        <w:t xml:space="preserve"> Chatrine B. Sand, Niels Uldbjerg, Jens Fuglsang, Ulrik K. Sundekilde, Dennis Sandris Nielsen</w:t>
      </w:r>
    </w:p>
    <w:p w14:paraId="65C6FDCA" w14:textId="77777777" w:rsidR="006B1BA4" w:rsidRDefault="006B1BA4" w:rsidP="00BF01C8">
      <w:pPr>
        <w:rPr>
          <w:b/>
        </w:rPr>
      </w:pPr>
    </w:p>
    <w:p w14:paraId="466E1637" w14:textId="1C14D1F2" w:rsidR="00BF01C8" w:rsidRPr="00BF01C8" w:rsidRDefault="00A36D63" w:rsidP="00BF01C8">
      <w:r>
        <w:rPr>
          <w:b/>
        </w:rPr>
        <w:t>Table S1. Anthropometrics and clinical data overview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459"/>
        <w:gridCol w:w="551"/>
        <w:gridCol w:w="1109"/>
        <w:gridCol w:w="551"/>
        <w:gridCol w:w="1264"/>
        <w:gridCol w:w="551"/>
        <w:gridCol w:w="1178"/>
        <w:gridCol w:w="651"/>
        <w:gridCol w:w="1191"/>
        <w:gridCol w:w="1213"/>
      </w:tblGrid>
      <w:tr w:rsidR="00206E13" w:rsidRPr="00F5573C" w14:paraId="126280D4" w14:textId="77777777" w:rsidTr="00EF33E9">
        <w:trPr>
          <w:trHeight w:val="300"/>
        </w:trPr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AD7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857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A50B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832D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2FCD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B317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5FFF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8AC9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2409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41CD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Test</w:t>
            </w:r>
          </w:p>
        </w:tc>
      </w:tr>
      <w:tr w:rsidR="00B52E18" w:rsidRPr="00F5573C" w14:paraId="28A50659" w14:textId="77777777" w:rsidTr="00EF33E9">
        <w:trPr>
          <w:trHeight w:val="30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50501" w14:textId="6841468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Days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DD5D9" w14:textId="77777777" w:rsidR="00F5573C" w:rsidRPr="00F5573C" w:rsidRDefault="00F5573C" w:rsidP="00F55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1C18C" w14:textId="77777777" w:rsidR="00F5573C" w:rsidRPr="00F5573C" w:rsidRDefault="00F5573C" w:rsidP="00F55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AD7ED" w14:textId="77777777" w:rsidR="00F5573C" w:rsidRPr="00F5573C" w:rsidRDefault="00F5573C" w:rsidP="00F55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A5E31" w14:textId="77777777" w:rsidR="00F5573C" w:rsidRPr="00F5573C" w:rsidRDefault="00F5573C" w:rsidP="00F55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C2F0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573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206E13" w:rsidRPr="00F5573C" w14:paraId="15B46D6C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4B6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BMI (cm²/kg)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800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5BC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27</w:t>
            </w:r>
            <w:r w:rsidRPr="00F5573C">
              <w:rPr>
                <w:rFonts w:ascii="Aptos Narrow" w:eastAsia="Times New Roman" w:hAnsi="Aptos Narrow" w:cs="Calibri"/>
                <w:color w:val="000000"/>
              </w:rPr>
              <w:t>±</w:t>
            </w:r>
            <w:r w:rsidRPr="00F5573C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87B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F1B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27±5.2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EAA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05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27±5.3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AA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601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27±5.3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394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F=0.239</w:t>
            </w:r>
          </w:p>
        </w:tc>
      </w:tr>
      <w:tr w:rsidR="00206E13" w:rsidRPr="00F5573C" w14:paraId="544E2602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96E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Maternal age (years)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7D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331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31±4.1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FC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EB3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31±4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3A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34D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31±4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845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AA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31±4.1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3FA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F=0.124</w:t>
            </w:r>
          </w:p>
        </w:tc>
      </w:tr>
      <w:tr w:rsidR="00206E13" w:rsidRPr="00F5573C" w14:paraId="54DAA031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F3B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Gestational diabetes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A8C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8B3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D4A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3D4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418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B4F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FD9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6B3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22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χ²=0.374</w:t>
            </w:r>
          </w:p>
        </w:tc>
      </w:tr>
      <w:tr w:rsidR="00206E13" w:rsidRPr="00F5573C" w14:paraId="6AD00106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5DB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9D6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530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647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641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EDA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840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CA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D98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2CF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7D055EB0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3D8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Yes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A27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6B3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169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713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A34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5D9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52C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6C1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BF7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3B23D9E5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83E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Siblings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8B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EA4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FE1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613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948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200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C6D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400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23C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χ²=0.614</w:t>
            </w:r>
          </w:p>
        </w:tc>
      </w:tr>
      <w:tr w:rsidR="00206E13" w:rsidRPr="00F5573C" w14:paraId="67364522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F40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194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4CA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5B5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F23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0B6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705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44%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925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E9C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4C8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629BC930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19B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Yes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798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BC6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59%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09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DAD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701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806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56%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487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9F0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A60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788BE39B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247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Birth mode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82A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043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4B8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77E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789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38B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08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60B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4B3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χ²=2.209</w:t>
            </w:r>
          </w:p>
        </w:tc>
      </w:tr>
      <w:tr w:rsidR="00206E13" w:rsidRPr="00F5573C" w14:paraId="5B800989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B4F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C-section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FA6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8A9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E6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F2D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5C5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980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FCC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76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78C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13ABAB59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C32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Vaginal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AF1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21B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9E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9FA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6DD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607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BE3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ABF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DA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69E3D43C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315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Infant sex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02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91F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76C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D0C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8C0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A5F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D28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BBD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EF3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χ²=0.401</w:t>
            </w:r>
          </w:p>
        </w:tc>
      </w:tr>
      <w:tr w:rsidR="00206E13" w:rsidRPr="00F5573C" w14:paraId="3B098F78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ECC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Female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04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0FD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9C3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DB4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D87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CE9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53%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0E0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678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53%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945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01819D1A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BB7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Male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D25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500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8A8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795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212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C7B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47%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6B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EF5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47%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98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1FC8C33E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B10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Gestational age (Days)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524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848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282±7.9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DA6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AE2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283±7.7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69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EEF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283±7.2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B8E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E4A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283±7.5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4D2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F=0.214</w:t>
            </w:r>
          </w:p>
        </w:tc>
      </w:tr>
      <w:tr w:rsidR="00206E13" w:rsidRPr="00F5573C" w14:paraId="6F0F7505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D9B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Birth weight (kg)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4A8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D91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3.7±0.48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013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9DD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3.7±0.45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D5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F65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3.7±0.46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77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06D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3.7±0.46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548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F=0.081</w:t>
            </w:r>
          </w:p>
        </w:tc>
      </w:tr>
      <w:tr w:rsidR="00206E13" w:rsidRPr="00F5573C" w14:paraId="5EF3F08E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2BD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Secretor status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B31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3BB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BF5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515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DC1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60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E4B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78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D55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χ²=0.62</w:t>
            </w:r>
          </w:p>
        </w:tc>
      </w:tr>
      <w:tr w:rsidR="00206E13" w:rsidRPr="00F5573C" w14:paraId="24C909DF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520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Non-secretor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933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439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7C5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5EA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7A3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6D1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F7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DA7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A4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70D1EDC0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6CB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Secretor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142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D39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5DF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4D2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013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A27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FF3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373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3F0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1073052F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CDA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Lewis status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063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1B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D78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9A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38F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69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037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6F9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477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χ²=0.847</w:t>
            </w:r>
          </w:p>
        </w:tc>
      </w:tr>
      <w:tr w:rsidR="00206E13" w:rsidRPr="00F5573C" w14:paraId="60F02703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9FF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Lewis negative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99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F1A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CDC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799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A30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FED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652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99D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10A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2E52B379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8A3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Lewis positive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179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5A3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B48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F3B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93C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431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A45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CAF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31E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674EAF68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F2E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lastRenderedPageBreak/>
              <w:t>Antibiotics mother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B93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AA3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E9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510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F3B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D6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288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397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E763" w14:textId="64FA7D3B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χ²=81.1***</w:t>
            </w:r>
          </w:p>
        </w:tc>
      </w:tr>
      <w:tr w:rsidR="00206E13" w:rsidRPr="00F5573C" w14:paraId="6ABE26BD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1F1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AE4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2D2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8DD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FBA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C06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6E9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4BE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A7B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F5E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34F0603E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0FD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Yes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0D5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E3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69E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156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39B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D4A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D3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FAA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8B9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04BBF736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FC3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Antibiotics infant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E38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8CC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D35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966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CE4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347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9B6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230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7E2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χ²=2.829</w:t>
            </w:r>
          </w:p>
        </w:tc>
      </w:tr>
      <w:tr w:rsidR="00206E13" w:rsidRPr="00F5573C" w14:paraId="009BAF9E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74B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366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971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B0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42B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6E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93C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578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14D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EE5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39374742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E75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Yes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9FA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5FA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391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270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258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C56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6D0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E43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01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1AE6EBE7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749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Breast infection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6E8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977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98F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F2B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89C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AF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845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CA7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925E" w14:textId="797A5421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χ²=25.1***</w:t>
            </w:r>
          </w:p>
        </w:tc>
      </w:tr>
      <w:tr w:rsidR="00206E13" w:rsidRPr="00F5573C" w14:paraId="04FE3446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C8E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DA1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F6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07E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DD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E4E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49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B28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73D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D7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468E2707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1FB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Yes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C75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CF4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30%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15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DD3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525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A92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C15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ED3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4E6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6C6A1270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0E4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Breastfeeding issues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DF0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38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938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3E7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6EE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E16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D59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317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5941" w14:textId="292A47F1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χ²=16.3**</w:t>
            </w:r>
          </w:p>
        </w:tc>
      </w:tr>
      <w:tr w:rsidR="00206E13" w:rsidRPr="00F5573C" w14:paraId="29C96943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4E6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4E5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45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97C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8CF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2B0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E3E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48F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3E7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1B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3B9FC8BB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052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No breastfeeding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D95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DA32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6AFB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0F9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5E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01A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15E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06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662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1C57ABA6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757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   Yes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282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682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E0B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5F1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EA8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B3A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1F4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917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271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6E13" w:rsidRPr="00F5573C" w14:paraId="0058368C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B06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 xml:space="preserve">Δ BMI (cm²/kg) 3 months 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787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576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-0.47±1.2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F30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D02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-0.57±1.2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FB2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F8D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-0.61±1.3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F24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3AAD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-0.61±1.2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D13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F=0.327</w:t>
            </w:r>
          </w:p>
        </w:tc>
      </w:tr>
      <w:tr w:rsidR="00206E13" w:rsidRPr="00F5573C" w14:paraId="385F9A72" w14:textId="77777777" w:rsidTr="00EF33E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1F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Δ HAZ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A2C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3D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0.28±3.5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947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8CF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0.28±3.3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DE7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4E2E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0.34±3.2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F11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941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0.39±3.1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224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F=0.033</w:t>
            </w:r>
          </w:p>
        </w:tc>
      </w:tr>
      <w:tr w:rsidR="00206E13" w:rsidRPr="00F5573C" w14:paraId="66AC8467" w14:textId="77777777" w:rsidTr="00095C99">
        <w:trPr>
          <w:trHeight w:val="300"/>
        </w:trPr>
        <w:tc>
          <w:tcPr>
            <w:tcW w:w="1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E34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Δ WAZ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FE8C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90F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-0.9±0.92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FDF5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12BA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-0.99±0.96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348A7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1BC3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-0.95±0.93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0F3A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82D8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-0.96±0.93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87A6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F=0.159</w:t>
            </w:r>
          </w:p>
        </w:tc>
      </w:tr>
      <w:tr w:rsidR="00206E13" w:rsidRPr="00F5573C" w14:paraId="468F9A23" w14:textId="77777777" w:rsidTr="00095C99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04C3F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Δ WHZ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9C4C9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F19D4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0.72±1.6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EA67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4216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0.7±1.6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16866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EC295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0.66±1.6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BAA71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68280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0.62±1.5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92CFC" w14:textId="77777777" w:rsidR="00F5573C" w:rsidRPr="00F5573C" w:rsidRDefault="00F5573C" w:rsidP="00F5573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573C">
              <w:rPr>
                <w:rFonts w:ascii="Calibri" w:eastAsia="Times New Roman" w:hAnsi="Calibri" w:cs="Calibri"/>
                <w:color w:val="000000"/>
              </w:rPr>
              <w:t>F=0.113</w:t>
            </w:r>
          </w:p>
        </w:tc>
      </w:tr>
    </w:tbl>
    <w:p w14:paraId="71DF6E57" w14:textId="77777777" w:rsidR="00E2110D" w:rsidRDefault="00E2110D" w:rsidP="00F1269B">
      <w:pPr>
        <w:rPr>
          <w:b/>
        </w:rPr>
      </w:pPr>
    </w:p>
    <w:p w14:paraId="128E748A" w14:textId="29CDAAAD" w:rsidR="006B3AD7" w:rsidRDefault="006B3AD7" w:rsidP="006B3AD7">
      <w:pPr>
        <w:rPr>
          <w:i/>
          <w:iCs/>
        </w:rPr>
      </w:pPr>
      <w:r w:rsidRPr="00E41BAB">
        <w:rPr>
          <w:i/>
          <w:iCs/>
        </w:rPr>
        <w:t>Continuous data presented as means ± standard deviation.</w:t>
      </w:r>
      <w:r>
        <w:rPr>
          <w:i/>
          <w:iCs/>
        </w:rPr>
        <w:t xml:space="preserve"> </w:t>
      </w:r>
      <w:r w:rsidRPr="00E41BAB">
        <w:rPr>
          <w:i/>
          <w:iCs/>
        </w:rPr>
        <w:t>Categorical data are presented as numbers included in each category. BMI: body mass index, C-section:</w:t>
      </w:r>
      <w:r>
        <w:rPr>
          <w:i/>
          <w:iCs/>
        </w:rPr>
        <w:t xml:space="preserve"> </w:t>
      </w:r>
      <w:r w:rsidR="005A7BC9" w:rsidRPr="00E41BAB">
        <w:rPr>
          <w:i/>
          <w:iCs/>
        </w:rPr>
        <w:t>Caesarean</w:t>
      </w:r>
      <w:r w:rsidRPr="00E41BAB">
        <w:rPr>
          <w:i/>
          <w:iCs/>
        </w:rPr>
        <w:t xml:space="preserve"> section, GA, </w:t>
      </w:r>
      <w:r>
        <w:rPr>
          <w:i/>
          <w:iCs/>
        </w:rPr>
        <w:t>n</w:t>
      </w:r>
      <w:r w:rsidRPr="00E41BAB">
        <w:rPr>
          <w:i/>
          <w:iCs/>
        </w:rPr>
        <w:t>: number.</w:t>
      </w:r>
    </w:p>
    <w:p w14:paraId="6E92671F" w14:textId="77777777" w:rsidR="00A36D63" w:rsidRDefault="00A36D63" w:rsidP="006B3AD7">
      <w:pPr>
        <w:rPr>
          <w:b/>
        </w:rPr>
      </w:pPr>
    </w:p>
    <w:p w14:paraId="06237528" w14:textId="0B2A3DD2" w:rsidR="005A7BC9" w:rsidRDefault="00A36D63" w:rsidP="006B3AD7">
      <w:pPr>
        <w:rPr>
          <w:i/>
          <w:iCs/>
        </w:rPr>
      </w:pPr>
      <w:r>
        <w:rPr>
          <w:b/>
        </w:rPr>
        <w:t xml:space="preserve">Table S2. </w:t>
      </w:r>
      <w:r w:rsidRPr="00A36D63">
        <w:rPr>
          <w:b/>
          <w:bCs/>
        </w:rPr>
        <w:t>Milk metabolites concentrations</w:t>
      </w:r>
    </w:p>
    <w:tbl>
      <w:tblPr>
        <w:tblW w:w="9594" w:type="dxa"/>
        <w:tblLook w:val="04A0" w:firstRow="1" w:lastRow="0" w:firstColumn="1" w:lastColumn="0" w:noHBand="0" w:noVBand="1"/>
      </w:tblPr>
      <w:tblGrid>
        <w:gridCol w:w="1985"/>
        <w:gridCol w:w="1735"/>
        <w:gridCol w:w="1532"/>
        <w:gridCol w:w="1431"/>
        <w:gridCol w:w="1431"/>
        <w:gridCol w:w="1480"/>
      </w:tblGrid>
      <w:tr w:rsidR="005A7BC9" w:rsidRPr="00E65E59" w14:paraId="0442956D" w14:textId="77777777" w:rsidTr="00804CE2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B371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3A7CE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6BB0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EBAB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1E9D2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3E9F1" w14:textId="77777777" w:rsidR="005A7BC9" w:rsidRPr="00E65E59" w:rsidRDefault="005A7BC9" w:rsidP="0080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7BC9" w:rsidRPr="00E65E59" w14:paraId="36445BF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6B2608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Amino acids and derivatives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9EB38E" w14:textId="77777777" w:rsidR="005A7BC9" w:rsidRPr="00E65E59" w:rsidRDefault="005A7BC9" w:rsidP="0080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5B46B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B3FB1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B4BF2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16298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239621CF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DB7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Glutamate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0C3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1.1±0.69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C69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1.5±0.43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3BF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1.7±0.45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33B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1.8±0.39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F9A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F=57.3***</w:t>
            </w:r>
          </w:p>
        </w:tc>
      </w:tr>
      <w:tr w:rsidR="005A7BC9" w:rsidRPr="00E65E59" w14:paraId="677FDA2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C73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Urea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214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1.3±0.67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B52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1.7±0.72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3F6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1.5±0.66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184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1.6±0.78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A5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F=5.1***</w:t>
            </w:r>
          </w:p>
        </w:tc>
      </w:tr>
      <w:tr w:rsidR="005A7BC9" w:rsidRPr="00E65E59" w14:paraId="10AC083F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F17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Glutamine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5B2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0.12±0.16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80C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0.49±0.26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42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0.75±0.35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B0C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0.82±0.4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8E0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F=146.9***</w:t>
            </w:r>
          </w:p>
        </w:tc>
      </w:tr>
      <w:tr w:rsidR="005A7BC9" w:rsidRPr="00E65E59" w14:paraId="5C8FA0A2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15B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Taurine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6D4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0.5±0.2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9F3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0.31±0.11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4AC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0.32±0.16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FAC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0.33±0.14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5E6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F=45.1***</w:t>
            </w:r>
          </w:p>
        </w:tc>
      </w:tr>
      <w:tr w:rsidR="005A7BC9" w:rsidRPr="00E65E59" w14:paraId="178D5075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539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Alanine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F76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0.2±0.13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14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0.26±0.077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BA2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0.27±0.079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573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0.29±0.079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14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F=22.9***</w:t>
            </w:r>
          </w:p>
        </w:tc>
      </w:tr>
      <w:tr w:rsidR="005A7BC9" w:rsidRPr="00E65E59" w14:paraId="2FF9D3C4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38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Threonine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00C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0.093±0.064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4AE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0.099±0.036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42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0.11±0.037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0BA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0.12±0.038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D9B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F=8.59***</w:t>
            </w:r>
          </w:p>
        </w:tc>
      </w:tr>
      <w:tr w:rsidR="005A7BC9" w:rsidRPr="00E65E59" w14:paraId="3F6B8371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5F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Aspartate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4A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0.088±0.08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A28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0.062±0.033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2D4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0.085±0.047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E04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0.095±0.059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7FD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F=9.7***</w:t>
            </w:r>
          </w:p>
        </w:tc>
      </w:tr>
      <w:tr w:rsidR="005A7BC9" w:rsidRPr="00E65E59" w14:paraId="07417CBD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4C1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Valine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A1A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0.047±0.084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F7C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0.058±0.017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58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0.063±0.018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A6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0.067±0.033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2BC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F=4.7***</w:t>
            </w:r>
          </w:p>
        </w:tc>
      </w:tr>
      <w:tr w:rsidR="005A7BC9" w:rsidRPr="00E65E59" w14:paraId="3CA4D7A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136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Carnitine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83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0.055±0.022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A99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0.059±0.017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219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0.054±0.017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96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0.049±0.02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350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F=6.6***</w:t>
            </w:r>
          </w:p>
        </w:tc>
      </w:tr>
      <w:tr w:rsidR="005A7BC9" w:rsidRPr="00E65E59" w14:paraId="347CF044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35E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Betaine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72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0.074±0.03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8C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0.049±0.013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C31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0.047±0.019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4E4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0.045±0.026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DC7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F=49.1***</w:t>
            </w:r>
          </w:p>
        </w:tc>
      </w:tr>
      <w:tr w:rsidR="005A7BC9" w:rsidRPr="00E65E59" w14:paraId="67A2799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202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Leucine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E5B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0.046±0.18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898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0.031±0.013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B0F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0.035±0.012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E54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0.043±0.04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3CA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F=0.8</w:t>
            </w:r>
          </w:p>
        </w:tc>
      </w:tr>
      <w:tr w:rsidR="005A7BC9" w:rsidRPr="00E65E59" w14:paraId="74CAAD0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DA9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Methionine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B8C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0.046±0.021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EB9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0.03±0.015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8B6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0.027±0.014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A09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0.027±0.015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084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F=39.1***</w:t>
            </w:r>
          </w:p>
        </w:tc>
      </w:tr>
      <w:tr w:rsidR="005A7BC9" w:rsidRPr="00E65E59" w14:paraId="634120B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2E4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τ-Methylhistidine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24F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0.027±0.022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38D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0.031±0.012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9EA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0.033±0.013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25C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0.034±0.024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936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F=3.7**</w:t>
            </w:r>
          </w:p>
        </w:tc>
      </w:tr>
      <w:tr w:rsidR="005A7BC9" w:rsidRPr="00E65E59" w14:paraId="428BE666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38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O-Acetylcarnitine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889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0.042±0.018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7D3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0.018±0.008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77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0.019±0.019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E4A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0.018±0.021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868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F=63.5***</w:t>
            </w:r>
          </w:p>
        </w:tc>
      </w:tr>
      <w:tr w:rsidR="005A7BC9" w:rsidRPr="00E65E59" w14:paraId="0E911580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AC7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lastRenderedPageBreak/>
              <w:t>Lysine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7A7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0.044±0.065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1A2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0.013±0.012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C1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0.013±0.0067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39E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0.018±0.023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798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F=24.9***</w:t>
            </w:r>
          </w:p>
        </w:tc>
      </w:tr>
      <w:tr w:rsidR="005A7BC9" w:rsidRPr="00E65E59" w14:paraId="7CD580C3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8C4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Tyrosine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F27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0.021±0.044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3FC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0.016±0.0073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35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0.016±0.007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F85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0.019±0.018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E2B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F=1.58</w:t>
            </w:r>
          </w:p>
        </w:tc>
      </w:tr>
      <w:tr w:rsidR="005A7BC9" w:rsidRPr="00E65E59" w14:paraId="791420BD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A37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Phenylalanine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D1F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0.017±0.023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B4D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0.016±0.0066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A04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0.017±0.0057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D39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0.018±0.012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EA8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F=0.94</w:t>
            </w:r>
          </w:p>
        </w:tc>
      </w:tr>
      <w:tr w:rsidR="005A7BC9" w:rsidRPr="00E65E59" w14:paraId="05FB1A76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F69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2-Aminobutyrate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939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0.012±0.034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3C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0.014±0.0079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B5F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0.017±0.0073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E0C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0.018±0.008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004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F=3.45**</w:t>
            </w:r>
          </w:p>
        </w:tc>
      </w:tr>
      <w:tr w:rsidR="005A7BC9" w:rsidRPr="00E65E59" w14:paraId="19B691F5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D2D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Isoleucine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883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0.018±0.053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F82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0.01±0.0047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DD5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0.012±0.0056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1F0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0.015±0.02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5A3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F=2.06</w:t>
            </w:r>
          </w:p>
        </w:tc>
      </w:tr>
      <w:tr w:rsidR="005A7BC9" w:rsidRPr="00E65E59" w14:paraId="34417956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158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2-Hydroxybutyrate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EB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0.01±0.011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0A4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0.006±0.0025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A3C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0.0064±0.0029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F77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0.011±0.04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841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F=1.96</w:t>
            </w:r>
          </w:p>
        </w:tc>
      </w:tr>
      <w:tr w:rsidR="005A7BC9" w:rsidRPr="00E65E59" w14:paraId="03AC2598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D8A711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Energy related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8E144F" w14:textId="77777777" w:rsidR="005A7BC9" w:rsidRPr="00E65E59" w:rsidRDefault="005A7BC9" w:rsidP="0080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AE127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06103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A8799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DD33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64C646E2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F86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Citrate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875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5.2±1.6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570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4±0.95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288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3.4±0.79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5DB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3.1±0.8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4EE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F=100.86***</w:t>
            </w:r>
          </w:p>
        </w:tc>
      </w:tr>
      <w:tr w:rsidR="005A7BC9" w:rsidRPr="00E65E59" w14:paraId="24860EBC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45F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Lactate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C90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0.4±0.62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E36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0.11±0.22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07E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0.12±0.2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7A0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0.19±0.89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A2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F=7.263***</w:t>
            </w:r>
          </w:p>
        </w:tc>
      </w:tr>
      <w:tr w:rsidR="005A7BC9" w:rsidRPr="00E65E59" w14:paraId="54212DC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75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Creatine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44A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0.097±0.038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025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0.061±0.019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134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0.065±0.024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84A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0.069±0.043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FB6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F=32.427***</w:t>
            </w:r>
          </w:p>
        </w:tc>
      </w:tr>
      <w:tr w:rsidR="005A7BC9" w:rsidRPr="00E65E59" w14:paraId="5B869BA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E3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Nicotinamide ribotide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8B5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0.013±0.032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B5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0.087±0.029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DF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0.076±0.026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B8D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0.068±0.035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20F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F=150.556***</w:t>
            </w:r>
          </w:p>
        </w:tc>
      </w:tr>
      <w:tr w:rsidR="005A7BC9" w:rsidRPr="00E65E59" w14:paraId="5132D51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1A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Creatinine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22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0.056±0.013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C1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0.062±0.017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175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0.059±0.016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724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0.058±0.045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D9E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F=1.086</w:t>
            </w:r>
          </w:p>
        </w:tc>
      </w:tr>
      <w:tr w:rsidR="005A7BC9" w:rsidRPr="00E65E59" w14:paraId="0A0B9921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EA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2-Oxoglutarate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77C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0.064±0.03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F79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0.04±0.012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EC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0.049±0.017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1B0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0.056±0.028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708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F=29.355***</w:t>
            </w:r>
          </w:p>
        </w:tc>
      </w:tr>
      <w:tr w:rsidR="005A7BC9" w:rsidRPr="00E65E59" w14:paraId="3FF641DB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2F5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Creatine phosphate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4C0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0.032±0.015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17A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0.039±0.017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B9A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0.032±0.017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3C0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0.026±0.016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76E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F=17.146***</w:t>
            </w:r>
          </w:p>
        </w:tc>
      </w:tr>
      <w:tr w:rsidR="005A7BC9" w:rsidRPr="00E65E59" w14:paraId="277B64F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4DA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Formate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79A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0.011±0.0067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74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0.0072±0.0046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3C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0.0073±0.0061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57C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0.075±0.58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EF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F=1.855</w:t>
            </w:r>
          </w:p>
        </w:tc>
      </w:tr>
      <w:tr w:rsidR="005A7BC9" w:rsidRPr="00E65E59" w14:paraId="0487303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2A2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Acetone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EC8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0.015±0.012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4F5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0.015±0.012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3F6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0.014±0.0083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3B5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0.018±0.017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316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F=2.248*</w:t>
            </w:r>
          </w:p>
        </w:tc>
      </w:tr>
      <w:tr w:rsidR="005A7BC9" w:rsidRPr="00E65E59" w14:paraId="24393476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6CF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Pyruvate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434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0.023±0.019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25E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0.0082±0.0046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CA1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0.011±0.017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810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0.015±0.064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59E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F=4.558***</w:t>
            </w:r>
          </w:p>
        </w:tc>
      </w:tr>
      <w:tr w:rsidR="005A7BC9" w:rsidRPr="00E65E59" w14:paraId="1987B4F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4D2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Succinate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03D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0.0099±0.004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640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0.0073±0.0046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DC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0.0075±0.0035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B31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0.021±0.12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7CF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F=1.681</w:t>
            </w:r>
          </w:p>
        </w:tc>
      </w:tr>
      <w:tr w:rsidR="005A7BC9" w:rsidRPr="00E65E59" w14:paraId="3FC6D4C5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728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cis-Aconitate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B4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0.013±0.0059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ED1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0.0095±0.0044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280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0.01±0.0063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B09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0.0091±0.0098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5ED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F=9.42***</w:t>
            </w:r>
          </w:p>
        </w:tc>
      </w:tr>
      <w:tr w:rsidR="005A7BC9" w:rsidRPr="00E65E59" w14:paraId="2A9F3A50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61E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Fumarate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E10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0.0074±0.0032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1BB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0.0031±0.0017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89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0.0031±0.002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7B3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0.0032±0.0021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22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F=113.807***</w:t>
            </w:r>
          </w:p>
        </w:tc>
      </w:tr>
      <w:tr w:rsidR="005A7BC9" w:rsidRPr="00E65E59" w14:paraId="7B20DA73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8CEA7A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Fatty acids and derivatives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0C14DF" w14:textId="77777777" w:rsidR="005A7BC9" w:rsidRPr="00E65E59" w:rsidRDefault="005A7BC9" w:rsidP="0080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89A4F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89D48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ACEC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CB87A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212D65A5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F7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O-Phosphocholine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55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0.77±0.35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5BA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0.75±0.15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77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0.56±0.17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394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0.47±0.2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0BB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F=61.017***</w:t>
            </w:r>
          </w:p>
        </w:tc>
      </w:tr>
      <w:tr w:rsidR="005A7BC9" w:rsidRPr="00E65E59" w14:paraId="4A956B3C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3AD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sn-Glycero-3-phosphocholine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2F8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0.23±0.25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327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0.56±0.19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288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0.46±0.16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09E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0.48±0.19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BF9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F=68.474***</w:t>
            </w:r>
          </w:p>
        </w:tc>
      </w:tr>
      <w:tr w:rsidR="005A7BC9" w:rsidRPr="00E65E59" w14:paraId="246275F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B30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Citicoline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631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0.25±0.19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6F1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0.17±0.086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1B0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0.26±0.11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9D1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0.28±0.12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40C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F=19.259***</w:t>
            </w:r>
          </w:p>
        </w:tc>
      </w:tr>
      <w:tr w:rsidR="005A7BC9" w:rsidRPr="00E65E59" w14:paraId="7FA81EA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1F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Choline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BFF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0.15±0.092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588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0.1±0.048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0FA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0.14±0.078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40E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0.18±0.1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6DE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F=21.967***</w:t>
            </w:r>
          </w:p>
        </w:tc>
      </w:tr>
      <w:tr w:rsidR="005A7BC9" w:rsidRPr="00E65E59" w14:paraId="662A0B0C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35F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Caprylate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7A8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0.048±0.063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C03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0.11±0.11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239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0.1±0.12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3BF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0.13±0.16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3FB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F=9.964***</w:t>
            </w:r>
          </w:p>
        </w:tc>
      </w:tr>
      <w:tr w:rsidR="005A7BC9" w:rsidRPr="00E65E59" w14:paraId="1CBF6918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B4C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Ethanolamine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4C4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0.089±0.041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F25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0.098±0.025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378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0.096±0.035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82D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0.091±0.046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562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F=1.379</w:t>
            </w:r>
          </w:p>
        </w:tc>
      </w:tr>
      <w:tr w:rsidR="005A7BC9" w:rsidRPr="00E65E59" w14:paraId="4E41C68B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7D6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Caprate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7C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0.045±0.053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C36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0.063±0.055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727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0.071±0.076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618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0.078±0.099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625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F=5.018***</w:t>
            </w:r>
          </w:p>
        </w:tc>
      </w:tr>
      <w:tr w:rsidR="005A7BC9" w:rsidRPr="00E65E59" w14:paraId="0CA2CC7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ABC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Butyrate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864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0.024±0.031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FFE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0.049±0.057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030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0.062±0.081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D8E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0.094±0.14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AF5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F=14.86***</w:t>
            </w:r>
          </w:p>
        </w:tc>
      </w:tr>
      <w:tr w:rsidR="005A7BC9" w:rsidRPr="00E65E59" w14:paraId="1B1C868F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B09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Acetate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90D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0.024±0.02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449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0.014±0.024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B6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0.012±0.0098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5D2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0.11±0.74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EAB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F=2.384*</w:t>
            </w:r>
          </w:p>
        </w:tc>
      </w:tr>
      <w:tr w:rsidR="005A7BC9" w:rsidRPr="00E65E59" w14:paraId="2B4F9EFD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62D1E6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Food derived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1B3600" w14:textId="77777777" w:rsidR="005A7BC9" w:rsidRPr="00E65E59" w:rsidRDefault="005A7BC9" w:rsidP="0080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F388D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D5C76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5044D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6EA8D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33088572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1ED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Pantothenate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CF4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0.031±0.034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B09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0.025±0.008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EC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0.022±0.0087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09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0.021±0.01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736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F=9.118***</w:t>
            </w:r>
          </w:p>
        </w:tc>
      </w:tr>
      <w:tr w:rsidR="005A7BC9" w:rsidRPr="00E65E59" w14:paraId="4D62548E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3B6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Hippurate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F7B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0.022±0.018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1A0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0.014±0.011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E7B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0.014±0.0094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3BC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0.013±0.01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304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F=16.759***</w:t>
            </w:r>
          </w:p>
        </w:tc>
      </w:tr>
      <w:tr w:rsidR="005A7BC9" w:rsidRPr="00E65E59" w14:paraId="774C87AA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99B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Caffeine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AC7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0.011±0.0089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618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0.0097±0.0079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BF1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0.011±0.0099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FA2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0.012±0.011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19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F=1.149</w:t>
            </w:r>
          </w:p>
        </w:tc>
      </w:tr>
      <w:tr w:rsidR="005A7BC9" w:rsidRPr="00E65E59" w14:paraId="01117449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FD6C3C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Microbially derived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2E0DCB" w14:textId="77777777" w:rsidR="005A7BC9" w:rsidRPr="00E65E59" w:rsidRDefault="005A7BC9" w:rsidP="0080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D3EFF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AA0B6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8385F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74CF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7B7E37FE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B6F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Acetoin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D0A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0.000025±0.00028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FD6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0.00011±0.0014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79A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0±0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46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0.0065±0.059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E9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F=1.698</w:t>
            </w:r>
          </w:p>
        </w:tc>
      </w:tr>
      <w:tr w:rsidR="00464045" w:rsidRPr="00E65E59" w14:paraId="09170D78" w14:textId="77777777" w:rsidTr="004640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370D20" w14:textId="77777777" w:rsidR="005A7BC9" w:rsidRPr="00E65E59" w:rsidRDefault="005A7BC9" w:rsidP="00804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Oligosaccharides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FF5639" w14:textId="77777777" w:rsidR="005A7BC9" w:rsidRPr="00E65E59" w:rsidRDefault="005A7BC9" w:rsidP="0080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9B9B2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9B135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41959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15C44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4089C32D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60E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Unk. HMO 5.11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8A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4.4±2.1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D78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3.1±1.2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407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3.5±1.3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BFF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3.4±1.2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6EA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F=19.303***</w:t>
            </w:r>
          </w:p>
        </w:tc>
      </w:tr>
      <w:tr w:rsidR="005A7BC9" w:rsidRPr="00E65E59" w14:paraId="73E5A2CF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6C4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LNT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3B2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4.8±2.2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27D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3.3±1.4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BD4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2.7±1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BDF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2.3±1.1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3B3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F=73.981***</w:t>
            </w:r>
          </w:p>
        </w:tc>
      </w:tr>
      <w:tr w:rsidR="005A7BC9" w:rsidRPr="00E65E59" w14:paraId="05CC3A6E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E18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2-Fucosyllactose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C08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3.8±3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748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2.5±1.8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402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2.2±1.6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016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1.9±1.4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73F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F=24.371***</w:t>
            </w:r>
          </w:p>
        </w:tc>
      </w:tr>
      <w:tr w:rsidR="005A7BC9" w:rsidRPr="00E65E59" w14:paraId="40E4B19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441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3-Fucosyllactose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D2D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1.4±1.3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17F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2.2±1.7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F9E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2.9±2.2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3D0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3.4±2.1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EF6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F=29.361***</w:t>
            </w:r>
          </w:p>
        </w:tc>
      </w:tr>
      <w:tr w:rsidR="005A7BC9" w:rsidRPr="00E65E59" w14:paraId="21681891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BFE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Unk. HMO 5.10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D6C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4.7±2.9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BD0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1.5±1.1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9CF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1.4±1.4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76A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1.1±1.2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5E8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F=124.956***</w:t>
            </w:r>
          </w:p>
        </w:tc>
      </w:tr>
      <w:tr w:rsidR="005A7BC9" w:rsidRPr="00E65E59" w14:paraId="1A9D612B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3D0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Unk. HMO 5.09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306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2.2±1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752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2.6±0.85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003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1.7±0.63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D1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1.2±0.57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A19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F=87.764***</w:t>
            </w:r>
          </w:p>
        </w:tc>
      </w:tr>
      <w:tr w:rsidR="005A7BC9" w:rsidRPr="00E65E59" w14:paraId="1551627F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5D2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Unk. HMO 5.076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734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1.9±0.25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BAB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1.8±0.2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00B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1.6±0.2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EDC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1.6±0.2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E25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F=70.534***</w:t>
            </w:r>
          </w:p>
        </w:tc>
      </w:tr>
      <w:tr w:rsidR="005A7BC9" w:rsidRPr="00E65E59" w14:paraId="0DE01827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5B8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lastRenderedPageBreak/>
              <w:t>Unk. HMO 5.359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4F7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1.5±0.3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5B9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1.5±0.35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2F8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1.5±0.35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3EE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1.4±0.35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792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F=0.219</w:t>
            </w:r>
          </w:p>
        </w:tc>
      </w:tr>
      <w:tr w:rsidR="005A7BC9" w:rsidRPr="00E65E59" w14:paraId="19E118DD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461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LNDFH I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BE5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1±0.89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20D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0.82±0.62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CCA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0.67±0.53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6E5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0.56±0.45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347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F=13.909***</w:t>
            </w:r>
          </w:p>
        </w:tc>
      </w:tr>
      <w:tr w:rsidR="005A7BC9" w:rsidRPr="00E65E59" w14:paraId="5536C50A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9E2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Unk. HMO 5.29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AC5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1±0.89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306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0.59±0.45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3B4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0.51±0.4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E40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0.45±0.37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697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F=26.42***</w:t>
            </w:r>
          </w:p>
        </w:tc>
      </w:tr>
      <w:tr w:rsidR="005A7BC9" w:rsidRPr="00E65E59" w14:paraId="53B87996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E84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LDFT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996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0.54±0.83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FC0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0.39±0.39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21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0.44±0.54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04C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0.45±0.35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4EB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F=1.755</w:t>
            </w:r>
          </w:p>
        </w:tc>
      </w:tr>
      <w:tr w:rsidR="005A7BC9" w:rsidRPr="00E65E59" w14:paraId="19062FA2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0A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LNnT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28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0.81±0.35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E64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0.39±0.19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BAB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0.33±0.21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C94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0.32±0.19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F38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F=126.006***</w:t>
            </w:r>
          </w:p>
        </w:tc>
      </w:tr>
      <w:tr w:rsidR="005A7BC9" w:rsidRPr="00E65E59" w14:paraId="47DB34C8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116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Unk. HMO 1.70 Sialylated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5A3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1.2±0.52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5DE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0.37±0.22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093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0.18±0.17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6A3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0.12±0.087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18B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F=410.951***</w:t>
            </w:r>
          </w:p>
        </w:tc>
      </w:tr>
      <w:tr w:rsidR="005A7BC9" w:rsidRPr="00E65E59" w14:paraId="605CAD8E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C76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LNDFH II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9A9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0.47±0.5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14E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0.41±0.42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1E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0.42±0.53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86C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0.43±0.5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3D6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F=0.36</w:t>
            </w:r>
          </w:p>
        </w:tc>
      </w:tr>
      <w:tr w:rsidR="005A7BC9" w:rsidRPr="00E65E59" w14:paraId="7E5D573C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FF7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LNFP I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909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0.6±0.49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5C2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0.24±0.25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455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0.16±0.18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FA6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0.12±0.15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AA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F=78.155***</w:t>
            </w:r>
          </w:p>
        </w:tc>
      </w:tr>
      <w:tr w:rsidR="005A7BC9" w:rsidRPr="00E65E59" w14:paraId="05CA44E1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9D3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6SL partial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F8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0.5±0.14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B7A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0.3±0.1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2DD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0.15±0.071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A49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0.096±0.052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142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F=495.839***</w:t>
            </w:r>
          </w:p>
        </w:tc>
      </w:tr>
      <w:tr w:rsidR="005A7BC9" w:rsidRPr="00E65E59" w14:paraId="222133CA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2E3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DSLNT partial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38C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0.3±0.11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643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0.2±0.07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784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0.14±0.078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D4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0.12±0.11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EE1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F=107.907***</w:t>
            </w:r>
          </w:p>
        </w:tc>
      </w:tr>
      <w:tr w:rsidR="005A7BC9" w:rsidRPr="00E65E59" w14:paraId="6505482B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85C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3SL partial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0261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0.17±0.077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0A0D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0.11±0.032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3AC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0.11±0.039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155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0.1±0.035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D99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F=58.405***</w:t>
            </w:r>
          </w:p>
        </w:tc>
      </w:tr>
      <w:tr w:rsidR="005A7BC9" w:rsidRPr="00E65E59" w14:paraId="173ECE3D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AE982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Pharmaceuticals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10C82B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DC00F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1D304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D146F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9D512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2B9156A1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ACE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Acetaminophen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592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0.016±0.026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15F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0.0035±0.015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5C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0.0014±0.011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4A7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0.0004±0.0023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B30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F=27.501***</w:t>
            </w:r>
          </w:p>
        </w:tc>
      </w:tr>
      <w:tr w:rsidR="005A7BC9" w:rsidRPr="00E65E59" w14:paraId="46D62B75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B51E8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5E59">
              <w:rPr>
                <w:rFonts w:ascii="Calibri" w:eastAsia="Times New Roman" w:hAnsi="Calibri" w:cs="Calibri"/>
                <w:b/>
                <w:bCs/>
                <w:color w:val="000000"/>
              </w:rPr>
              <w:t>Sugars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61ECA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C1807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69467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C228B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A0BF4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BC9" w:rsidRPr="00E65E59" w14:paraId="41D348A2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F13C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Lactose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5A72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203±7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A47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214±6.3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A6B9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218±6.9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EF3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220±7.2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A29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F=170.502***</w:t>
            </w:r>
          </w:p>
        </w:tc>
      </w:tr>
      <w:tr w:rsidR="005A7BC9" w:rsidRPr="00E65E59" w14:paraId="13B6CDB3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74E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myo-Inositol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9DF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2.9±0.52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563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3.2±0.49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400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3.2±0.5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B09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3.3±0.46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9A9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F=21.243***</w:t>
            </w:r>
          </w:p>
        </w:tc>
      </w:tr>
      <w:tr w:rsidR="005A7BC9" w:rsidRPr="00E65E59" w14:paraId="3D97A72F" w14:textId="77777777" w:rsidTr="00804CE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0CC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Glucose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92A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1.3±0.65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9CC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1.7±0.54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750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1.8±0.6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B654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1.8±0.59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7DD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F=23.744***</w:t>
            </w:r>
          </w:p>
        </w:tc>
      </w:tr>
      <w:tr w:rsidR="005A7BC9" w:rsidRPr="00E65E59" w14:paraId="74949821" w14:textId="77777777" w:rsidTr="00095C99">
        <w:trPr>
          <w:trHeight w:val="30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816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Galactose</w:t>
            </w:r>
          </w:p>
        </w:tc>
        <w:tc>
          <w:tcPr>
            <w:tcW w:w="1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2EC5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0.66±0.11</w:t>
            </w:r>
          </w:p>
        </w:tc>
        <w:tc>
          <w:tcPr>
            <w:tcW w:w="15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0ECF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0.66±0.099</w:t>
            </w: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13D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0.68±0.11</w:t>
            </w: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BD27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0.67±0.09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54CA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F=1.046</w:t>
            </w:r>
          </w:p>
        </w:tc>
      </w:tr>
      <w:tr w:rsidR="005A7BC9" w:rsidRPr="00E65E59" w14:paraId="31BCB547" w14:textId="77777777" w:rsidTr="00095C99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D268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Fucose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B91F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0.44±0.43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B5573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0.21±0.14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9D066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0.24±0.18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CDF08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0.29±0.23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4E0B0" w14:textId="77777777" w:rsidR="005A7BC9" w:rsidRPr="00E65E59" w:rsidRDefault="005A7BC9" w:rsidP="00804CE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E65E59">
              <w:rPr>
                <w:rFonts w:ascii="Calibri" w:eastAsia="Times New Roman" w:hAnsi="Calibri" w:cs="Calibri"/>
                <w:color w:val="000000"/>
              </w:rPr>
              <w:t>F=20.422***</w:t>
            </w:r>
          </w:p>
        </w:tc>
      </w:tr>
    </w:tbl>
    <w:p w14:paraId="2F8329A7" w14:textId="77777777" w:rsidR="005A7BC9" w:rsidRDefault="005A7BC9" w:rsidP="005A7BC9"/>
    <w:p w14:paraId="42CAE467" w14:textId="506295DE" w:rsidR="00A36D63" w:rsidRDefault="005A7BC9" w:rsidP="002E09E7">
      <w:pPr>
        <w:rPr>
          <w:i/>
          <w:iCs/>
        </w:rPr>
      </w:pPr>
      <w:r w:rsidRPr="00D3793C">
        <w:rPr>
          <w:i/>
          <w:iCs/>
        </w:rPr>
        <w:t xml:space="preserve">Milk metabolites concentrations (mmol/ml), ordered by mean values ± standard deviation. Abbreviations: FL; fucosyllactose, HMOs; human milk oligosaccharides, LDFT; lactodifucotetraose, LNDFH; lacto-N-difucohexaose, LNT; lacto-N-tetraose, SD; standard deviation, SL; </w:t>
      </w:r>
      <w:r>
        <w:rPr>
          <w:i/>
          <w:iCs/>
        </w:rPr>
        <w:t>Sialyllactose</w:t>
      </w:r>
    </w:p>
    <w:p w14:paraId="711C4D92" w14:textId="77777777" w:rsidR="00A36D63" w:rsidRDefault="00A36D63">
      <w:pPr>
        <w:rPr>
          <w:i/>
          <w:iCs/>
        </w:rPr>
      </w:pPr>
      <w:r>
        <w:rPr>
          <w:i/>
          <w:iCs/>
        </w:rPr>
        <w:br w:type="page"/>
      </w:r>
    </w:p>
    <w:p w14:paraId="612E82F3" w14:textId="77777777" w:rsidR="005A7BC9" w:rsidRDefault="005A7BC9" w:rsidP="002E09E7">
      <w:pPr>
        <w:rPr>
          <w:i/>
          <w:iCs/>
        </w:rPr>
      </w:pPr>
    </w:p>
    <w:p w14:paraId="06D9A4FB" w14:textId="77777777" w:rsidR="00A36D63" w:rsidRDefault="00A36D63" w:rsidP="002E09E7">
      <w:pPr>
        <w:rPr>
          <w:i/>
          <w:iCs/>
        </w:rPr>
      </w:pPr>
    </w:p>
    <w:p w14:paraId="4943C83E" w14:textId="4D8E6F73" w:rsidR="002E09E7" w:rsidRDefault="00930465" w:rsidP="002E09E7">
      <w:r>
        <w:rPr>
          <w:noProof/>
          <w:lang w:val="en-US"/>
        </w:rPr>
        <w:drawing>
          <wp:inline distT="0" distB="0" distL="0" distR="0" wp14:anchorId="1B7C29F0" wp14:editId="0024D788">
            <wp:extent cx="5731510" cy="5731510"/>
            <wp:effectExtent l="0" t="0" r="2540" b="2540"/>
            <wp:docPr id="4693666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66615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2708C" w14:textId="5EBC22DE" w:rsidR="00E65E59" w:rsidRDefault="00810707" w:rsidP="002E09E7">
      <w:pPr>
        <w:rPr>
          <w:i/>
        </w:rPr>
      </w:pPr>
      <w:r>
        <w:rPr>
          <w:b/>
        </w:rPr>
        <w:t>Figure S1</w:t>
      </w:r>
      <w:r w:rsidR="00677B5A">
        <w:rPr>
          <w:b/>
        </w:rPr>
        <w:t xml:space="preserve">. Bacterial persistence and variability. </w:t>
      </w:r>
      <w:r w:rsidR="006A64B1" w:rsidRPr="00CC5A2D">
        <w:rPr>
          <w:i/>
        </w:rPr>
        <w:t>(A,</w:t>
      </w:r>
      <w:r w:rsidR="001D3951">
        <w:rPr>
          <w:i/>
        </w:rPr>
        <w:t xml:space="preserve"> </w:t>
      </w:r>
      <w:r w:rsidR="00CC5A2D" w:rsidRPr="00CC5A2D">
        <w:rPr>
          <w:i/>
        </w:rPr>
        <w:t>B</w:t>
      </w:r>
      <w:r w:rsidR="006A64B1" w:rsidRPr="00CC5A2D">
        <w:rPr>
          <w:i/>
        </w:rPr>
        <w:t>)</w:t>
      </w:r>
      <w:r w:rsidR="006A64B1" w:rsidRPr="00CC5A2D">
        <w:rPr>
          <w:b/>
          <w:i/>
        </w:rPr>
        <w:t xml:space="preserve"> </w:t>
      </w:r>
      <w:r w:rsidR="00677B5A" w:rsidRPr="00CC5A2D">
        <w:rPr>
          <w:i/>
        </w:rPr>
        <w:t xml:space="preserve">Upset plots of milk infant faecal bacteria showing counts of shared ASVs between each combination of time points. </w:t>
      </w:r>
      <w:r w:rsidR="00CC5A2D" w:rsidRPr="00CC5A2D">
        <w:rPr>
          <w:i/>
        </w:rPr>
        <w:t>(C</w:t>
      </w:r>
      <w:r w:rsidR="006A64B1" w:rsidRPr="00CC5A2D">
        <w:rPr>
          <w:i/>
        </w:rPr>
        <w:t>,</w:t>
      </w:r>
      <w:r w:rsidR="001D3951">
        <w:rPr>
          <w:i/>
        </w:rPr>
        <w:t xml:space="preserve"> </w:t>
      </w:r>
      <w:r w:rsidR="006A64B1" w:rsidRPr="00CC5A2D">
        <w:rPr>
          <w:i/>
        </w:rPr>
        <w:t xml:space="preserve">D) </w:t>
      </w:r>
      <w:r w:rsidR="000C5EEA" w:rsidRPr="00CC5A2D">
        <w:rPr>
          <w:i/>
        </w:rPr>
        <w:t>P</w:t>
      </w:r>
      <w:r w:rsidR="00677B5A" w:rsidRPr="00CC5A2D">
        <w:rPr>
          <w:i/>
        </w:rPr>
        <w:t>ersistence plots</w:t>
      </w:r>
      <w:r w:rsidR="000C5EEA" w:rsidRPr="00CC5A2D">
        <w:rPr>
          <w:i/>
        </w:rPr>
        <w:t xml:space="preserve"> for milk and infant faeces</w:t>
      </w:r>
      <w:r w:rsidR="00677B5A" w:rsidRPr="00CC5A2D">
        <w:rPr>
          <w:i/>
        </w:rPr>
        <w:t xml:space="preserve"> summarizing persistence </w:t>
      </w:r>
      <w:r w:rsidR="000C5EEA" w:rsidRPr="00CC5A2D">
        <w:rPr>
          <w:i/>
        </w:rPr>
        <w:t>of individual bacterial ASV</w:t>
      </w:r>
      <w:r w:rsidR="006A64B1" w:rsidRPr="00CC5A2D">
        <w:rPr>
          <w:i/>
        </w:rPr>
        <w:t>’</w:t>
      </w:r>
      <w:r w:rsidR="000C5EEA" w:rsidRPr="00CC5A2D">
        <w:rPr>
          <w:i/>
        </w:rPr>
        <w:t>s plotting average persistence between time points within individuals, showing the 7 most abundant genera</w:t>
      </w:r>
      <w:r w:rsidR="00625E09">
        <w:rPr>
          <w:i/>
        </w:rPr>
        <w:t xml:space="preserve"> arranged by mean pe</w:t>
      </w:r>
      <w:r w:rsidR="00625E09" w:rsidRPr="00CC5A2D">
        <w:rPr>
          <w:i/>
        </w:rPr>
        <w:t>rsistence</w:t>
      </w:r>
      <w:r w:rsidR="000C5EEA" w:rsidRPr="00CC5A2D">
        <w:rPr>
          <w:i/>
        </w:rPr>
        <w:t>; p-value denotes Wilcoxon test compared to the “Other”  category, FDR adjusted.</w:t>
      </w:r>
      <w:r w:rsidR="00CC5A2D" w:rsidRPr="00CC5A2D">
        <w:rPr>
          <w:i/>
        </w:rPr>
        <w:t xml:space="preserve"> (E,</w:t>
      </w:r>
      <w:r w:rsidR="001D3951">
        <w:rPr>
          <w:i/>
        </w:rPr>
        <w:t xml:space="preserve"> </w:t>
      </w:r>
      <w:r w:rsidR="00CC5A2D" w:rsidRPr="00CC5A2D">
        <w:rPr>
          <w:i/>
        </w:rPr>
        <w:t xml:space="preserve">F) </w:t>
      </w:r>
      <w:r w:rsidR="00EE1C00">
        <w:rPr>
          <w:i/>
        </w:rPr>
        <w:t>Relative abundance boxplots</w:t>
      </w:r>
      <w:r w:rsidR="00CC5A2D" w:rsidRPr="00CC5A2D">
        <w:rPr>
          <w:i/>
        </w:rPr>
        <w:t xml:space="preserve"> of the 15 mos</w:t>
      </w:r>
      <w:r w:rsidR="00EE1C00">
        <w:rPr>
          <w:i/>
        </w:rPr>
        <w:t>t abundant genera by time point,</w:t>
      </w:r>
      <w:r w:rsidR="00CC5A2D" w:rsidRPr="00CC5A2D">
        <w:rPr>
          <w:i/>
        </w:rPr>
        <w:t xml:space="preserve"> Wilcoxon rank-sum test and FDR corrected</w:t>
      </w:r>
      <w:r w:rsidR="00EE1C00">
        <w:rPr>
          <w:i/>
        </w:rPr>
        <w:t xml:space="preserve"> (G,</w:t>
      </w:r>
      <w:r w:rsidR="001D3951">
        <w:rPr>
          <w:i/>
        </w:rPr>
        <w:t xml:space="preserve"> </w:t>
      </w:r>
      <w:r w:rsidR="00EE1C00">
        <w:rPr>
          <w:i/>
        </w:rPr>
        <w:t>H) Milk and infant faecal Alfa diversity by time point, no significant differences detected by ANOVA.</w:t>
      </w:r>
    </w:p>
    <w:p w14:paraId="70B8C8A5" w14:textId="4EF97077" w:rsidR="004C6198" w:rsidRPr="00CC5A2D" w:rsidRDefault="00E65E59" w:rsidP="002E09E7">
      <w:pPr>
        <w:rPr>
          <w:i/>
        </w:rPr>
      </w:pPr>
      <w:r>
        <w:rPr>
          <w:i/>
        </w:rPr>
        <w:br w:type="page"/>
      </w:r>
    </w:p>
    <w:p w14:paraId="6C402A56" w14:textId="77777777" w:rsidR="00FB734E" w:rsidRDefault="00FB734E" w:rsidP="002E09E7"/>
    <w:p w14:paraId="5F406031" w14:textId="0BA2F128" w:rsidR="006F3659" w:rsidRDefault="006F3659" w:rsidP="002E09E7">
      <w:r w:rsidRPr="006F3659">
        <w:rPr>
          <w:noProof/>
          <w:lang w:val="en-US"/>
        </w:rPr>
        <w:drawing>
          <wp:inline distT="0" distB="0" distL="0" distR="0" wp14:anchorId="6397D62A" wp14:editId="315D3A8D">
            <wp:extent cx="5731510" cy="3439958"/>
            <wp:effectExtent l="0" t="0" r="2540" b="8255"/>
            <wp:docPr id="5" name="Picture 5" descr="C:\Users\nbf206\OneDrive - University of Copenhagen\Reasearch Assistant\MAINHEALTH\Data analysis\Complete_laca_analysis\Figures\Figure S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bf206\OneDrive - University of Copenhagen\Reasearch Assistant\MAINHEALTH\Data analysis\Complete_laca_analysis\Figures\Figure S2.tif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2DE6" w14:textId="47F37AB6" w:rsidR="006F3659" w:rsidRPr="002E09E7" w:rsidRDefault="006F3659" w:rsidP="002E09E7">
      <w:r>
        <w:rPr>
          <w:b/>
        </w:rPr>
        <w:t xml:space="preserve">Figure S2 Contribution of milk metabolites to principal component analysis. </w:t>
      </w:r>
      <w:r>
        <w:t xml:space="preserve">(A) Loadings plot showing coordinates of each </w:t>
      </w:r>
      <w:r w:rsidR="00F07B2E">
        <w:t>metabolites in principal component analysis (PCA), coloured by individual contribution to the princ</w:t>
      </w:r>
      <w:bookmarkStart w:id="0" w:name="_GoBack"/>
      <w:bookmarkEnd w:id="0"/>
      <w:r w:rsidR="00F07B2E">
        <w:t>ipal axes (</w:t>
      </w:r>
      <w:r>
        <w:t>BC</w:t>
      </w:r>
      <w:r w:rsidRPr="006F3659">
        <w:t>)</w:t>
      </w:r>
      <w:r>
        <w:t xml:space="preserve"> Variable contributions to principal axes 1 and 2</w:t>
      </w:r>
      <w:r w:rsidR="00F07B2E">
        <w:t>, respectively</w:t>
      </w:r>
      <w:r>
        <w:t>.</w:t>
      </w:r>
    </w:p>
    <w:sectPr w:rsidR="006F3659" w:rsidRPr="002E09E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7B140" w14:textId="77777777" w:rsidR="006B1BA4" w:rsidRDefault="006B1BA4" w:rsidP="006B1BA4">
      <w:pPr>
        <w:spacing w:after="0" w:line="240" w:lineRule="auto"/>
      </w:pPr>
      <w:r>
        <w:separator/>
      </w:r>
    </w:p>
  </w:endnote>
  <w:endnote w:type="continuationSeparator" w:id="0">
    <w:p w14:paraId="6B109504" w14:textId="77777777" w:rsidR="006B1BA4" w:rsidRDefault="006B1BA4" w:rsidP="006B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331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D12AB" w14:textId="6BEDFB2C" w:rsidR="006B1BA4" w:rsidRDefault="006B1B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F453C7" w14:textId="77777777" w:rsidR="006B1BA4" w:rsidRDefault="006B1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5A53" w14:textId="77777777" w:rsidR="006B1BA4" w:rsidRDefault="006B1BA4" w:rsidP="006B1BA4">
      <w:pPr>
        <w:spacing w:after="0" w:line="240" w:lineRule="auto"/>
      </w:pPr>
      <w:r>
        <w:separator/>
      </w:r>
    </w:p>
  </w:footnote>
  <w:footnote w:type="continuationSeparator" w:id="0">
    <w:p w14:paraId="72A2987B" w14:textId="77777777" w:rsidR="006B1BA4" w:rsidRDefault="006B1BA4" w:rsidP="006B1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a-DK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84"/>
    <w:rsid w:val="00030020"/>
    <w:rsid w:val="00095C99"/>
    <w:rsid w:val="000A5CE3"/>
    <w:rsid w:val="000B51D0"/>
    <w:rsid w:val="000C5EEA"/>
    <w:rsid w:val="000E3F97"/>
    <w:rsid w:val="00186550"/>
    <w:rsid w:val="001B1E81"/>
    <w:rsid w:val="001D3951"/>
    <w:rsid w:val="00206E13"/>
    <w:rsid w:val="00212C4B"/>
    <w:rsid w:val="002409AE"/>
    <w:rsid w:val="0027363A"/>
    <w:rsid w:val="002D2D5D"/>
    <w:rsid w:val="002E09E7"/>
    <w:rsid w:val="002F7F46"/>
    <w:rsid w:val="0030162D"/>
    <w:rsid w:val="00315555"/>
    <w:rsid w:val="003155B8"/>
    <w:rsid w:val="00320C9D"/>
    <w:rsid w:val="00320E3A"/>
    <w:rsid w:val="00321070"/>
    <w:rsid w:val="003213C9"/>
    <w:rsid w:val="0033347F"/>
    <w:rsid w:val="003659E4"/>
    <w:rsid w:val="003855A7"/>
    <w:rsid w:val="0038593E"/>
    <w:rsid w:val="0039019F"/>
    <w:rsid w:val="003A5F79"/>
    <w:rsid w:val="00423FB1"/>
    <w:rsid w:val="00464045"/>
    <w:rsid w:val="004A5E60"/>
    <w:rsid w:val="004C6198"/>
    <w:rsid w:val="00502388"/>
    <w:rsid w:val="005210BA"/>
    <w:rsid w:val="005709C8"/>
    <w:rsid w:val="00590DD0"/>
    <w:rsid w:val="005A7BC9"/>
    <w:rsid w:val="00604F4B"/>
    <w:rsid w:val="0061671E"/>
    <w:rsid w:val="00625E09"/>
    <w:rsid w:val="00654554"/>
    <w:rsid w:val="00662A54"/>
    <w:rsid w:val="00677B5A"/>
    <w:rsid w:val="00693AE1"/>
    <w:rsid w:val="006A64B1"/>
    <w:rsid w:val="006B1BA4"/>
    <w:rsid w:val="006B3AD7"/>
    <w:rsid w:val="006E530C"/>
    <w:rsid w:val="006F3659"/>
    <w:rsid w:val="00715DCF"/>
    <w:rsid w:val="00717F01"/>
    <w:rsid w:val="00720AF0"/>
    <w:rsid w:val="00736713"/>
    <w:rsid w:val="00747E90"/>
    <w:rsid w:val="00785F9B"/>
    <w:rsid w:val="00796D84"/>
    <w:rsid w:val="007970D0"/>
    <w:rsid w:val="007E5BE4"/>
    <w:rsid w:val="007F63C5"/>
    <w:rsid w:val="00804CE2"/>
    <w:rsid w:val="00810707"/>
    <w:rsid w:val="00812244"/>
    <w:rsid w:val="0088309E"/>
    <w:rsid w:val="00891B54"/>
    <w:rsid w:val="008C22EC"/>
    <w:rsid w:val="00903971"/>
    <w:rsid w:val="00922B61"/>
    <w:rsid w:val="00930465"/>
    <w:rsid w:val="009312BD"/>
    <w:rsid w:val="00967C14"/>
    <w:rsid w:val="009A1235"/>
    <w:rsid w:val="009D3880"/>
    <w:rsid w:val="009D505F"/>
    <w:rsid w:val="009E7CB7"/>
    <w:rsid w:val="009F174D"/>
    <w:rsid w:val="00A11BC0"/>
    <w:rsid w:val="00A36D63"/>
    <w:rsid w:val="00B26EC9"/>
    <w:rsid w:val="00B40ED4"/>
    <w:rsid w:val="00B52E18"/>
    <w:rsid w:val="00B741A1"/>
    <w:rsid w:val="00B94E01"/>
    <w:rsid w:val="00BA3049"/>
    <w:rsid w:val="00BA7987"/>
    <w:rsid w:val="00BF01C8"/>
    <w:rsid w:val="00C10D74"/>
    <w:rsid w:val="00C15DEC"/>
    <w:rsid w:val="00C30459"/>
    <w:rsid w:val="00C4539D"/>
    <w:rsid w:val="00C74717"/>
    <w:rsid w:val="00C75304"/>
    <w:rsid w:val="00C81175"/>
    <w:rsid w:val="00C92C94"/>
    <w:rsid w:val="00CB6381"/>
    <w:rsid w:val="00CC5A2D"/>
    <w:rsid w:val="00D04818"/>
    <w:rsid w:val="00D12C09"/>
    <w:rsid w:val="00D36E80"/>
    <w:rsid w:val="00D3793C"/>
    <w:rsid w:val="00D64616"/>
    <w:rsid w:val="00D66524"/>
    <w:rsid w:val="00D8590E"/>
    <w:rsid w:val="00DB754E"/>
    <w:rsid w:val="00DC25B0"/>
    <w:rsid w:val="00DF068F"/>
    <w:rsid w:val="00E0236E"/>
    <w:rsid w:val="00E2110D"/>
    <w:rsid w:val="00E23773"/>
    <w:rsid w:val="00E65E59"/>
    <w:rsid w:val="00EE1C00"/>
    <w:rsid w:val="00EF2416"/>
    <w:rsid w:val="00EF33E9"/>
    <w:rsid w:val="00F07B2E"/>
    <w:rsid w:val="00F1269B"/>
    <w:rsid w:val="00F22182"/>
    <w:rsid w:val="00F2489A"/>
    <w:rsid w:val="00F470C3"/>
    <w:rsid w:val="00F5573C"/>
    <w:rsid w:val="00F602A9"/>
    <w:rsid w:val="00F756BF"/>
    <w:rsid w:val="00F75FB3"/>
    <w:rsid w:val="00FB0A04"/>
    <w:rsid w:val="00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95B23"/>
  <w15:chartTrackingRefBased/>
  <w15:docId w15:val="{8E70E445-3B67-49E9-8930-A83E2B4B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4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F4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F4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F4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F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F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F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F4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F4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F4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F4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F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F4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F4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F4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F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F4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F4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F4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4F4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04F4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04F4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F4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4F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04F4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04F4B"/>
    <w:rPr>
      <w:i/>
      <w:iCs/>
      <w:color w:val="auto"/>
    </w:rPr>
  </w:style>
  <w:style w:type="paragraph" w:styleId="NoSpacing">
    <w:name w:val="No Spacing"/>
    <w:uiPriority w:val="1"/>
    <w:qFormat/>
    <w:rsid w:val="00604F4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4F4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4F4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F4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F4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04F4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04F4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04F4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4F4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04F4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4F4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213C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85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90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90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0E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095C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BA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1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BA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D0BE15-E2C2-4C13-877C-40403AF92CAA}">
  <we:reference id="wa104382081" version="1.55.1.0" store="en-GB" storeType="OMEX"/>
  <we:alternateReferences>
    <we:reference id="wa104382081" version="1.55.1.0" store="wa104382081" storeType="OMEX"/>
  </we:alternateReferences>
  <we:properties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638169BDD64FADB27FBEC5B420E6" ma:contentTypeVersion="18" ma:contentTypeDescription="Create a new document." ma:contentTypeScope="" ma:versionID="f017e6d9744812679a9c93175477f9f5">
  <xsd:schema xmlns:xsd="http://www.w3.org/2001/XMLSchema" xmlns:xs="http://www.w3.org/2001/XMLSchema" xmlns:p="http://schemas.microsoft.com/office/2006/metadata/properties" xmlns:ns3="369b1ee2-2928-4ab7-8ca6-e4ae03ec4f66" xmlns:ns4="4a8f8ff6-1a06-4720-b389-b26471e7d4d5" targetNamespace="http://schemas.microsoft.com/office/2006/metadata/properties" ma:root="true" ma:fieldsID="c9c9bad907cc26c20a38b1f046b852fa" ns3:_="" ns4:_="">
    <xsd:import namespace="369b1ee2-2928-4ab7-8ca6-e4ae03ec4f66"/>
    <xsd:import namespace="4a8f8ff6-1a06-4720-b389-b26471e7d4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b1ee2-2928-4ab7-8ca6-e4ae03ec4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8ff6-1a06-4720-b389-b26471e7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9b1ee2-2928-4ab7-8ca6-e4ae03ec4f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0C30D-FD21-428E-9B3F-D7BC13A7D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b1ee2-2928-4ab7-8ca6-e4ae03ec4f66"/>
    <ds:schemaRef ds:uri="4a8f8ff6-1a06-4720-b389-b26471e7d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7C6B0-E1B0-475F-907E-A60784AD6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EF98C-3757-4188-A605-D1E0A7C8859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a8f8ff6-1a06-4720-b389-b26471e7d4d5"/>
    <ds:schemaRef ds:uri="369b1ee2-2928-4ab7-8ca6-e4ae03ec4f6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6890B4-6C54-41E8-A933-AEEB61877A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1145</Words>
  <Characters>7598</Characters>
  <Application>Microsoft Office Word</Application>
  <DocSecurity>0</DocSecurity>
  <Lines>1085</Lines>
  <Paragraphs>874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Riemer Jakobsen</dc:creator>
  <cp:keywords/>
  <dc:description/>
  <cp:lastModifiedBy>Rasmus Riemer Jakobsen</cp:lastModifiedBy>
  <cp:revision>3</cp:revision>
  <cp:lastPrinted>2025-02-20T12:41:00Z</cp:lastPrinted>
  <dcterms:created xsi:type="dcterms:W3CDTF">2024-12-05T11:38:00Z</dcterms:created>
  <dcterms:modified xsi:type="dcterms:W3CDTF">2025-02-20T12:42:00Z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0x010100AAC6638169BDD64FADB27FBEC5B420E6</vt:lpwstr>
  </property>
  <property fmtid="{D5CDD505-2E9C-101B-9397-08002B2CF9AE}" pid="3" name="ContentRemapped">
    <vt:lpwstr>true</vt:lpwstr>
  </property>
  <property fmtid="{D5CDD505-2E9C-101B-9397-08002B2CF9AE}" pid="4" name="sdDocumentDate">
    <vt:lpwstr>45418</vt:lpwstr>
  </property>
  <property fmtid="{D5CDD505-2E9C-101B-9397-08002B2CF9AE}" pid="5" name="SD_IntegrationInfoAdded">
    <vt:bool>true</vt:bool>
  </property>
</Properties>
</file>