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rPr>
          <w:rFonts w:ascii="Times New Roman" w:cs="Times New Roman" w:hAnsi="Times New Roman" w:eastAsia="Times New Roman"/>
          <w:sz w:val="48"/>
          <w:szCs w:val="48"/>
          <w:u w:color="000000"/>
          <w:shd w:val="clear" w:color="auto" w:fill="ffffff"/>
        </w:rPr>
      </w:pPr>
      <w:r>
        <w:rPr>
          <w:rFonts w:ascii="Times New Roman" w:hAnsi="Times New Roman"/>
          <w:sz w:val="48"/>
          <w:szCs w:val="48"/>
          <w:u w:color="000000"/>
          <w:shd w:val="clear" w:color="auto" w:fill="ffffff"/>
          <w:rtl w:val="0"/>
        </w:rPr>
        <w:t xml:space="preserve"> Table. 1. </w:t>
      </w:r>
      <w:r>
        <w:rPr>
          <w:rFonts w:ascii="Times New Roman" w:hAnsi="Times New Roman"/>
          <w:sz w:val="48"/>
          <w:szCs w:val="48"/>
          <w:u w:color="000000"/>
          <w:shd w:val="clear" w:color="auto" w:fill="ffffff"/>
          <w:rtl w:val="0"/>
          <w:lang w:val="en-US"/>
        </w:rPr>
        <w:t>Questioner r</w:t>
      </w:r>
      <w:r>
        <w:rPr>
          <w:rFonts w:ascii="Times New Roman" w:hAnsi="Times New Roman"/>
          <w:sz w:val="48"/>
          <w:szCs w:val="48"/>
          <w:u w:color="000000"/>
          <w:shd w:val="clear" w:color="auto" w:fill="ffffff"/>
          <w:rtl w:val="0"/>
          <w:lang w:val="pt-PT"/>
        </w:rPr>
        <w:t>esult</w:t>
      </w:r>
      <w:r>
        <w:rPr>
          <w:rFonts w:ascii="Times New Roman" w:hAnsi="Times New Roman"/>
          <w:sz w:val="48"/>
          <w:szCs w:val="48"/>
          <w:u w:color="000000"/>
          <w:shd w:val="clear" w:color="auto" w:fill="ffffff"/>
          <w:rtl w:val="0"/>
          <w:lang w:val="en-US"/>
        </w:rPr>
        <w:t>s</w:t>
      </w:r>
      <w:r>
        <w:rPr>
          <w:rFonts w:ascii="Times New Roman" w:hAnsi="Times New Roman"/>
          <w:sz w:val="48"/>
          <w:szCs w:val="48"/>
          <w:u w:color="000000"/>
          <w:shd w:val="clear" w:color="auto" w:fill="ffffff"/>
          <w:rtl w:val="0"/>
          <w:lang w:val="en-US"/>
        </w:rPr>
        <w:t xml:space="preserve"> comparison</w:t>
      </w:r>
      <w:r>
        <w:rPr>
          <w:rFonts w:ascii="Times New Roman" w:hAnsi="Times New Roman"/>
          <w:sz w:val="48"/>
          <w:szCs w:val="48"/>
          <w:u w:color="000000"/>
          <w:shd w:val="clear" w:color="auto" w:fill="ffffff"/>
          <w:rtl w:val="0"/>
          <w:lang w:val="en-US"/>
        </w:rPr>
        <w:t>.</w:t>
      </w:r>
    </w:p>
    <w:p>
      <w:pPr>
        <w:pStyle w:val="Body"/>
        <w:bidi w:val="0"/>
      </w:pPr>
    </w:p>
    <w:p>
      <w:pPr>
        <w:pStyle w:val="Body"/>
        <w:numPr>
          <w:ilvl w:val="0"/>
          <w:numId w:val="2"/>
        </w:numPr>
        <w:bidi w:val="0"/>
      </w:pPr>
      <w:r>
        <w:rPr>
          <w:rtl w:val="0"/>
          <w:lang w:val="en-US"/>
        </w:rPr>
        <w:t>Years of seniority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en-US"/>
        </w:rPr>
        <w:t>2. Operat</w:t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784182</wp:posOffset>
            </wp:positionH>
            <wp:positionV relativeFrom="page">
              <wp:posOffset>1681740</wp:posOffset>
            </wp:positionV>
            <wp:extent cx="2587938" cy="2380270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4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3719986</wp:posOffset>
            </wp:positionH>
            <wp:positionV relativeFrom="page">
              <wp:posOffset>1662971</wp:posOffset>
            </wp:positionV>
            <wp:extent cx="3214688" cy="2397760"/>
            <wp:effectExtent l="0" t="0" r="0" b="0"/>
            <wp:wrapSquare wrapText="bothSides" distL="152400" distR="152400" distT="152400" distB="152400"/>
            <wp:docPr id="1073741826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5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688607</wp:posOffset>
            </wp:positionH>
            <wp:positionV relativeFrom="page">
              <wp:posOffset>4702399</wp:posOffset>
            </wp:positionV>
            <wp:extent cx="3078393" cy="2826143"/>
            <wp:effectExtent l="0" t="0" r="0" b="0"/>
            <wp:wrapSquare wrapText="bothSides" distL="152400" distR="152400" distT="152400" distB="152400"/>
            <wp:docPr id="1073741827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6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4032798</wp:posOffset>
            </wp:positionH>
            <wp:positionV relativeFrom="page">
              <wp:posOffset>4702399</wp:posOffset>
            </wp:positionV>
            <wp:extent cx="2838200" cy="2826143"/>
            <wp:effectExtent l="0" t="0" r="0" b="0"/>
            <wp:wrapSquare wrapText="bothSides" distL="152400" distR="152400" distT="152400" distB="152400"/>
            <wp:docPr id="1073741828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7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736524</wp:posOffset>
            </wp:positionH>
            <wp:positionV relativeFrom="page">
              <wp:posOffset>8215812</wp:posOffset>
            </wp:positionV>
            <wp:extent cx="2933742" cy="2044733"/>
            <wp:effectExtent l="0" t="0" r="0" b="0"/>
            <wp:wrapTopAndBottom distT="152400" distB="152400"/>
            <wp:docPr id="1073741829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8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4384" behindDoc="0" locked="0" layoutInCell="1" allowOverlap="1">
            <wp:simplePos x="0" y="0"/>
            <wp:positionH relativeFrom="page">
              <wp:posOffset>3928901</wp:posOffset>
            </wp:positionH>
            <wp:positionV relativeFrom="page">
              <wp:posOffset>8215812</wp:posOffset>
            </wp:positionV>
            <wp:extent cx="2944467" cy="2036723"/>
            <wp:effectExtent l="0" t="0" r="0" b="0"/>
            <wp:wrapSquare wrapText="bothSides" distL="152400" distR="152400" distT="152400" distB="152400"/>
            <wp:docPr id="1073741830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9"/>
              </a:graphicData>
            </a:graphic>
          </wp:anchor>
        </w:drawing>
      </w:r>
      <w:r>
        <w:rPr>
          <w:rtl w:val="0"/>
          <w:lang w:val="en-US"/>
        </w:rPr>
        <w:t>ive settings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en-US"/>
        </w:rPr>
        <w:t>3. Number of operations in which breast implants are used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en-US"/>
        </w:rPr>
        <w:t>4. Breast surgery indication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en-US"/>
        </w:rPr>
        <w:t>5. Implant used</w:t>
      </w:r>
      <w:r>
        <w:drawing xmlns:a="http://schemas.openxmlformats.org/drawingml/2006/main">
          <wp:anchor distT="152400" distB="152400" distL="152400" distR="152400" simplePos="0" relativeHeight="251665408" behindDoc="0" locked="0" layoutInCell="1" allowOverlap="1">
            <wp:simplePos x="0" y="0"/>
            <wp:positionH relativeFrom="page">
              <wp:posOffset>700485</wp:posOffset>
            </wp:positionH>
            <wp:positionV relativeFrom="page">
              <wp:posOffset>1072124</wp:posOffset>
            </wp:positionV>
            <wp:extent cx="2912391" cy="2719800"/>
            <wp:effectExtent l="0" t="0" r="0" b="0"/>
            <wp:wrapSquare wrapText="bothSides" distL="152400" distR="152400" distT="152400" distB="152400"/>
            <wp:docPr id="1073741831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0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6432" behindDoc="0" locked="0" layoutInCell="1" allowOverlap="1">
            <wp:simplePos x="0" y="0"/>
            <wp:positionH relativeFrom="page">
              <wp:posOffset>3980425</wp:posOffset>
            </wp:positionH>
            <wp:positionV relativeFrom="page">
              <wp:posOffset>1072124</wp:posOffset>
            </wp:positionV>
            <wp:extent cx="2922088" cy="2719800"/>
            <wp:effectExtent l="0" t="0" r="0" b="0"/>
            <wp:wrapSquare wrapText="bothSides" distL="152400" distR="152400" distT="152400" distB="152400"/>
            <wp:docPr id="1073741832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1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7456" behindDoc="0" locked="0" layoutInCell="1" allowOverlap="1">
            <wp:simplePos x="0" y="0"/>
            <wp:positionH relativeFrom="page">
              <wp:posOffset>720000</wp:posOffset>
            </wp:positionH>
            <wp:positionV relativeFrom="page">
              <wp:posOffset>4908132</wp:posOffset>
            </wp:positionV>
            <wp:extent cx="3154254" cy="3219447"/>
            <wp:effectExtent l="0" t="0" r="0" b="0"/>
            <wp:wrapSquare wrapText="bothSides" distL="152400" distR="152400" distT="152400" distB="152400"/>
            <wp:docPr id="1073741833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8480" behindDoc="0" locked="0" layoutInCell="1" allowOverlap="1">
            <wp:simplePos x="0" y="0"/>
            <wp:positionH relativeFrom="page">
              <wp:posOffset>3980425</wp:posOffset>
            </wp:positionH>
            <wp:positionV relativeFrom="page">
              <wp:posOffset>4908132</wp:posOffset>
            </wp:positionV>
            <wp:extent cx="3091052" cy="3972605"/>
            <wp:effectExtent l="0" t="0" r="0" b="0"/>
            <wp:wrapSquare wrapText="bothSides" distL="152400" distR="152400" distT="152400" distB="152400"/>
            <wp:docPr id="1073741834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anchor>
        </w:drawing>
      </w:r>
      <w:r>
        <w:rPr>
          <w:rtl w:val="0"/>
          <w:lang w:val="en-US"/>
        </w:rPr>
        <w:t xml:space="preserve"> in aesthetic breast augmentation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en-US"/>
        </w:rPr>
        <w:t>6. Implant used in reconstructive breast surgeries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en-US"/>
        </w:rPr>
        <w:t xml:space="preserve">7. Prior to ALCL new entity of </w:t>
      </w:r>
      <w:r>
        <w:drawing xmlns:a="http://schemas.openxmlformats.org/drawingml/2006/main">
          <wp:anchor distT="152400" distB="152400" distL="152400" distR="152400" simplePos="0" relativeHeight="251669504" behindDoc="0" locked="0" layoutInCell="1" allowOverlap="1">
            <wp:simplePos x="0" y="0"/>
            <wp:positionH relativeFrom="page">
              <wp:posOffset>539890</wp:posOffset>
            </wp:positionH>
            <wp:positionV relativeFrom="page">
              <wp:posOffset>1673373</wp:posOffset>
            </wp:positionV>
            <wp:extent cx="3227779" cy="3179890"/>
            <wp:effectExtent l="0" t="0" r="0" b="0"/>
            <wp:wrapSquare wrapText="bothSides" distL="152400" distR="152400" distT="152400" distB="152400"/>
            <wp:docPr id="1073741835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0528" behindDoc="0" locked="0" layoutInCell="1" allowOverlap="1">
            <wp:simplePos x="0" y="0"/>
            <wp:positionH relativeFrom="page">
              <wp:posOffset>3885071</wp:posOffset>
            </wp:positionH>
            <wp:positionV relativeFrom="page">
              <wp:posOffset>1673373</wp:posOffset>
            </wp:positionV>
            <wp:extent cx="3282269" cy="3552048"/>
            <wp:effectExtent l="0" t="0" r="0" b="0"/>
            <wp:wrapSquare wrapText="bothSides" distL="152400" distR="152400" distT="152400" distB="152400"/>
            <wp:docPr id="1073741836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1552" behindDoc="0" locked="0" layoutInCell="1" allowOverlap="1">
            <wp:simplePos x="0" y="0"/>
            <wp:positionH relativeFrom="page">
              <wp:posOffset>623934</wp:posOffset>
            </wp:positionH>
            <wp:positionV relativeFrom="page">
              <wp:posOffset>6740662</wp:posOffset>
            </wp:positionV>
            <wp:extent cx="3354681" cy="3045800"/>
            <wp:effectExtent l="0" t="0" r="0" b="0"/>
            <wp:wrapSquare wrapText="bothSides" distL="152400" distR="152400" distT="152400" distB="152400"/>
            <wp:docPr id="1073741837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2576" behindDoc="0" locked="0" layoutInCell="1" allowOverlap="1">
            <wp:simplePos x="0" y="0"/>
            <wp:positionH relativeFrom="page">
              <wp:posOffset>4176295</wp:posOffset>
            </wp:positionH>
            <wp:positionV relativeFrom="page">
              <wp:posOffset>6732986</wp:posOffset>
            </wp:positionV>
            <wp:extent cx="2847217" cy="3053476"/>
            <wp:effectExtent l="0" t="0" r="0" b="0"/>
            <wp:wrapSquare wrapText="bothSides" distL="152400" distR="152400" distT="152400" distB="152400"/>
            <wp:docPr id="1073741838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anchor>
        </w:drawing>
      </w:r>
      <w:r>
        <w:rPr>
          <w:rtl w:val="0"/>
          <w:lang w:val="en-US"/>
        </w:rPr>
        <w:t xml:space="preserve">malignancy and the association to implant shell texturization.  The breast implant used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en-US"/>
        </w:rPr>
        <w:t>8. The correlation between implant texturization and ALCL entity of malignancy made me change my impla</w:t>
      </w:r>
      <w:r>
        <w:drawing xmlns:a="http://schemas.openxmlformats.org/drawingml/2006/main">
          <wp:anchor distT="152400" distB="152400" distL="152400" distR="152400" simplePos="0" relativeHeight="251673600" behindDoc="0" locked="0" layoutInCell="1" allowOverlap="1">
            <wp:simplePos x="0" y="0"/>
            <wp:positionH relativeFrom="page">
              <wp:posOffset>503428</wp:posOffset>
            </wp:positionH>
            <wp:positionV relativeFrom="page">
              <wp:posOffset>1567820</wp:posOffset>
            </wp:positionV>
            <wp:extent cx="3276600" cy="3126288"/>
            <wp:effectExtent l="0" t="0" r="0" b="0"/>
            <wp:wrapSquare wrapText="bothSides" distL="152400" distR="152400" distT="152400" distB="152400"/>
            <wp:docPr id="1073741839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4624" behindDoc="0" locked="0" layoutInCell="1" allowOverlap="1">
            <wp:simplePos x="0" y="0"/>
            <wp:positionH relativeFrom="page">
              <wp:posOffset>3780028</wp:posOffset>
            </wp:positionH>
            <wp:positionV relativeFrom="page">
              <wp:posOffset>1567820</wp:posOffset>
            </wp:positionV>
            <wp:extent cx="4349630" cy="3312367"/>
            <wp:effectExtent l="0" t="0" r="0" b="0"/>
            <wp:wrapSquare wrapText="bothSides" distL="152400" distR="152400" distT="152400" distB="152400"/>
            <wp:docPr id="1073741840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5648" behindDoc="0" locked="0" layoutInCell="1" allowOverlap="1">
            <wp:simplePos x="0" y="0"/>
            <wp:positionH relativeFrom="page">
              <wp:posOffset>2049353</wp:posOffset>
            </wp:positionH>
            <wp:positionV relativeFrom="page">
              <wp:posOffset>6131580</wp:posOffset>
            </wp:positionV>
            <wp:extent cx="3601286" cy="3488022"/>
            <wp:effectExtent l="0" t="0" r="0" b="0"/>
            <wp:wrapTopAndBottom distT="152400" distB="152400"/>
            <wp:docPr id="1073741841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anchor>
        </w:drawing>
      </w:r>
      <w:r>
        <w:rPr>
          <w:rtl w:val="0"/>
          <w:lang w:val="en-US"/>
        </w:rPr>
        <w:t>nt selection as follow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en-US"/>
        </w:rPr>
        <w:t xml:space="preserve">9. Number of time I witnessed ALCL in my patients, 2019 questioner only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en-US"/>
        </w:rPr>
        <w:t>9 . Due to the change in implant selection, my aesthetic result changed as follow, 2023 questioner only</w:t>
      </w:r>
    </w:p>
    <w:p>
      <w:pPr>
        <w:pStyle w:val="Body"/>
        <w:bidi w:val="0"/>
      </w:pP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76672" behindDoc="0" locked="0" layoutInCell="1" allowOverlap="1">
            <wp:simplePos x="0" y="0"/>
            <wp:positionH relativeFrom="page">
              <wp:posOffset>1742006</wp:posOffset>
            </wp:positionH>
            <wp:positionV relativeFrom="page">
              <wp:posOffset>6438693</wp:posOffset>
            </wp:positionV>
            <wp:extent cx="4249284" cy="3405307"/>
            <wp:effectExtent l="0" t="0" r="0" b="0"/>
            <wp:wrapTopAndBottom distT="152400" distB="152400"/>
            <wp:docPr id="1073741842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7696" behindDoc="0" locked="0" layoutInCell="1" allowOverlap="1">
            <wp:simplePos x="0" y="0"/>
            <wp:positionH relativeFrom="page">
              <wp:posOffset>1887371</wp:posOffset>
            </wp:positionH>
            <wp:positionV relativeFrom="page">
              <wp:posOffset>1913868</wp:posOffset>
            </wp:positionV>
            <wp:extent cx="4029548" cy="3432133"/>
            <wp:effectExtent l="0" t="0" r="0" b="0"/>
            <wp:wrapTopAndBottom distT="152400" distB="152400"/>
            <wp:docPr id="1073741843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anchor>
        </w:drawing>
      </w:r>
    </w:p>
    <w:p>
      <w:pPr>
        <w:pStyle w:val="Body"/>
        <w:bidi w:val="0"/>
      </w:pPr>
      <w:r>
        <w:rPr>
          <w:rtl w:val="0"/>
          <w:lang w:val="en-US"/>
        </w:rPr>
        <w:t>10. Due to the change in implant selection, total complication rate changed as follow, 2023 questioner only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en-US"/>
        </w:rPr>
        <w:t>11. Due to the change in implant selection, the rate of capsular contracture changed as follow, 2023 question</w:t>
      </w:r>
      <w:r>
        <w:drawing xmlns:a="http://schemas.openxmlformats.org/drawingml/2006/main">
          <wp:anchor distT="152400" distB="152400" distL="152400" distR="152400" simplePos="0" relativeHeight="251678720" behindDoc="0" locked="0" layoutInCell="1" allowOverlap="1">
            <wp:simplePos x="0" y="0"/>
            <wp:positionH relativeFrom="page">
              <wp:posOffset>1439261</wp:posOffset>
            </wp:positionH>
            <wp:positionV relativeFrom="page">
              <wp:posOffset>1529569</wp:posOffset>
            </wp:positionV>
            <wp:extent cx="4681701" cy="3888849"/>
            <wp:effectExtent l="0" t="0" r="0" b="0"/>
            <wp:wrapTopAndBottom distT="152400" distB="152400"/>
            <wp:docPr id="1073741844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79744" behindDoc="0" locked="0" layoutInCell="1" allowOverlap="1">
            <wp:simplePos x="0" y="0"/>
            <wp:positionH relativeFrom="page">
              <wp:posOffset>1539999</wp:posOffset>
            </wp:positionH>
            <wp:positionV relativeFrom="page">
              <wp:posOffset>6363373</wp:posOffset>
            </wp:positionV>
            <wp:extent cx="4306033" cy="3396870"/>
            <wp:effectExtent l="0" t="0" r="0" b="0"/>
            <wp:wrapTopAndBottom distT="152400" distB="152400"/>
            <wp:docPr id="1073741845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anchor>
        </w:drawing>
      </w:r>
      <w:r>
        <w:rPr>
          <w:rtl w:val="0"/>
          <w:lang w:val="en-US"/>
        </w:rPr>
        <w:t>er only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en-US"/>
        </w:rPr>
        <w:t>12. Due to the change in implant selection, malposition rate changed as follow, 2023 questioner only</w:t>
      </w:r>
    </w:p>
    <w:p>
      <w:pPr>
        <w:pStyle w:val="Body"/>
        <w:bidi w:val="0"/>
      </w:pPr>
      <w:r>
        <w:rPr>
          <w:rtl w:val="0"/>
          <w:lang w:val="en-US"/>
        </w:rPr>
        <w:t>13. Due to the change in implant selection, rotation of breast implant rate changed as follow, 2023 questioner only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80768" behindDoc="0" locked="0" layoutInCell="1" allowOverlap="1">
            <wp:simplePos x="0" y="0"/>
            <wp:positionH relativeFrom="page">
              <wp:posOffset>1747640</wp:posOffset>
            </wp:positionH>
            <wp:positionV relativeFrom="page">
              <wp:posOffset>1274168</wp:posOffset>
            </wp:positionV>
            <wp:extent cx="4444958" cy="3796878"/>
            <wp:effectExtent l="0" t="0" r="0" b="0"/>
            <wp:wrapTopAndBottom distT="152400" distB="152400"/>
            <wp:docPr id="1073741846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81792" behindDoc="0" locked="0" layoutInCell="1" allowOverlap="1">
            <wp:simplePos x="0" y="0"/>
            <wp:positionH relativeFrom="page">
              <wp:posOffset>1765874</wp:posOffset>
            </wp:positionH>
            <wp:positionV relativeFrom="page">
              <wp:posOffset>6185281</wp:posOffset>
            </wp:positionV>
            <wp:extent cx="4422374" cy="3786722"/>
            <wp:effectExtent l="0" t="0" r="0" b="0"/>
            <wp:wrapTopAndBottom distT="152400" distB="152400"/>
            <wp:docPr id="1073741847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anchor>
        </w:drawing>
      </w:r>
      <w:r>
        <w:rPr>
          <w:rtl w:val="0"/>
          <w:lang w:val="en-US"/>
        </w:rPr>
        <w:t>14. Due to the change in implant selection, the rate of postoperative rippling changed as follow, 2023 questioner only</w:t>
      </w:r>
    </w:p>
    <w:sectPr>
      <w:headerReference w:type="default" r:id="rId27"/>
      <w:footerReference w:type="default" r:id="rId28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chart" Target="charts/chart1.xml"/><Relationship Id="rId5" Type="http://schemas.openxmlformats.org/officeDocument/2006/relationships/chart" Target="charts/chart2.xml"/><Relationship Id="rId6" Type="http://schemas.openxmlformats.org/officeDocument/2006/relationships/chart" Target="charts/chart3.xml"/><Relationship Id="rId7" Type="http://schemas.openxmlformats.org/officeDocument/2006/relationships/chart" Target="charts/chart4.xml"/><Relationship Id="rId8" Type="http://schemas.openxmlformats.org/officeDocument/2006/relationships/chart" Target="charts/chart5.xml"/><Relationship Id="rId9" Type="http://schemas.openxmlformats.org/officeDocument/2006/relationships/chart" Target="charts/chart6.xml"/><Relationship Id="rId10" Type="http://schemas.openxmlformats.org/officeDocument/2006/relationships/chart" Target="charts/chart7.xml"/><Relationship Id="rId11" Type="http://schemas.openxmlformats.org/officeDocument/2006/relationships/chart" Target="charts/chart8.xml"/><Relationship Id="rId12" Type="http://schemas.openxmlformats.org/officeDocument/2006/relationships/chart" Target="charts/chart9.xml"/><Relationship Id="rId13" Type="http://schemas.openxmlformats.org/officeDocument/2006/relationships/chart" Target="charts/chart10.xml"/><Relationship Id="rId14" Type="http://schemas.openxmlformats.org/officeDocument/2006/relationships/chart" Target="charts/chart11.xml"/><Relationship Id="rId15" Type="http://schemas.openxmlformats.org/officeDocument/2006/relationships/chart" Target="charts/chart12.xml"/><Relationship Id="rId16" Type="http://schemas.openxmlformats.org/officeDocument/2006/relationships/chart" Target="charts/chart13.xml"/><Relationship Id="rId17" Type="http://schemas.openxmlformats.org/officeDocument/2006/relationships/chart" Target="charts/chart14.xml"/><Relationship Id="rId18" Type="http://schemas.openxmlformats.org/officeDocument/2006/relationships/chart" Target="charts/chart15.xml"/><Relationship Id="rId19" Type="http://schemas.openxmlformats.org/officeDocument/2006/relationships/chart" Target="charts/chart16.xml"/><Relationship Id="rId20" Type="http://schemas.openxmlformats.org/officeDocument/2006/relationships/chart" Target="charts/chart17.xml"/><Relationship Id="rId21" Type="http://schemas.openxmlformats.org/officeDocument/2006/relationships/chart" Target="charts/chart18.xml"/><Relationship Id="rId22" Type="http://schemas.openxmlformats.org/officeDocument/2006/relationships/chart" Target="charts/chart19.xml"/><Relationship Id="rId23" Type="http://schemas.openxmlformats.org/officeDocument/2006/relationships/chart" Target="charts/chart20.xml"/><Relationship Id="rId24" Type="http://schemas.openxmlformats.org/officeDocument/2006/relationships/chart" Target="charts/chart21.xml"/><Relationship Id="rId25" Type="http://schemas.openxmlformats.org/officeDocument/2006/relationships/chart" Target="charts/chart22.xml"/><Relationship Id="rId26" Type="http://schemas.openxmlformats.org/officeDocument/2006/relationships/chart" Target="charts/chart23.xml"/><Relationship Id="rId27" Type="http://schemas.openxmlformats.org/officeDocument/2006/relationships/header" Target="header1.xml"/><Relationship Id="rId28" Type="http://schemas.openxmlformats.org/officeDocument/2006/relationships/footer" Target="footer1.xml"/><Relationship Id="rId29" Type="http://schemas.openxmlformats.org/officeDocument/2006/relationships/numbering" Target="numbering.xml"/><Relationship Id="rId30" Type="http://schemas.openxmlformats.org/officeDocument/2006/relationships/theme" Target="theme/theme1.xml"/></Relationships>

</file>

<file path=word/charts/_rels/chart1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.xlsx"/></Relationships>

</file>

<file path=word/charts/_rels/chart2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2.xlsx"/></Relationships>

</file>

<file path=word/charts/_rels/chart3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3.xlsx"/></Relationships>

</file>

<file path=word/charts/_rels/chart4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4.xlsx"/></Relationships>

</file>

<file path=word/charts/_rels/chart5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5.xlsx"/></Relationships>

</file>

<file path=word/charts/_rels/chart6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6.xlsx"/></Relationships>

</file>

<file path=word/charts/_rels/chart7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7.xlsx"/></Relationships>

</file>

<file path=word/charts/_rels/chart8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8.xlsx"/></Relationships>

</file>

<file path=word/charts/_rels/chart9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9.xlsx"/></Relationships>

</file>

<file path=word/charts/_rels/chart10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0.xlsx"/></Relationships>

</file>

<file path=word/charts/_rels/chart11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1.xlsx"/></Relationships>

</file>

<file path=word/charts/_rels/chart12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2.xlsx"/></Relationships>

</file>

<file path=word/charts/_rels/chart13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3.xlsx"/></Relationships>

</file>

<file path=word/charts/_rels/chart14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4.xlsx"/></Relationships>

</file>

<file path=word/charts/_rels/chart15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5.xlsx"/></Relationships>

</file>

<file path=word/charts/_rels/chart16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6.xlsx"/></Relationships>

</file>

<file path=word/charts/_rels/chart17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7.xlsx"/></Relationships>

</file>

<file path=word/charts/_rels/chart18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8.xlsx"/></Relationships>

</file>

<file path=word/charts/_rels/chart19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9.xlsx"/></Relationships>

</file>

<file path=word/charts/_rels/chart20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20.xlsx"/></Relationships>

</file>

<file path=word/charts/_rels/chart21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21.xlsx"/></Relationships>

</file>

<file path=word/charts/_rels/chart22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22.xlsx"/></Relationships>

</file>

<file path=word/charts/_rels/chart23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23.xlsx"/></Relationships>
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2019</a:t>
            </a:r>
          </a:p>
        </c:rich>
      </c:tx>
      <c:layout>
        <c:manualLayout>
          <c:xMode val="edge"/>
          <c:yMode val="edge"/>
          <c:x val="0.493989"/>
          <c:y val="0"/>
          <c:w val="0.196452"/>
          <c:h val="0.183958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327715"/>
          <c:y val="0.183958"/>
          <c:w val="0.529"/>
          <c:h val="0.562653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&lt; 5 years</c:v>
                </c:pt>
                <c:pt idx="1">
                  <c:v>5-10 years</c:v>
                </c:pt>
                <c:pt idx="2">
                  <c:v>10-15 years</c:v>
                </c:pt>
                <c:pt idx="3">
                  <c:v>&gt;15 years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0.208000</c:v>
                </c:pt>
                <c:pt idx="1">
                  <c:v>0.208000</c:v>
                </c:pt>
                <c:pt idx="2">
                  <c:v>0.170000</c:v>
                </c:pt>
                <c:pt idx="3">
                  <c:v>0.415000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831148"/>
          <c:w val="1"/>
          <c:h val="0.168852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2023</a:t>
            </a:r>
          </a:p>
        </c:rich>
      </c:tx>
      <c:layout>
        <c:manualLayout>
          <c:xMode val="edge"/>
          <c:yMode val="edge"/>
          <c:x val="0.42227"/>
          <c:y val="0"/>
          <c:w val="0.158151"/>
          <c:h val="0.182616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285397"/>
          <c:y val="0.182616"/>
          <c:w val="0.431897"/>
          <c:h val="0.566547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&lt; 5 years</c:v>
                </c:pt>
                <c:pt idx="1">
                  <c:v>5 - 10 years</c:v>
                </c:pt>
                <c:pt idx="2">
                  <c:v>10 - 15 years</c:v>
                </c:pt>
                <c:pt idx="3">
                  <c:v>&gt;15 years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0.169000</c:v>
                </c:pt>
                <c:pt idx="1">
                  <c:v>0.127000</c:v>
                </c:pt>
                <c:pt idx="2">
                  <c:v>0.183000</c:v>
                </c:pt>
                <c:pt idx="3">
                  <c:v>0.521000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832289"/>
          <c:w val="1"/>
          <c:h val="0.167711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2019</a:t>
            </a:r>
          </a:p>
        </c:rich>
      </c:tx>
      <c:layout>
        <c:manualLayout>
          <c:xMode val="edge"/>
          <c:yMode val="edge"/>
          <c:x val="0.36881"/>
          <c:y val="0"/>
          <c:w val="0.165153"/>
          <c:h val="0.154935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20153"/>
          <c:y val="0.154935"/>
          <c:w val="0.499712"/>
          <c:h val="0.531814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Public hospital</c:v>
                </c:pt>
                <c:pt idx="1">
                  <c:v>Public hospital and private clinic</c:v>
                </c:pt>
                <c:pt idx="2">
                  <c:v>Private clinic and public hospital</c:v>
                </c:pt>
                <c:pt idx="3">
                  <c:v>Private clinic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0.057000</c:v>
                </c:pt>
                <c:pt idx="1">
                  <c:v>0.283000</c:v>
                </c:pt>
                <c:pt idx="2">
                  <c:v>0.340000</c:v>
                </c:pt>
                <c:pt idx="3">
                  <c:v>0.321000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724131"/>
          <c:w val="1"/>
          <c:h val="0.275869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2023</a:t>
            </a:r>
          </a:p>
        </c:rich>
      </c:tx>
      <c:layout>
        <c:manualLayout>
          <c:xMode val="edge"/>
          <c:yMode val="edge"/>
          <c:x val="0.448768"/>
          <c:y val="0"/>
          <c:w val="0.17913"/>
          <c:h val="0.154935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273771"/>
          <c:y val="0.154935"/>
          <c:w val="0.529123"/>
          <c:h val="0.51888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Public hospital</c:v>
                </c:pt>
                <c:pt idx="1">
                  <c:v>Public hospital and private clinic</c:v>
                </c:pt>
                <c:pt idx="2">
                  <c:v>Private clinic and public hospital</c:v>
                </c:pt>
                <c:pt idx="3">
                  <c:v>Private clinic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0.028000</c:v>
                </c:pt>
                <c:pt idx="1">
                  <c:v>0.310000</c:v>
                </c:pt>
                <c:pt idx="2">
                  <c:v>0.282000</c:v>
                </c:pt>
                <c:pt idx="3">
                  <c:v>0.380000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724131"/>
          <c:w val="1"/>
          <c:h val="0.275869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2019</a:t>
            </a:r>
          </a:p>
        </c:rich>
      </c:tx>
      <c:layout>
        <c:manualLayout>
          <c:xMode val="edge"/>
          <c:yMode val="edge"/>
          <c:x val="0.415292"/>
          <c:y val="0"/>
          <c:w val="0.173296"/>
          <c:h val="0.214145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288825"/>
          <c:y val="0.214145"/>
          <c:w val="0.426231"/>
          <c:h val="0.599047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Up to 10 op</c:v>
                </c:pt>
                <c:pt idx="1">
                  <c:v>10- 50 op</c:v>
                </c:pt>
                <c:pt idx="2">
                  <c:v>50-100op</c:v>
                </c:pt>
                <c:pt idx="3">
                  <c:v>&gt;100 op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0.019000</c:v>
                </c:pt>
                <c:pt idx="1">
                  <c:v>0.302000</c:v>
                </c:pt>
                <c:pt idx="2">
                  <c:v>0.283000</c:v>
                </c:pt>
                <c:pt idx="3">
                  <c:v>0.396000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r"/>
      <c:layout>
        <c:manualLayout>
          <c:xMode val="edge"/>
          <c:yMode val="edge"/>
          <c:x val="0"/>
          <c:y val="0.811741"/>
          <c:w val="1"/>
          <c:h val="0.188259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2023</a:t>
            </a:r>
          </a:p>
        </c:rich>
      </c:tx>
      <c:layout>
        <c:manualLayout>
          <c:xMode val="edge"/>
          <c:yMode val="edge"/>
          <c:x val="0.468341"/>
          <c:y val="0"/>
          <c:w val="0.172665"/>
          <c:h val="0.214987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355991"/>
          <c:y val="0.214987"/>
          <c:w val="0.397366"/>
          <c:h val="0.561967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Up to 10 op</c:v>
                </c:pt>
                <c:pt idx="1">
                  <c:v>10 - 50 op </c:v>
                </c:pt>
                <c:pt idx="2">
                  <c:v>50 -100 op</c:v>
                </c:pt>
                <c:pt idx="3">
                  <c:v>&gt;100 op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0.043000</c:v>
                </c:pt>
                <c:pt idx="1">
                  <c:v>0.471000</c:v>
                </c:pt>
                <c:pt idx="2">
                  <c:v>0.314000</c:v>
                </c:pt>
                <c:pt idx="3">
                  <c:v>0.171000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804776"/>
          <c:w val="1"/>
          <c:h val="0.195224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2019</a:t>
            </a:r>
          </a:p>
        </c:rich>
      </c:tx>
      <c:layout>
        <c:manualLayout>
          <c:xMode val="edge"/>
          <c:yMode val="edge"/>
          <c:x val="0.412717"/>
          <c:y val="0"/>
          <c:w val="0.174567"/>
          <c:h val="0.160993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247027"/>
          <c:y val="0.160993"/>
          <c:w val="0.505946"/>
          <c:h val="0.529272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Reconstructive </c:v>
                </c:pt>
                <c:pt idx="1">
                  <c:v>Reconstructive and aesthetic</c:v>
                </c:pt>
                <c:pt idx="2">
                  <c:v>Esthetic and reconstructive </c:v>
                </c:pt>
                <c:pt idx="3">
                  <c:v>Esthetic 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0.000000</c:v>
                </c:pt>
                <c:pt idx="1">
                  <c:v>0.226000</c:v>
                </c:pt>
                <c:pt idx="2">
                  <c:v>0.415000</c:v>
                </c:pt>
                <c:pt idx="3">
                  <c:v>0.358000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713834"/>
          <c:w val="1"/>
          <c:h val="0.286166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2023</a:t>
            </a:r>
          </a:p>
        </c:rich>
      </c:tx>
      <c:layout>
        <c:manualLayout>
          <c:xMode val="edge"/>
          <c:yMode val="edge"/>
          <c:x val="0.439233"/>
          <c:y val="0"/>
          <c:w val="0.173987"/>
          <c:h val="0.160993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268557"/>
          <c:y val="0.160993"/>
          <c:w val="0.51534"/>
          <c:h val="0.541169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Reconstructive</c:v>
                </c:pt>
                <c:pt idx="1">
                  <c:v>Reconstructive and aesthetic </c:v>
                </c:pt>
                <c:pt idx="2">
                  <c:v>Esthetic and reconstructive </c:v>
                </c:pt>
                <c:pt idx="3">
                  <c:v>Esthetic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0.000000</c:v>
                </c:pt>
                <c:pt idx="1">
                  <c:v>0.239000</c:v>
                </c:pt>
                <c:pt idx="2">
                  <c:v>0.352000</c:v>
                </c:pt>
                <c:pt idx="3">
                  <c:v>0.408000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713834"/>
          <c:w val="1"/>
          <c:h val="0.286166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2019</a:t>
            </a:r>
          </a:p>
        </c:rich>
      </c:tx>
      <c:layout>
        <c:manualLayout>
          <c:xMode val="edge"/>
          <c:yMode val="edge"/>
          <c:x val="0.361318"/>
          <c:y val="0"/>
          <c:w val="0.161181"/>
          <c:h val="0.136008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130992"/>
          <c:y val="0.136008"/>
          <c:w val="0.621834"/>
          <c:h val="0.596742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Round smooth </c:v>
                </c:pt>
                <c:pt idx="1">
                  <c:v>Round textured</c:v>
                </c:pt>
                <c:pt idx="2">
                  <c:v>Anatomical 
</c:v>
                </c:pt>
                <c:pt idx="3">
                  <c:v>Do not perform 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0.377000</c:v>
                </c:pt>
                <c:pt idx="1">
                  <c:v>0.623000</c:v>
                </c:pt>
                <c:pt idx="2">
                  <c:v>0.000000</c:v>
                </c:pt>
                <c:pt idx="3">
                  <c:v>0.000000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75356"/>
          <c:w val="1"/>
          <c:h val="0.24644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2023</a:t>
            </a:r>
          </a:p>
        </c:rich>
      </c:tx>
      <c:layout>
        <c:manualLayout>
          <c:xMode val="edge"/>
          <c:yMode val="edge"/>
          <c:x val="0.445279"/>
          <c:y val="0"/>
          <c:w val="0.164477"/>
          <c:h val="0.110222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20849"/>
          <c:y val="0.110222"/>
          <c:w val="0.638055"/>
          <c:h val="0.483966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4"/>
            <c:explosion val="0"/>
            <c:spPr>
              <a:solidFill>
                <a:schemeClr val="accent5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5"/>
            <c:explosion val="0"/>
            <c:spPr>
              <a:solidFill>
                <a:schemeClr val="accent6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6"/>
            <c:explosion val="0"/>
            <c:spPr>
              <a:solidFill>
                <a:srgbClr val="006199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4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5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6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Sheet1!$B$1:$H$1</c:f>
              <c:strCache>
                <c:ptCount val="7"/>
                <c:pt idx="0">
                  <c:v>Round smooth </c:v>
                </c:pt>
                <c:pt idx="1">
                  <c:v>Round textured</c:v>
                </c:pt>
                <c:pt idx="2">
                  <c:v>Anatomical
</c:v>
                </c:pt>
                <c:pt idx="3">
                  <c:v>Ergonomic </c:v>
                </c:pt>
                <c:pt idx="4">
                  <c:v>Polyurethane </c:v>
                </c:pt>
                <c:pt idx="5">
                  <c:v>Do not perform</c:v>
                </c:pt>
                <c:pt idx="6">
                  <c:v>Other</c:v>
                </c:pt>
              </c:strCache>
            </c:strRef>
          </c:cat>
          <c:val>
            <c:numRef>
              <c:f>Sheet1!$B$2:$H$2</c:f>
              <c:numCache>
                <c:ptCount val="7"/>
                <c:pt idx="0">
                  <c:v>0.338000</c:v>
                </c:pt>
                <c:pt idx="1">
                  <c:v>0.493000</c:v>
                </c:pt>
                <c:pt idx="2">
                  <c:v>0.028000</c:v>
                </c:pt>
                <c:pt idx="3">
                  <c:v>0.113000</c:v>
                </c:pt>
                <c:pt idx="4">
                  <c:v>0.000000</c:v>
                </c:pt>
                <c:pt idx="5">
                  <c:v>0.000000</c:v>
                </c:pt>
                <c:pt idx="6">
                  <c:v>0.028000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608324"/>
          <c:w val="1"/>
          <c:h val="0.391676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2019</a:t>
            </a:r>
          </a:p>
        </c:rich>
      </c:tx>
      <c:layout>
        <c:manualLayout>
          <c:xMode val="edge"/>
          <c:yMode val="edge"/>
          <c:x val="0.421245"/>
          <c:y val="0"/>
          <c:w val="0.15751"/>
          <c:h val="0.137699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140796"/>
          <c:y val="0.137699"/>
          <c:w val="0.718407"/>
          <c:h val="0.716726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Round smooth </c:v>
                </c:pt>
                <c:pt idx="1">
                  <c:v>Round textured</c:v>
                </c:pt>
                <c:pt idx="2">
                  <c:v>Anatomical </c:v>
                </c:pt>
                <c:pt idx="3">
                  <c:v>Do not perform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0.096000</c:v>
                </c:pt>
                <c:pt idx="1">
                  <c:v>0.231000</c:v>
                </c:pt>
                <c:pt idx="2">
                  <c:v>0.385000</c:v>
                </c:pt>
                <c:pt idx="3">
                  <c:v>0.129000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870465"/>
          <c:w val="1"/>
          <c:h val="0.129535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אחוזים</a:t>
            </a:r>
          </a:p>
        </c:rich>
      </c:tx>
      <c:layout>
        <c:manualLayout>
          <c:xMode val="edge"/>
          <c:yMode val="edge"/>
          <c:x val="0.39553"/>
          <c:y val="0"/>
          <c:w val="0.208941"/>
          <c:h val="0.117988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147093"/>
          <c:y val="0.117988"/>
          <c:w val="0.705814"/>
          <c:h val="0.639707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4"/>
            <c:explosion val="0"/>
            <c:spPr>
              <a:solidFill>
                <a:schemeClr val="accent5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5"/>
            <c:explosion val="0"/>
            <c:spPr>
              <a:solidFill>
                <a:schemeClr val="accent6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6"/>
            <c:explosion val="0"/>
            <c:spPr>
              <a:solidFill>
                <a:srgbClr val="006199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4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5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6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Sheet1!$B$1:$H$1</c:f>
              <c:strCache>
                <c:ptCount val="7"/>
                <c:pt idx="0">
                  <c:v>Round smooth </c:v>
                </c:pt>
                <c:pt idx="1">
                  <c:v>Round textured</c:v>
                </c:pt>
                <c:pt idx="2">
                  <c:v>Anatomical</c:v>
                </c:pt>
                <c:pt idx="3">
                  <c:v>Ergonomic</c:v>
                </c:pt>
                <c:pt idx="4">
                  <c:v>Polyurethane </c:v>
                </c:pt>
                <c:pt idx="5">
                  <c:v>Do not perform</c:v>
                </c:pt>
                <c:pt idx="6">
                  <c:v>Other</c:v>
                </c:pt>
              </c:strCache>
            </c:strRef>
          </c:cat>
          <c:val>
            <c:numRef>
              <c:f>Sheet1!$B$2:$H$2</c:f>
              <c:numCache>
                <c:ptCount val="7"/>
                <c:pt idx="0">
                  <c:v>0.100000</c:v>
                </c:pt>
                <c:pt idx="1">
                  <c:v>0.129000</c:v>
                </c:pt>
                <c:pt idx="2">
                  <c:v>0.214000</c:v>
                </c:pt>
                <c:pt idx="3">
                  <c:v>0.129000</c:v>
                </c:pt>
                <c:pt idx="4">
                  <c:v>0.000000</c:v>
                </c:pt>
                <c:pt idx="5">
                  <c:v>0.400000</c:v>
                </c:pt>
                <c:pt idx="6">
                  <c:v>0.028000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777954"/>
          <c:w val="1"/>
          <c:h val="0.222046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2019</a:t>
            </a:r>
          </a:p>
        </c:rich>
      </c:tx>
      <c:layout>
        <c:manualLayout>
          <c:xMode val="edge"/>
          <c:yMode val="edge"/>
          <c:x val="0.534355"/>
          <c:y val="0"/>
          <c:w val="0.151551"/>
          <c:h val="0.143762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286826"/>
          <c:y val="0.143762"/>
          <c:w val="0.646609"/>
          <c:h val="0.699683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Allergan</c:v>
                </c:pt>
                <c:pt idx="1">
                  <c:v>Mentor</c:v>
                </c:pt>
                <c:pt idx="2">
                  <c:v>Motiva</c:v>
                </c:pt>
                <c:pt idx="3">
                  <c:v>Other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0.098000</c:v>
                </c:pt>
                <c:pt idx="1">
                  <c:v>0.706000</c:v>
                </c:pt>
                <c:pt idx="2">
                  <c:v>0.078000</c:v>
                </c:pt>
                <c:pt idx="3">
                  <c:v>0.118000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865313"/>
          <c:w val="1"/>
          <c:h val="0.134687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2023</a:t>
            </a:r>
          </a:p>
        </c:rich>
      </c:tx>
      <c:layout>
        <c:manualLayout>
          <c:xMode val="edge"/>
          <c:yMode val="edge"/>
          <c:x val="0.412961"/>
          <c:y val="0"/>
          <c:w val="0.178563"/>
          <c:h val="0.1434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123539"/>
          <c:y val="0.1434"/>
          <c:w val="0.757408"/>
          <c:h val="0.693746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Alergan</c:v>
                </c:pt>
                <c:pt idx="1">
                  <c:v>Mentor</c:v>
                </c:pt>
                <c:pt idx="2">
                  <c:v>Motiva</c:v>
                </c:pt>
                <c:pt idx="3">
                  <c:v>Other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0.085000</c:v>
                </c:pt>
                <c:pt idx="1">
                  <c:v>0.775000</c:v>
                </c:pt>
                <c:pt idx="2">
                  <c:v>0.056000</c:v>
                </c:pt>
                <c:pt idx="3">
                  <c:v>0.084000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86562"/>
          <c:w val="1"/>
          <c:h val="0.13438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2019</a:t>
            </a:r>
          </a:p>
        </c:rich>
      </c:tx>
      <c:layout>
        <c:manualLayout>
          <c:xMode val="edge"/>
          <c:yMode val="edge"/>
          <c:x val="0.420356"/>
          <c:y val="0"/>
          <c:w val="0.155163"/>
          <c:h val="0.14006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177449"/>
          <c:y val="0.14006"/>
          <c:w val="0.640976"/>
          <c:h val="0.659295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Sheet1!$B$1:$D$1</c:f>
              <c:strCache>
                <c:ptCount val="3"/>
                <c:pt idx="0">
                  <c:v>Did not change</c:v>
                </c:pt>
                <c:pt idx="1">
                  <c:v>Round smooth  </c:v>
                </c:pt>
                <c:pt idx="2">
                  <c:v>Round textured by other manufacturer </c:v>
                </c:pt>
              </c:strCache>
            </c:strRef>
          </c:cat>
          <c:val>
            <c:numRef>
              <c:f>Sheet1!$B$2:$D$2</c:f>
              <c:numCache>
                <c:ptCount val="3"/>
                <c:pt idx="0">
                  <c:v>0.434000</c:v>
                </c:pt>
                <c:pt idx="1">
                  <c:v>0.434000</c:v>
                </c:pt>
                <c:pt idx="2">
                  <c:v>0.132000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808937"/>
          <c:w val="1"/>
          <c:h val="0.191063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2023</a:t>
            </a:r>
          </a:p>
        </c:rich>
      </c:tx>
      <c:layout>
        <c:manualLayout>
          <c:xMode val="edge"/>
          <c:yMode val="edge"/>
          <c:x val="0.394598"/>
          <c:y val="0"/>
          <c:w val="0.116885"/>
          <c:h val="0.132192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210114"/>
          <c:y val="0.132192"/>
          <c:w val="0.485851"/>
          <c:h val="0.625495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Sheet1!$B$1:$E$1</c:f>
              <c:strCache>
                <c:ptCount val="4"/>
                <c:pt idx="0">
                  <c:v>Did not change</c:v>
                </c:pt>
                <c:pt idx="1">
                  <c:v>Round smooth </c:v>
                </c:pt>
                <c:pt idx="2">
                  <c:v>Round textured by other manufacturer </c:v>
                </c:pt>
                <c:pt idx="3">
                  <c:v>Other</c:v>
                </c:pt>
              </c:strCache>
            </c:strRef>
          </c:cat>
          <c:val>
            <c:numRef>
              <c:f>Sheet1!$B$2:$E$2</c:f>
              <c:numCache>
                <c:ptCount val="4"/>
                <c:pt idx="0">
                  <c:v>0.437000</c:v>
                </c:pt>
                <c:pt idx="1">
                  <c:v>0.380000</c:v>
                </c:pt>
                <c:pt idx="2">
                  <c:v>0.113000</c:v>
                </c:pt>
                <c:pt idx="3">
                  <c:v>0.070000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762791"/>
          <c:w val="1"/>
          <c:h val="0.237209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2019</a:t>
            </a:r>
          </a:p>
        </c:rich>
      </c:tx>
      <c:layout>
        <c:manualLayout>
          <c:xMode val="edge"/>
          <c:yMode val="edge"/>
          <c:x val="0.409985"/>
          <c:y val="0"/>
          <c:w val="0.141174"/>
          <c:h val="0.125535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0952579"/>
          <c:y val="0.125535"/>
          <c:w val="0.770627"/>
          <c:h val="0.783151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Sheet1!$B$1:$D$1</c:f>
              <c:strCache>
                <c:ptCount val="3"/>
                <c:pt idx="0">
                  <c:v>Never</c:v>
                </c:pt>
                <c:pt idx="1">
                  <c:v>Once </c:v>
                </c:pt>
                <c:pt idx="2">
                  <c:v>More that once</c:v>
                </c:pt>
              </c:strCache>
            </c:strRef>
          </c:cat>
          <c:val>
            <c:numRef>
              <c:f>Sheet1!$B$2:$D$2</c:f>
              <c:numCache>
                <c:ptCount val="3"/>
                <c:pt idx="0">
                  <c:v>0.717000</c:v>
                </c:pt>
                <c:pt idx="1">
                  <c:v>0.226000</c:v>
                </c:pt>
                <c:pt idx="2">
                  <c:v>0.057000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934152"/>
          <c:w val="1"/>
          <c:h val="0.0658481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2023</a:t>
            </a:r>
          </a:p>
        </c:rich>
      </c:tx>
      <c:layout>
        <c:manualLayout>
          <c:xMode val="edge"/>
          <c:yMode val="edge"/>
          <c:x val="0.440177"/>
          <c:y val="0"/>
          <c:w val="0.119645"/>
          <c:h val="0.152215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244118"/>
          <c:y val="0.152215"/>
          <c:w val="0.511764"/>
          <c:h val="0.626101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4"/>
            <c:explosion val="0"/>
            <c:spPr>
              <a:solidFill>
                <a:schemeClr val="accent5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4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Sheet1!$B$1:$F$1</c:f>
              <c:strCache>
                <c:ptCount val="5"/>
                <c:pt idx="0">
                  <c:v>Significantly increased</c:v>
                </c:pt>
                <c:pt idx="1">
                  <c:v>Significantly decreased </c:v>
                </c:pt>
                <c:pt idx="2">
                  <c:v>Slightly increased</c:v>
                </c:pt>
                <c:pt idx="3">
                  <c:v>Slightly decreased </c:v>
                </c:pt>
                <c:pt idx="4">
                  <c:v>Did not changed </c:v>
                </c:pt>
              </c:strCache>
            </c:strRef>
          </c:cat>
          <c:val>
            <c:numRef>
              <c:f>Sheet1!$B$2:$F$2</c:f>
              <c:numCache>
                <c:ptCount val="5"/>
                <c:pt idx="0">
                  <c:v>0.000000</c:v>
                </c:pt>
                <c:pt idx="1">
                  <c:v>0.050000</c:v>
                </c:pt>
                <c:pt idx="2">
                  <c:v>0.033000</c:v>
                </c:pt>
                <c:pt idx="3">
                  <c:v>0.083000</c:v>
                </c:pt>
                <c:pt idx="4">
                  <c:v>0.833000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823568"/>
          <c:w val="1"/>
          <c:h val="0.176432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2023</a:t>
            </a:r>
          </a:p>
        </c:rich>
      </c:tx>
      <c:layout>
        <c:manualLayout>
          <c:xMode val="edge"/>
          <c:yMode val="edge"/>
          <c:x val="0.40661"/>
          <c:y val="0"/>
          <c:w val="0.12617"/>
          <c:h val="0.127579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221355"/>
          <c:y val="0.127579"/>
          <c:w val="0.496679"/>
          <c:h val="0.570634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4"/>
            <c:explosion val="0"/>
            <c:spPr>
              <a:solidFill>
                <a:schemeClr val="accent5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4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Sheet1!$B$1:$F$1</c:f>
              <c:strCache>
                <c:ptCount val="5"/>
                <c:pt idx="0">
                  <c:v>Better aesthetic result </c:v>
                </c:pt>
                <c:pt idx="1">
                  <c:v>Worse aesthetic result  </c:v>
                </c:pt>
                <c:pt idx="2">
                  <c:v>Did not change</c:v>
                </c:pt>
                <c:pt idx="3">
                  <c:v>Implant selection was not effected</c:v>
                </c:pt>
                <c:pt idx="4">
                  <c:v>Other</c:v>
                </c:pt>
              </c:strCache>
            </c:strRef>
          </c:cat>
          <c:val>
            <c:numRef>
              <c:f>Sheet1!$B$2:$F$2</c:f>
              <c:numCache>
                <c:ptCount val="5"/>
                <c:pt idx="0">
                  <c:v>0.056000</c:v>
                </c:pt>
                <c:pt idx="1">
                  <c:v>0.028000</c:v>
                </c:pt>
                <c:pt idx="2">
                  <c:v>0.479000</c:v>
                </c:pt>
                <c:pt idx="3">
                  <c:v>0.380000</c:v>
                </c:pt>
                <c:pt idx="4">
                  <c:v>0.113000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716416"/>
          <c:w val="1"/>
          <c:h val="0.283584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2023</a:t>
            </a:r>
          </a:p>
        </c:rich>
      </c:tx>
      <c:layout>
        <c:manualLayout>
          <c:xMode val="edge"/>
          <c:yMode val="edge"/>
          <c:x val="0.444141"/>
          <c:y val="0"/>
          <c:w val="0.108594"/>
          <c:h val="0.112596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198376"/>
          <c:y val="0.112596"/>
          <c:w val="0.600124"/>
          <c:h val="0.709977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4"/>
            <c:explosion val="0"/>
            <c:spPr>
              <a:solidFill>
                <a:schemeClr val="accent5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4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Sheet1!$B$1:$F$1</c:f>
              <c:strCache>
                <c:ptCount val="5"/>
                <c:pt idx="0">
                  <c:v>Significantly increased</c:v>
                </c:pt>
                <c:pt idx="1">
                  <c:v>Slightly increased </c:v>
                </c:pt>
                <c:pt idx="2">
                  <c:v>Slightly decreased </c:v>
                </c:pt>
                <c:pt idx="3">
                  <c:v>Significantly decreased</c:v>
                </c:pt>
                <c:pt idx="4">
                  <c:v>Did not change</c:v>
                </c:pt>
              </c:strCache>
            </c:strRef>
          </c:cat>
          <c:val>
            <c:numRef>
              <c:f>Sheet1!$B$2:$F$2</c:f>
              <c:numCache>
                <c:ptCount val="5"/>
                <c:pt idx="0">
                  <c:v>0.000000</c:v>
                </c:pt>
                <c:pt idx="1">
                  <c:v>0.183000</c:v>
                </c:pt>
                <c:pt idx="2">
                  <c:v>0.033000</c:v>
                </c:pt>
                <c:pt idx="3">
                  <c:v>0.067000</c:v>
                </c:pt>
                <c:pt idx="4">
                  <c:v>0.717000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843952"/>
          <c:w val="1"/>
          <c:h val="0.156048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2023</a:t>
            </a:r>
          </a:p>
        </c:rich>
      </c:tx>
      <c:layout>
        <c:manualLayout>
          <c:xMode val="edge"/>
          <c:yMode val="edge"/>
          <c:x val="0.386258"/>
          <c:y val="0"/>
          <c:w val="0.118068"/>
          <c:h val="0.158486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192288"/>
          <c:y val="0.158486"/>
          <c:w val="0.506009"/>
          <c:h val="0.62894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4"/>
            <c:explosion val="0"/>
            <c:spPr>
              <a:solidFill>
                <a:schemeClr val="accent5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4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Sheet1!$B$1:$F$1</c:f>
              <c:strCache>
                <c:ptCount val="5"/>
                <c:pt idx="0">
                  <c:v>Significantly increased</c:v>
                </c:pt>
                <c:pt idx="1">
                  <c:v>Slightly increased </c:v>
                </c:pt>
                <c:pt idx="2">
                  <c:v>Slightly decreased </c:v>
                </c:pt>
                <c:pt idx="3">
                  <c:v>Significantly decreased</c:v>
                </c:pt>
                <c:pt idx="4">
                  <c:v>Did not change </c:v>
                </c:pt>
              </c:strCache>
            </c:strRef>
          </c:cat>
          <c:val>
            <c:numRef>
              <c:f>Sheet1!$B$2:$F$2</c:f>
              <c:numCache>
                <c:ptCount val="5"/>
                <c:pt idx="0">
                  <c:v>0.016000</c:v>
                </c:pt>
                <c:pt idx="1">
                  <c:v>0.197000</c:v>
                </c:pt>
                <c:pt idx="2">
                  <c:v>0.049000</c:v>
                </c:pt>
                <c:pt idx="3">
                  <c:v>0.016000</c:v>
                </c:pt>
                <c:pt idx="4">
                  <c:v>0.721000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823161"/>
          <c:w val="1"/>
          <c:h val="0.176839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2023</a:t>
            </a:r>
          </a:p>
        </c:rich>
      </c:tx>
      <c:layout>
        <c:manualLayout>
          <c:xMode val="edge"/>
          <c:yMode val="edge"/>
          <c:x val="0.444373"/>
          <c:y val="0"/>
          <c:w val="0.114378"/>
          <c:h val="0.192776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239131"/>
          <c:y val="0.192776"/>
          <c:w val="0.524862"/>
          <c:h val="0.601949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4"/>
            <c:explosion val="0"/>
            <c:spPr>
              <a:solidFill>
                <a:schemeClr val="accent5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4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.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Sheet1!$B$1:$F$1</c:f>
              <c:strCache>
                <c:ptCount val="5"/>
                <c:pt idx="0">
                  <c:v>Significantly increased</c:v>
                </c:pt>
                <c:pt idx="1">
                  <c:v>Slightly increased </c:v>
                </c:pt>
                <c:pt idx="2">
                  <c:v>Did not change </c:v>
                </c:pt>
                <c:pt idx="3">
                  <c:v>Slightly decreased </c:v>
                </c:pt>
                <c:pt idx="4">
                  <c:v>Significantly decreased</c:v>
                </c:pt>
              </c:strCache>
            </c:strRef>
          </c:cat>
          <c:val>
            <c:numRef>
              <c:f>Sheet1!$B$2:$F$2</c:f>
              <c:numCache>
                <c:ptCount val="5"/>
                <c:pt idx="0">
                  <c:v>0.017000</c:v>
                </c:pt>
                <c:pt idx="1">
                  <c:v>0.017000</c:v>
                </c:pt>
                <c:pt idx="2">
                  <c:v>0.810000</c:v>
                </c:pt>
                <c:pt idx="3">
                  <c:v>0.086000</c:v>
                </c:pt>
                <c:pt idx="4">
                  <c:v>0.069000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802611"/>
          <c:w val="1"/>
          <c:h val="0.172026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title>
      <c:tx>
        <c:rich>
          <a:bodyPr rot="0"/>
          <a:lstStyle/>
          <a:p>
            <a:pPr>
              <a:defRPr b="1" i="0" strike="noStrike" sz="1800" u="none">
                <a:solidFill>
                  <a:srgbClr val="000000"/>
                </a:solidFill>
                <a:latin typeface="Helvetica Neue"/>
              </a:defRPr>
            </a:pPr>
            <a:r>
              <a:rPr b="1" i="0" strike="noStrike" sz="1800" u="none">
                <a:solidFill>
                  <a:srgbClr val="000000"/>
                </a:solidFill>
                <a:latin typeface="Helvetica Neue"/>
              </a:rPr>
              <a:t>אחוזים</a:t>
            </a:r>
          </a:p>
        </c:rich>
      </c:tx>
      <c:layout>
        <c:manualLayout>
          <c:xMode val="edge"/>
          <c:yMode val="edge"/>
          <c:x val="0.422462"/>
          <c:y val="0"/>
          <c:w val="0.155075"/>
          <c:h val="0.110676"/>
        </c:manualLayout>
      </c:layout>
      <c:overlay val="1"/>
      <c:spPr>
        <a:noFill/>
        <a:effectLst/>
      </c:spPr>
    </c:title>
    <c:autoTitleDeleted val="1"/>
    <c:plotArea>
      <c:layout>
        <c:manualLayout>
          <c:layoutTarget val="inner"/>
          <c:xMode val="edge"/>
          <c:yMode val="edge"/>
          <c:x val="0.199938"/>
          <c:y val="0.110676"/>
          <c:w val="0.600124"/>
          <c:h val="0.688363"/>
        </c:manualLayout>
      </c:layout>
      <c:doughnutChart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אחוזים</c:v>
                </c:pt>
              </c:strCache>
            </c:strRef>
          </c:tx>
          <c:spPr>
            <a:solidFill>
              <a:schemeClr val="accent1"/>
            </a:solidFill>
            <a:ln w="19050" cap="flat">
              <a:solidFill>
                <a:srgbClr val="FFFFFF"/>
              </a:solidFill>
              <a:prstDash val="solid"/>
              <a:round/>
            </a:ln>
            <a:effectLst/>
          </c:spPr>
          <c:explosion val="0"/>
          <c:dPt>
            <c:idx val="0"/>
            <c:explosion val="0"/>
            <c:spPr>
              <a:solidFill>
                <a:schemeClr val="accent1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1"/>
            <c:explosion val="0"/>
            <c:spPr>
              <a:solidFill>
                <a:schemeClr val="accent2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2"/>
            <c:explosion val="0"/>
            <c:spPr>
              <a:solidFill>
                <a:schemeClr val="accent3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3"/>
            <c:explosion val="0"/>
            <c:spPr>
              <a:solidFill>
                <a:schemeClr val="accent4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Pt>
            <c:idx val="4"/>
            <c:explosion val="0"/>
            <c:spPr>
              <a:solidFill>
                <a:schemeClr val="accent5"/>
              </a:solidFill>
              <a:ln w="19050" cap="flat">
                <a:solidFill>
                  <a:srgbClr val="FFFFFF"/>
                </a:solidFill>
                <a:prstDash val="solid"/>
                <a:round/>
              </a:ln>
              <a:effectLst/>
            </c:spPr>
          </c:dPt>
          <c:dLbls>
            <c:dLbl>
              <c:idx val="0"/>
              <c:numFmt formatCode="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4"/>
              <c:numFmt formatCode="0.0%" sourceLinked="0"/>
              <c:txPr>
                <a:bodyPr/>
                <a:lstStyle/>
                <a:p>
                  <a:pPr>
                    <a:defRPr b="1" i="0" strike="noStrike" sz="1400" u="none">
                      <a:solidFill>
                        <a:srgbClr val="404040"/>
                      </a:solidFill>
                      <a:latin typeface="Helvetica Neue"/>
                    </a:defRPr>
                  </a:pPr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numFmt formatCode="0%" sourceLinked="0"/>
            <c:txPr>
              <a:bodyPr/>
              <a:lstStyle/>
              <a:p>
                <a:pPr>
                  <a:defRPr b="1" i="0" strike="noStrike" sz="1400" u="none">
                    <a:solidFill>
                      <a:srgbClr val="404040"/>
                    </a:solidFill>
                    <a:latin typeface="Helvetica Neue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noFill/>
                <a:ln w="9525" cap="flat">
                  <a:solidFill>
                    <a:srgbClr val="A6A6A6"/>
                  </a:solidFill>
                  <a:prstDash val="solid"/>
                  <a:round/>
                </a:ln>
                <a:effectLst/>
              </c:spPr>
            </c:leaderLines>
          </c:dLbls>
          <c:cat>
            <c:strRef>
              <c:f>Sheet1!$B$1:$F$1</c:f>
              <c:strCache>
                <c:ptCount val="5"/>
                <c:pt idx="0">
                  <c:v>Significantly increased</c:v>
                </c:pt>
                <c:pt idx="1">
                  <c:v>Slightly increased</c:v>
                </c:pt>
                <c:pt idx="2">
                  <c:v>Did not cange</c:v>
                </c:pt>
                <c:pt idx="3">
                  <c:v>Slightly decreased</c:v>
                </c:pt>
                <c:pt idx="4">
                  <c:v>Significantly decreased</c:v>
                </c:pt>
              </c:strCache>
            </c:strRef>
          </c:cat>
          <c:val>
            <c:numRef>
              <c:f>Sheet1!$B$2:$F$2</c:f>
              <c:numCache>
                <c:ptCount val="5"/>
                <c:pt idx="0">
                  <c:v>0.000000</c:v>
                </c:pt>
                <c:pt idx="1">
                  <c:v>0.085000</c:v>
                </c:pt>
                <c:pt idx="2">
                  <c:v>0.695000</c:v>
                </c:pt>
                <c:pt idx="3">
                  <c:v>0.153000</c:v>
                </c:pt>
                <c:pt idx="4">
                  <c:v>0.068000</c:v>
                </c:pt>
              </c:numCache>
            </c:numRef>
          </c:val>
        </c:ser>
        <c:firstSliceAng val="0"/>
        <c:holeSize val="70"/>
      </c:doughnut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84008"/>
          <c:w val="1"/>
          <c:h val="0.15992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1" i="0" strike="noStrike" sz="1200" u="none">
              <a:solidFill>
                <a:srgbClr val="595959"/>
              </a:solidFill>
              <a:latin typeface="Helvetica Neue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