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6DE3" w14:textId="41478EEF" w:rsidR="006664DF" w:rsidRPr="005C0971" w:rsidRDefault="006664DF" w:rsidP="006664DF">
      <w:pPr>
        <w:spacing w:after="0" w:line="360" w:lineRule="auto"/>
        <w:rPr>
          <w:b/>
          <w:bCs/>
        </w:rPr>
      </w:pPr>
      <w:r w:rsidRPr="005C0971">
        <w:rPr>
          <w:b/>
          <w:bCs/>
        </w:rPr>
        <w:t xml:space="preserve">Table </w:t>
      </w:r>
      <w:r>
        <w:rPr>
          <w:b/>
          <w:bCs/>
        </w:rPr>
        <w:t>S</w:t>
      </w:r>
      <w:r w:rsidRPr="005C0971">
        <w:rPr>
          <w:b/>
          <w:bCs/>
        </w:rPr>
        <w:t xml:space="preserve">1: Sample notes from inductive analytic matrix </w:t>
      </w:r>
    </w:p>
    <w:tbl>
      <w:tblPr>
        <w:tblStyle w:val="TableGrid"/>
        <w:tblW w:w="5000" w:type="pct"/>
        <w:tblLook w:val="04A0" w:firstRow="1" w:lastRow="0" w:firstColumn="1" w:lastColumn="0" w:noHBand="0" w:noVBand="1"/>
      </w:tblPr>
      <w:tblGrid>
        <w:gridCol w:w="1797"/>
        <w:gridCol w:w="2518"/>
        <w:gridCol w:w="2518"/>
        <w:gridCol w:w="2518"/>
        <w:gridCol w:w="2518"/>
        <w:gridCol w:w="2521"/>
      </w:tblGrid>
      <w:tr w:rsidR="006664DF" w:rsidRPr="00661832" w14:paraId="515BC7EF" w14:textId="77777777" w:rsidTr="005C0971">
        <w:tc>
          <w:tcPr>
            <w:tcW w:w="5000" w:type="pct"/>
            <w:gridSpan w:val="6"/>
            <w:shd w:val="clear" w:color="auto" w:fill="E8E8E8" w:themeFill="background2"/>
          </w:tcPr>
          <w:p w14:paraId="42A865F2" w14:textId="77777777" w:rsidR="006664DF" w:rsidRPr="00661832" w:rsidRDefault="006664DF" w:rsidP="005C0971">
            <w:pPr>
              <w:rPr>
                <w:rFonts w:ascii="Arial" w:hAnsi="Arial" w:cs="Arial"/>
                <w:b/>
                <w:bCs/>
                <w:sz w:val="20"/>
                <w:szCs w:val="20"/>
              </w:rPr>
            </w:pPr>
            <w:r w:rsidRPr="00661832">
              <w:rPr>
                <w:rFonts w:ascii="Arial" w:hAnsi="Arial" w:cs="Arial"/>
                <w:b/>
                <w:bCs/>
                <w:sz w:val="20"/>
                <w:szCs w:val="20"/>
              </w:rPr>
              <w:t>Outer setting</w:t>
            </w:r>
          </w:p>
        </w:tc>
      </w:tr>
      <w:tr w:rsidR="006664DF" w:rsidRPr="00661832" w14:paraId="76361A1A" w14:textId="77777777" w:rsidTr="005C0971">
        <w:tc>
          <w:tcPr>
            <w:tcW w:w="624" w:type="pct"/>
            <w:shd w:val="clear" w:color="auto" w:fill="auto"/>
          </w:tcPr>
          <w:p w14:paraId="4911FF8E" w14:textId="77777777" w:rsidR="006664DF" w:rsidRPr="00661832" w:rsidRDefault="006664DF" w:rsidP="005C0971">
            <w:pPr>
              <w:rPr>
                <w:rFonts w:ascii="Arial" w:hAnsi="Arial" w:cs="Arial"/>
                <w:sz w:val="20"/>
                <w:szCs w:val="20"/>
              </w:rPr>
            </w:pPr>
          </w:p>
        </w:tc>
        <w:tc>
          <w:tcPr>
            <w:tcW w:w="875" w:type="pct"/>
            <w:shd w:val="clear" w:color="auto" w:fill="auto"/>
          </w:tcPr>
          <w:p w14:paraId="5285BB5C" w14:textId="77777777" w:rsidR="006664DF" w:rsidRPr="00661832" w:rsidRDefault="006664DF" w:rsidP="005C0971">
            <w:pPr>
              <w:jc w:val="center"/>
              <w:rPr>
                <w:rFonts w:ascii="Arial" w:hAnsi="Arial" w:cs="Arial"/>
                <w:i/>
                <w:iCs/>
                <w:sz w:val="20"/>
                <w:szCs w:val="20"/>
              </w:rPr>
            </w:pPr>
            <w:r w:rsidRPr="00661832">
              <w:rPr>
                <w:rFonts w:ascii="Arial" w:hAnsi="Arial" w:cs="Arial"/>
                <w:i/>
                <w:iCs/>
                <w:sz w:val="20"/>
                <w:szCs w:val="20"/>
              </w:rPr>
              <w:t>YMNN</w:t>
            </w:r>
          </w:p>
        </w:tc>
        <w:tc>
          <w:tcPr>
            <w:tcW w:w="875" w:type="pct"/>
            <w:shd w:val="clear" w:color="auto" w:fill="auto"/>
          </w:tcPr>
          <w:p w14:paraId="6F718AEA" w14:textId="77777777" w:rsidR="006664DF" w:rsidRPr="00661832" w:rsidRDefault="006664DF" w:rsidP="005C0971">
            <w:pPr>
              <w:jc w:val="center"/>
              <w:rPr>
                <w:rFonts w:ascii="Arial" w:hAnsi="Arial" w:cs="Arial"/>
                <w:i/>
                <w:iCs/>
                <w:sz w:val="20"/>
                <w:szCs w:val="20"/>
              </w:rPr>
            </w:pPr>
            <w:r w:rsidRPr="00661832">
              <w:rPr>
                <w:rFonts w:ascii="Arial" w:hAnsi="Arial" w:cs="Arial"/>
                <w:i/>
                <w:iCs/>
                <w:sz w:val="20"/>
                <w:szCs w:val="20"/>
              </w:rPr>
              <w:t>#GC</w:t>
            </w:r>
          </w:p>
        </w:tc>
        <w:tc>
          <w:tcPr>
            <w:tcW w:w="875" w:type="pct"/>
            <w:shd w:val="clear" w:color="auto" w:fill="auto"/>
          </w:tcPr>
          <w:p w14:paraId="71EB32AF" w14:textId="77777777" w:rsidR="006664DF" w:rsidRPr="00661832" w:rsidRDefault="006664DF" w:rsidP="005C0971">
            <w:pPr>
              <w:jc w:val="center"/>
              <w:rPr>
                <w:rFonts w:ascii="Arial" w:hAnsi="Arial" w:cs="Arial"/>
                <w:i/>
                <w:iCs/>
                <w:sz w:val="20"/>
                <w:szCs w:val="20"/>
              </w:rPr>
            </w:pPr>
            <w:r w:rsidRPr="00661832">
              <w:rPr>
                <w:rFonts w:ascii="Arial" w:hAnsi="Arial" w:cs="Arial"/>
                <w:i/>
                <w:iCs/>
                <w:sz w:val="20"/>
                <w:szCs w:val="20"/>
              </w:rPr>
              <w:t>ISHIPUS</w:t>
            </w:r>
          </w:p>
        </w:tc>
        <w:tc>
          <w:tcPr>
            <w:tcW w:w="875" w:type="pct"/>
            <w:shd w:val="clear" w:color="auto" w:fill="auto"/>
          </w:tcPr>
          <w:p w14:paraId="67045131" w14:textId="77777777" w:rsidR="006664DF" w:rsidRPr="00661832" w:rsidRDefault="006664DF" w:rsidP="005C0971">
            <w:pPr>
              <w:jc w:val="center"/>
              <w:rPr>
                <w:rFonts w:ascii="Arial" w:hAnsi="Arial" w:cs="Arial"/>
                <w:i/>
                <w:iCs/>
                <w:sz w:val="20"/>
                <w:szCs w:val="20"/>
              </w:rPr>
            </w:pPr>
            <w:r w:rsidRPr="00661832">
              <w:rPr>
                <w:rFonts w:ascii="Arial" w:hAnsi="Arial" w:cs="Arial"/>
                <w:i/>
                <w:iCs/>
                <w:sz w:val="20"/>
                <w:szCs w:val="20"/>
              </w:rPr>
              <w:t xml:space="preserve">Ntombi </w:t>
            </w:r>
            <w:proofErr w:type="spellStart"/>
            <w:r w:rsidRPr="00661832">
              <w:rPr>
                <w:rFonts w:ascii="Arial" w:hAnsi="Arial" w:cs="Arial"/>
                <w:i/>
                <w:iCs/>
                <w:sz w:val="20"/>
                <w:szCs w:val="20"/>
              </w:rPr>
              <w:t>Vimbela</w:t>
            </w:r>
            <w:proofErr w:type="spellEnd"/>
          </w:p>
        </w:tc>
        <w:tc>
          <w:tcPr>
            <w:tcW w:w="876" w:type="pct"/>
            <w:shd w:val="clear" w:color="auto" w:fill="auto"/>
          </w:tcPr>
          <w:p w14:paraId="2BABBB1D" w14:textId="77777777" w:rsidR="006664DF" w:rsidRPr="00661832" w:rsidRDefault="006664DF" w:rsidP="005C0971">
            <w:pPr>
              <w:jc w:val="center"/>
              <w:rPr>
                <w:rFonts w:ascii="Arial" w:hAnsi="Arial" w:cs="Arial"/>
                <w:i/>
                <w:iCs/>
                <w:sz w:val="20"/>
                <w:szCs w:val="20"/>
              </w:rPr>
            </w:pPr>
            <w:r w:rsidRPr="00661832">
              <w:rPr>
                <w:rFonts w:ascii="Arial" w:hAnsi="Arial" w:cs="Arial"/>
                <w:i/>
                <w:iCs/>
                <w:sz w:val="20"/>
                <w:szCs w:val="20"/>
              </w:rPr>
              <w:t>Unique concerns?</w:t>
            </w:r>
          </w:p>
        </w:tc>
      </w:tr>
      <w:tr w:rsidR="006664DF" w:rsidRPr="00661832" w14:paraId="74B2BD0B" w14:textId="77777777" w:rsidTr="005C0971">
        <w:tc>
          <w:tcPr>
            <w:tcW w:w="624" w:type="pct"/>
            <w:shd w:val="clear" w:color="auto" w:fill="auto"/>
          </w:tcPr>
          <w:p w14:paraId="14945E18" w14:textId="77777777" w:rsidR="006664DF" w:rsidRPr="00661832" w:rsidRDefault="006664DF" w:rsidP="005C0971">
            <w:pPr>
              <w:rPr>
                <w:rFonts w:ascii="Arial" w:hAnsi="Arial" w:cs="Arial"/>
                <w:sz w:val="20"/>
                <w:szCs w:val="20"/>
              </w:rPr>
            </w:pPr>
            <w:r w:rsidRPr="00661832">
              <w:rPr>
                <w:rFonts w:ascii="Arial" w:hAnsi="Arial" w:cs="Arial"/>
                <w:sz w:val="20"/>
                <w:szCs w:val="20"/>
              </w:rPr>
              <w:t>Critical incidents</w:t>
            </w:r>
          </w:p>
        </w:tc>
        <w:tc>
          <w:tcPr>
            <w:tcW w:w="875" w:type="pct"/>
            <w:shd w:val="clear" w:color="auto" w:fill="auto"/>
          </w:tcPr>
          <w:p w14:paraId="1AEA81EF" w14:textId="77777777" w:rsidR="006664DF" w:rsidRPr="00661832" w:rsidRDefault="006664DF" w:rsidP="005C0971">
            <w:pPr>
              <w:rPr>
                <w:rFonts w:ascii="Arial" w:hAnsi="Arial" w:cs="Arial"/>
                <w:sz w:val="20"/>
                <w:szCs w:val="20"/>
              </w:rPr>
            </w:pPr>
            <w:r w:rsidRPr="00661832">
              <w:rPr>
                <w:rFonts w:ascii="Arial" w:hAnsi="Arial" w:cs="Arial"/>
                <w:sz w:val="20"/>
                <w:szCs w:val="20"/>
              </w:rPr>
              <w:t xml:space="preserve">Political unrest </w:t>
            </w:r>
          </w:p>
          <w:p w14:paraId="31875EAE" w14:textId="77777777" w:rsidR="006664DF" w:rsidRPr="00661832" w:rsidRDefault="006664DF" w:rsidP="005C0971">
            <w:pPr>
              <w:rPr>
                <w:rFonts w:ascii="Arial" w:hAnsi="Arial" w:cs="Arial"/>
                <w:sz w:val="20"/>
                <w:szCs w:val="20"/>
              </w:rPr>
            </w:pPr>
          </w:p>
          <w:p w14:paraId="3147FD2C" w14:textId="77777777" w:rsidR="006664DF" w:rsidRPr="00661832" w:rsidRDefault="006664DF" w:rsidP="005C0971">
            <w:pPr>
              <w:rPr>
                <w:rFonts w:ascii="Arial" w:hAnsi="Arial" w:cs="Arial"/>
                <w:sz w:val="20"/>
                <w:szCs w:val="20"/>
              </w:rPr>
            </w:pPr>
            <w:r w:rsidRPr="00661832">
              <w:rPr>
                <w:rFonts w:ascii="Arial" w:hAnsi="Arial" w:cs="Arial"/>
                <w:sz w:val="20"/>
                <w:szCs w:val="20"/>
              </w:rPr>
              <w:t xml:space="preserve">Student protests/strikes </w:t>
            </w:r>
          </w:p>
        </w:tc>
        <w:tc>
          <w:tcPr>
            <w:tcW w:w="875" w:type="pct"/>
            <w:shd w:val="clear" w:color="auto" w:fill="auto"/>
          </w:tcPr>
          <w:p w14:paraId="31C85129" w14:textId="77777777" w:rsidR="006664DF" w:rsidRPr="00661832" w:rsidRDefault="006664DF" w:rsidP="005C0971">
            <w:pPr>
              <w:rPr>
                <w:rFonts w:ascii="Arial" w:hAnsi="Arial" w:cs="Arial"/>
                <w:sz w:val="20"/>
                <w:szCs w:val="20"/>
              </w:rPr>
            </w:pPr>
            <w:r w:rsidRPr="00661832">
              <w:rPr>
                <w:rFonts w:ascii="Arial" w:hAnsi="Arial" w:cs="Arial"/>
                <w:sz w:val="20"/>
                <w:szCs w:val="20"/>
              </w:rPr>
              <w:t>SODV bill passed immediately prior to pilot</w:t>
            </w:r>
          </w:p>
          <w:p w14:paraId="6CDE5301" w14:textId="77777777" w:rsidR="006664DF" w:rsidRPr="00661832" w:rsidRDefault="006664DF" w:rsidP="005C0971">
            <w:pPr>
              <w:rPr>
                <w:rFonts w:ascii="Arial" w:hAnsi="Arial" w:cs="Arial"/>
                <w:sz w:val="20"/>
                <w:szCs w:val="20"/>
              </w:rPr>
            </w:pPr>
          </w:p>
          <w:p w14:paraId="282347A6" w14:textId="77777777" w:rsidR="006664DF" w:rsidRPr="00661832" w:rsidRDefault="006664DF" w:rsidP="005C0971">
            <w:pPr>
              <w:rPr>
                <w:rFonts w:ascii="Arial" w:hAnsi="Arial" w:cs="Arial"/>
                <w:sz w:val="20"/>
                <w:szCs w:val="20"/>
              </w:rPr>
            </w:pPr>
            <w:r w:rsidRPr="00661832">
              <w:rPr>
                <w:rFonts w:ascii="Arial" w:hAnsi="Arial" w:cs="Arial"/>
                <w:sz w:val="20"/>
                <w:szCs w:val="20"/>
              </w:rPr>
              <w:t>COVID-19 pandemic truncated RCT to pilot</w:t>
            </w:r>
          </w:p>
          <w:p w14:paraId="6C806F90" w14:textId="77777777" w:rsidR="006664DF" w:rsidRPr="00661832" w:rsidRDefault="006664DF" w:rsidP="005C0971">
            <w:pPr>
              <w:rPr>
                <w:rFonts w:ascii="Arial" w:hAnsi="Arial" w:cs="Arial"/>
                <w:sz w:val="20"/>
                <w:szCs w:val="20"/>
              </w:rPr>
            </w:pPr>
          </w:p>
          <w:p w14:paraId="1644D35D" w14:textId="77777777" w:rsidR="006664DF" w:rsidRPr="00661832" w:rsidRDefault="006664DF" w:rsidP="005C0971">
            <w:pPr>
              <w:rPr>
                <w:rFonts w:ascii="Arial" w:hAnsi="Arial" w:cs="Arial"/>
                <w:sz w:val="20"/>
                <w:szCs w:val="20"/>
              </w:rPr>
            </w:pPr>
            <w:r w:rsidRPr="00661832">
              <w:rPr>
                <w:rFonts w:ascii="Arial" w:hAnsi="Arial" w:cs="Arial"/>
                <w:sz w:val="20"/>
                <w:szCs w:val="20"/>
              </w:rPr>
              <w:t>Student activism and strikes related to alleged misconduct of university staff member</w:t>
            </w:r>
          </w:p>
        </w:tc>
        <w:tc>
          <w:tcPr>
            <w:tcW w:w="875" w:type="pct"/>
            <w:shd w:val="clear" w:color="auto" w:fill="auto"/>
          </w:tcPr>
          <w:p w14:paraId="696D4769" w14:textId="77777777" w:rsidR="006664DF" w:rsidRPr="00661832" w:rsidRDefault="006664DF" w:rsidP="005C0971">
            <w:pPr>
              <w:rPr>
                <w:rFonts w:ascii="Arial" w:hAnsi="Arial" w:cs="Arial"/>
                <w:sz w:val="20"/>
                <w:szCs w:val="20"/>
              </w:rPr>
            </w:pPr>
            <w:r w:rsidRPr="00661832">
              <w:rPr>
                <w:rFonts w:ascii="Arial" w:hAnsi="Arial" w:cs="Arial"/>
                <w:sz w:val="20"/>
                <w:szCs w:val="20"/>
              </w:rPr>
              <w:t>Student encampments in Fall 2023, political unrest</w:t>
            </w:r>
          </w:p>
          <w:p w14:paraId="205982EE" w14:textId="77777777" w:rsidR="006664DF" w:rsidRPr="00661832" w:rsidRDefault="006664DF" w:rsidP="005C0971">
            <w:pPr>
              <w:rPr>
                <w:rFonts w:ascii="Arial" w:hAnsi="Arial" w:cs="Arial"/>
                <w:sz w:val="20"/>
                <w:szCs w:val="20"/>
              </w:rPr>
            </w:pPr>
          </w:p>
          <w:p w14:paraId="25009AA3" w14:textId="77777777" w:rsidR="006664DF" w:rsidRPr="00661832" w:rsidRDefault="006664DF" w:rsidP="005C0971">
            <w:pPr>
              <w:rPr>
                <w:rFonts w:ascii="Arial" w:hAnsi="Arial" w:cs="Arial"/>
                <w:sz w:val="20"/>
                <w:szCs w:val="20"/>
              </w:rPr>
            </w:pPr>
            <w:r w:rsidRPr="00661832">
              <w:rPr>
                <w:rFonts w:ascii="Arial" w:hAnsi="Arial" w:cs="Arial"/>
                <w:sz w:val="20"/>
                <w:szCs w:val="20"/>
              </w:rPr>
              <w:t>Ongoing graduate student strike activity throughout Spring 2024</w:t>
            </w:r>
          </w:p>
        </w:tc>
        <w:tc>
          <w:tcPr>
            <w:tcW w:w="875" w:type="pct"/>
            <w:shd w:val="clear" w:color="auto" w:fill="auto"/>
          </w:tcPr>
          <w:p w14:paraId="23391F35" w14:textId="77777777" w:rsidR="006664DF" w:rsidRPr="00661832" w:rsidRDefault="006664DF" w:rsidP="005C0971">
            <w:pPr>
              <w:rPr>
                <w:rFonts w:ascii="Arial" w:hAnsi="Arial" w:cs="Arial"/>
                <w:sz w:val="20"/>
                <w:szCs w:val="20"/>
              </w:rPr>
            </w:pPr>
            <w:r w:rsidRPr="00661832">
              <w:rPr>
                <w:rFonts w:ascii="Arial" w:hAnsi="Arial" w:cs="Arial"/>
                <w:sz w:val="20"/>
                <w:szCs w:val="20"/>
              </w:rPr>
              <w:t>Student protests and strikes</w:t>
            </w:r>
          </w:p>
          <w:p w14:paraId="616EEC60" w14:textId="77777777" w:rsidR="006664DF" w:rsidRPr="00661832" w:rsidRDefault="006664DF" w:rsidP="005C0971">
            <w:pPr>
              <w:rPr>
                <w:rFonts w:ascii="Arial" w:hAnsi="Arial" w:cs="Arial"/>
                <w:sz w:val="20"/>
                <w:szCs w:val="20"/>
              </w:rPr>
            </w:pPr>
          </w:p>
          <w:p w14:paraId="776EFA96" w14:textId="77777777" w:rsidR="006664DF" w:rsidRPr="00661832" w:rsidRDefault="006664DF" w:rsidP="005C0971">
            <w:pPr>
              <w:rPr>
                <w:rFonts w:ascii="Arial" w:hAnsi="Arial" w:cs="Arial"/>
                <w:sz w:val="20"/>
                <w:szCs w:val="20"/>
              </w:rPr>
            </w:pPr>
            <w:r w:rsidRPr="00661832">
              <w:rPr>
                <w:rFonts w:ascii="Arial" w:hAnsi="Arial" w:cs="Arial"/>
                <w:sz w:val="20"/>
                <w:szCs w:val="20"/>
              </w:rPr>
              <w:t>Conflicts with sporting events required scheduling flexibility</w:t>
            </w:r>
          </w:p>
        </w:tc>
        <w:tc>
          <w:tcPr>
            <w:tcW w:w="876" w:type="pct"/>
            <w:shd w:val="clear" w:color="auto" w:fill="auto"/>
          </w:tcPr>
          <w:p w14:paraId="779032EB" w14:textId="77777777" w:rsidR="006664DF" w:rsidRPr="00661832" w:rsidRDefault="006664DF" w:rsidP="005C0971">
            <w:pPr>
              <w:rPr>
                <w:rFonts w:ascii="Arial" w:hAnsi="Arial" w:cs="Arial"/>
                <w:sz w:val="20"/>
                <w:szCs w:val="20"/>
              </w:rPr>
            </w:pPr>
            <w:r w:rsidRPr="00661832">
              <w:rPr>
                <w:rFonts w:ascii="Arial" w:hAnsi="Arial" w:cs="Arial"/>
                <w:sz w:val="20"/>
                <w:szCs w:val="20"/>
              </w:rPr>
              <w:t>Student activism</w:t>
            </w:r>
          </w:p>
          <w:p w14:paraId="71FE46E5" w14:textId="77777777" w:rsidR="006664DF" w:rsidRPr="00661832" w:rsidRDefault="006664DF" w:rsidP="005C0971">
            <w:pPr>
              <w:rPr>
                <w:rFonts w:ascii="Arial" w:hAnsi="Arial" w:cs="Arial"/>
                <w:sz w:val="20"/>
                <w:szCs w:val="20"/>
              </w:rPr>
            </w:pPr>
          </w:p>
          <w:p w14:paraId="42F2C430" w14:textId="77777777" w:rsidR="006664DF" w:rsidRPr="00661832" w:rsidRDefault="006664DF" w:rsidP="005C0971">
            <w:pPr>
              <w:rPr>
                <w:rFonts w:ascii="Arial" w:hAnsi="Arial" w:cs="Arial"/>
                <w:sz w:val="20"/>
                <w:szCs w:val="20"/>
              </w:rPr>
            </w:pPr>
            <w:r w:rsidRPr="00661832">
              <w:rPr>
                <w:rFonts w:ascii="Arial" w:hAnsi="Arial" w:cs="Arial"/>
                <w:sz w:val="20"/>
                <w:szCs w:val="20"/>
              </w:rPr>
              <w:t>Impact of outside sociopolitical events on project salience</w:t>
            </w:r>
          </w:p>
          <w:p w14:paraId="765D4F29" w14:textId="77777777" w:rsidR="006664DF" w:rsidRPr="00661832" w:rsidRDefault="006664DF" w:rsidP="005C0971">
            <w:pPr>
              <w:rPr>
                <w:rFonts w:ascii="Arial" w:hAnsi="Arial" w:cs="Arial"/>
                <w:sz w:val="20"/>
                <w:szCs w:val="20"/>
              </w:rPr>
            </w:pPr>
          </w:p>
        </w:tc>
      </w:tr>
      <w:tr w:rsidR="006664DF" w:rsidRPr="00661832" w14:paraId="4B41E8EF" w14:textId="77777777" w:rsidTr="005C0971">
        <w:tc>
          <w:tcPr>
            <w:tcW w:w="624" w:type="pct"/>
            <w:shd w:val="clear" w:color="auto" w:fill="auto"/>
          </w:tcPr>
          <w:p w14:paraId="080B5772" w14:textId="77777777" w:rsidR="006664DF" w:rsidRPr="00661832" w:rsidRDefault="006664DF" w:rsidP="005C0971">
            <w:pPr>
              <w:rPr>
                <w:rFonts w:ascii="Arial" w:hAnsi="Arial" w:cs="Arial"/>
                <w:sz w:val="20"/>
                <w:szCs w:val="20"/>
              </w:rPr>
            </w:pPr>
            <w:r w:rsidRPr="00661832">
              <w:rPr>
                <w:rFonts w:ascii="Arial" w:hAnsi="Arial" w:cs="Arial"/>
                <w:sz w:val="20"/>
                <w:szCs w:val="20"/>
              </w:rPr>
              <w:t>Policies and laws</w:t>
            </w:r>
          </w:p>
        </w:tc>
        <w:tc>
          <w:tcPr>
            <w:tcW w:w="875" w:type="pct"/>
            <w:shd w:val="clear" w:color="auto" w:fill="auto"/>
          </w:tcPr>
          <w:p w14:paraId="36265B0D" w14:textId="77777777" w:rsidR="006664DF" w:rsidRPr="00661832" w:rsidRDefault="006664DF" w:rsidP="005C0971">
            <w:pPr>
              <w:rPr>
                <w:rFonts w:ascii="Arial" w:hAnsi="Arial" w:cs="Arial"/>
                <w:sz w:val="20"/>
                <w:szCs w:val="20"/>
              </w:rPr>
            </w:pPr>
            <w:r w:rsidRPr="00661832">
              <w:rPr>
                <w:rFonts w:ascii="Arial" w:hAnsi="Arial" w:cs="Arial"/>
                <w:sz w:val="20"/>
                <w:szCs w:val="20"/>
              </w:rPr>
              <w:t xml:space="preserve">The initial conceptualization of the intervention was centered around UNESWA Sexual Harassment Policy. </w:t>
            </w:r>
          </w:p>
          <w:p w14:paraId="787FC2C2" w14:textId="77777777" w:rsidR="006664DF" w:rsidRPr="00661832" w:rsidRDefault="006664DF" w:rsidP="005C0971">
            <w:pPr>
              <w:rPr>
                <w:rFonts w:ascii="Arial" w:hAnsi="Arial" w:cs="Arial"/>
                <w:sz w:val="20"/>
                <w:szCs w:val="20"/>
              </w:rPr>
            </w:pPr>
          </w:p>
          <w:p w14:paraId="585F7FCA" w14:textId="77777777" w:rsidR="006664DF" w:rsidRPr="00661832" w:rsidRDefault="006664DF" w:rsidP="005C0971">
            <w:pPr>
              <w:rPr>
                <w:rFonts w:ascii="Arial" w:hAnsi="Arial" w:cs="Arial"/>
                <w:sz w:val="20"/>
                <w:szCs w:val="20"/>
              </w:rPr>
            </w:pPr>
            <w:r w:rsidRPr="00661832">
              <w:rPr>
                <w:rFonts w:ascii="Arial" w:hAnsi="Arial" w:cs="Arial"/>
                <w:sz w:val="20"/>
                <w:szCs w:val="20"/>
              </w:rPr>
              <w:t>Delays from the local IRB review led to fielding study as programmatic pilot rather than initially planned RCT.</w:t>
            </w:r>
          </w:p>
        </w:tc>
        <w:tc>
          <w:tcPr>
            <w:tcW w:w="875" w:type="pct"/>
            <w:shd w:val="clear" w:color="auto" w:fill="auto"/>
          </w:tcPr>
          <w:p w14:paraId="62B65733" w14:textId="77777777" w:rsidR="006664DF" w:rsidRPr="00661832" w:rsidRDefault="006664DF" w:rsidP="005C0971">
            <w:pPr>
              <w:rPr>
                <w:rFonts w:ascii="Arial" w:hAnsi="Arial" w:cs="Arial"/>
                <w:sz w:val="20"/>
                <w:szCs w:val="20"/>
              </w:rPr>
            </w:pPr>
            <w:r w:rsidRPr="00661832">
              <w:rPr>
                <w:rFonts w:ascii="Arial" w:hAnsi="Arial" w:cs="Arial"/>
                <w:sz w:val="20"/>
                <w:szCs w:val="20"/>
              </w:rPr>
              <w:t>Mandatory reporting laws were unclear which made it hard to know what to do programmatically and for IRB review</w:t>
            </w:r>
          </w:p>
        </w:tc>
        <w:tc>
          <w:tcPr>
            <w:tcW w:w="875" w:type="pct"/>
            <w:shd w:val="clear" w:color="auto" w:fill="auto"/>
          </w:tcPr>
          <w:p w14:paraId="083C322C" w14:textId="77777777" w:rsidR="006664DF" w:rsidRPr="00661832" w:rsidRDefault="006664DF" w:rsidP="005C0971">
            <w:pPr>
              <w:rPr>
                <w:rFonts w:ascii="Arial" w:hAnsi="Arial" w:cs="Arial"/>
                <w:sz w:val="20"/>
                <w:szCs w:val="20"/>
              </w:rPr>
            </w:pPr>
            <w:r w:rsidRPr="00661832">
              <w:rPr>
                <w:rFonts w:ascii="Arial" w:hAnsi="Arial" w:cs="Arial"/>
                <w:sz w:val="20"/>
                <w:szCs w:val="20"/>
              </w:rPr>
              <w:t xml:space="preserve">State mandates that universities provide consent education, but does not require the education be evidence-informed </w:t>
            </w:r>
          </w:p>
          <w:p w14:paraId="085D7204" w14:textId="77777777" w:rsidR="006664DF" w:rsidRPr="00661832" w:rsidRDefault="006664DF" w:rsidP="005C0971">
            <w:pPr>
              <w:rPr>
                <w:rFonts w:ascii="Arial" w:hAnsi="Arial" w:cs="Arial"/>
                <w:sz w:val="20"/>
                <w:szCs w:val="20"/>
              </w:rPr>
            </w:pPr>
          </w:p>
          <w:p w14:paraId="03EBC77E" w14:textId="77777777" w:rsidR="006664DF" w:rsidRPr="00661832" w:rsidRDefault="006664DF" w:rsidP="005C0971">
            <w:pPr>
              <w:rPr>
                <w:rFonts w:ascii="Arial" w:hAnsi="Arial" w:cs="Arial"/>
                <w:sz w:val="20"/>
                <w:szCs w:val="20"/>
              </w:rPr>
            </w:pPr>
            <w:r w:rsidRPr="00661832">
              <w:rPr>
                <w:rFonts w:ascii="Arial" w:hAnsi="Arial" w:cs="Arial"/>
                <w:sz w:val="20"/>
                <w:szCs w:val="20"/>
              </w:rPr>
              <w:t>All UC employees are mandated reporters with exceptions for research. Exceptions do not apply to conversations with student advisory board</w:t>
            </w:r>
          </w:p>
        </w:tc>
        <w:tc>
          <w:tcPr>
            <w:tcW w:w="875" w:type="pct"/>
            <w:shd w:val="clear" w:color="auto" w:fill="auto"/>
          </w:tcPr>
          <w:p w14:paraId="0750DD8E" w14:textId="77777777" w:rsidR="006664DF" w:rsidRPr="00661832" w:rsidRDefault="006664DF" w:rsidP="005C0971">
            <w:pPr>
              <w:rPr>
                <w:rFonts w:ascii="Arial" w:hAnsi="Arial" w:cs="Arial"/>
                <w:sz w:val="20"/>
                <w:szCs w:val="20"/>
              </w:rPr>
            </w:pPr>
            <w:r w:rsidRPr="00661832">
              <w:rPr>
                <w:rFonts w:ascii="Arial" w:hAnsi="Arial" w:cs="Arial"/>
                <w:sz w:val="20"/>
                <w:szCs w:val="20"/>
              </w:rPr>
              <w:t>Revised Amended Sexual Offences Act states that women under the age of 25 in higher education or living in a res are defined as ‘vulnerable’ and places an obligation on anyone how has ‘knowledge, reasonable belief or suspicion’ that a person has been a victim of a sexual offence to report this to the police.</w:t>
            </w:r>
          </w:p>
        </w:tc>
        <w:tc>
          <w:tcPr>
            <w:tcW w:w="876" w:type="pct"/>
            <w:shd w:val="clear" w:color="auto" w:fill="auto"/>
          </w:tcPr>
          <w:p w14:paraId="44504D94" w14:textId="77777777" w:rsidR="006664DF" w:rsidRPr="00661832" w:rsidRDefault="006664DF" w:rsidP="005C0971">
            <w:pPr>
              <w:rPr>
                <w:rFonts w:ascii="Arial" w:hAnsi="Arial" w:cs="Arial"/>
                <w:sz w:val="20"/>
                <w:szCs w:val="20"/>
              </w:rPr>
            </w:pPr>
            <w:r w:rsidRPr="00661832">
              <w:rPr>
                <w:rFonts w:ascii="Arial" w:hAnsi="Arial" w:cs="Arial"/>
                <w:sz w:val="20"/>
                <w:szCs w:val="20"/>
              </w:rPr>
              <w:t>Mandatory reporting</w:t>
            </w:r>
          </w:p>
          <w:p w14:paraId="57BCFB0F" w14:textId="77777777" w:rsidR="006664DF" w:rsidRPr="00661832" w:rsidRDefault="006664DF" w:rsidP="005C0971">
            <w:pPr>
              <w:rPr>
                <w:rFonts w:ascii="Arial" w:hAnsi="Arial" w:cs="Arial"/>
                <w:sz w:val="20"/>
                <w:szCs w:val="20"/>
              </w:rPr>
            </w:pPr>
          </w:p>
          <w:p w14:paraId="07F8558E" w14:textId="77777777" w:rsidR="006664DF" w:rsidRPr="00661832" w:rsidRDefault="006664DF" w:rsidP="005C0971">
            <w:pPr>
              <w:rPr>
                <w:rFonts w:ascii="Arial" w:hAnsi="Arial" w:cs="Arial"/>
                <w:sz w:val="20"/>
                <w:szCs w:val="20"/>
              </w:rPr>
            </w:pPr>
            <w:r w:rsidRPr="00661832">
              <w:rPr>
                <w:rFonts w:ascii="Arial" w:hAnsi="Arial" w:cs="Arial"/>
                <w:sz w:val="20"/>
                <w:szCs w:val="20"/>
              </w:rPr>
              <w:t>Difficulties aligning policy requirements between IRB, local legal requirements, and ethical trauma-informed research practices.</w:t>
            </w:r>
          </w:p>
          <w:p w14:paraId="5CF6D9AA" w14:textId="77777777" w:rsidR="006664DF" w:rsidRPr="00661832" w:rsidRDefault="006664DF" w:rsidP="005C0971">
            <w:pPr>
              <w:rPr>
                <w:rFonts w:ascii="Arial" w:hAnsi="Arial" w:cs="Arial"/>
                <w:sz w:val="20"/>
                <w:szCs w:val="20"/>
              </w:rPr>
            </w:pPr>
          </w:p>
          <w:p w14:paraId="050927A0" w14:textId="77777777" w:rsidR="006664DF" w:rsidRPr="00661832" w:rsidRDefault="006664DF" w:rsidP="005C0971">
            <w:pPr>
              <w:rPr>
                <w:rFonts w:ascii="Arial" w:hAnsi="Arial" w:cs="Arial"/>
                <w:sz w:val="20"/>
                <w:szCs w:val="20"/>
              </w:rPr>
            </w:pPr>
            <w:r w:rsidRPr="00661832">
              <w:rPr>
                <w:rFonts w:ascii="Arial" w:hAnsi="Arial" w:cs="Arial"/>
                <w:sz w:val="20"/>
                <w:szCs w:val="20"/>
              </w:rPr>
              <w:t>Significant – sometimes contradictory – variety in defining sexual violence across different socio-political environments</w:t>
            </w:r>
          </w:p>
        </w:tc>
      </w:tr>
      <w:tr w:rsidR="006664DF" w:rsidRPr="00661832" w14:paraId="314AAEC6" w14:textId="77777777" w:rsidTr="005C0971">
        <w:tc>
          <w:tcPr>
            <w:tcW w:w="624" w:type="pct"/>
            <w:shd w:val="clear" w:color="auto" w:fill="auto"/>
          </w:tcPr>
          <w:p w14:paraId="3A92016D" w14:textId="77777777" w:rsidR="006664DF" w:rsidRPr="00661832" w:rsidRDefault="006664DF" w:rsidP="005C0971">
            <w:pPr>
              <w:rPr>
                <w:rFonts w:ascii="Arial" w:hAnsi="Arial" w:cs="Arial"/>
                <w:sz w:val="20"/>
                <w:szCs w:val="20"/>
              </w:rPr>
            </w:pPr>
            <w:r w:rsidRPr="00661832">
              <w:rPr>
                <w:rFonts w:ascii="Arial" w:hAnsi="Arial" w:cs="Arial"/>
                <w:sz w:val="20"/>
                <w:szCs w:val="20"/>
              </w:rPr>
              <w:t>Social pressure</w:t>
            </w:r>
          </w:p>
        </w:tc>
        <w:tc>
          <w:tcPr>
            <w:tcW w:w="875" w:type="pct"/>
            <w:shd w:val="clear" w:color="auto" w:fill="auto"/>
          </w:tcPr>
          <w:p w14:paraId="0E4D7BF5" w14:textId="77777777" w:rsidR="006664DF" w:rsidRPr="00661832" w:rsidRDefault="006664DF" w:rsidP="005C0971">
            <w:pPr>
              <w:rPr>
                <w:rFonts w:ascii="Arial" w:hAnsi="Arial" w:cs="Arial"/>
                <w:sz w:val="20"/>
                <w:szCs w:val="20"/>
              </w:rPr>
            </w:pPr>
            <w:r w:rsidRPr="00661832">
              <w:rPr>
                <w:rFonts w:ascii="Arial" w:hAnsi="Arial" w:cs="Arial"/>
                <w:sz w:val="20"/>
                <w:szCs w:val="20"/>
              </w:rPr>
              <w:t xml:space="preserve">SNASH had already done the work of creating authentic demand, so we revised our plans to support and evaluate their intervention rather than creating something new.  </w:t>
            </w:r>
          </w:p>
        </w:tc>
        <w:tc>
          <w:tcPr>
            <w:tcW w:w="875" w:type="pct"/>
            <w:shd w:val="clear" w:color="auto" w:fill="auto"/>
          </w:tcPr>
          <w:p w14:paraId="4D9912CF" w14:textId="77777777" w:rsidR="006664DF" w:rsidRPr="00661832" w:rsidRDefault="006664DF" w:rsidP="005C0971">
            <w:pPr>
              <w:rPr>
                <w:rFonts w:ascii="Arial" w:hAnsi="Arial" w:cs="Arial"/>
                <w:sz w:val="20"/>
                <w:szCs w:val="20"/>
              </w:rPr>
            </w:pPr>
            <w:r w:rsidRPr="00661832">
              <w:rPr>
                <w:rFonts w:ascii="Arial" w:hAnsi="Arial" w:cs="Arial"/>
                <w:sz w:val="20"/>
                <w:szCs w:val="20"/>
              </w:rPr>
              <w:t>Administration welcomed and supported project</w:t>
            </w:r>
          </w:p>
          <w:p w14:paraId="047380DF" w14:textId="77777777" w:rsidR="006664DF" w:rsidRPr="00661832" w:rsidRDefault="006664DF" w:rsidP="005C0971">
            <w:pPr>
              <w:rPr>
                <w:rFonts w:ascii="Arial" w:hAnsi="Arial" w:cs="Arial"/>
                <w:sz w:val="20"/>
                <w:szCs w:val="20"/>
              </w:rPr>
            </w:pPr>
          </w:p>
          <w:p w14:paraId="5E238D2D" w14:textId="77777777" w:rsidR="006664DF" w:rsidRPr="00661832" w:rsidRDefault="006664DF" w:rsidP="005C0971">
            <w:pPr>
              <w:rPr>
                <w:rFonts w:ascii="Arial" w:hAnsi="Arial" w:cs="Arial"/>
                <w:sz w:val="20"/>
                <w:szCs w:val="20"/>
              </w:rPr>
            </w:pPr>
            <w:r w:rsidRPr="00661832">
              <w:rPr>
                <w:rFonts w:ascii="Arial" w:hAnsi="Arial" w:cs="Arial"/>
                <w:sz w:val="20"/>
                <w:szCs w:val="20"/>
              </w:rPr>
              <w:t xml:space="preserve">Ongoing national conversation regarding sexual violence </w:t>
            </w:r>
          </w:p>
        </w:tc>
        <w:tc>
          <w:tcPr>
            <w:tcW w:w="875" w:type="pct"/>
            <w:shd w:val="clear" w:color="auto" w:fill="auto"/>
          </w:tcPr>
          <w:p w14:paraId="14EBF0F6" w14:textId="77777777" w:rsidR="006664DF" w:rsidRPr="00661832" w:rsidRDefault="006664DF" w:rsidP="005C0971">
            <w:pPr>
              <w:rPr>
                <w:rFonts w:ascii="Arial" w:hAnsi="Arial" w:cs="Arial"/>
                <w:sz w:val="20"/>
                <w:szCs w:val="20"/>
              </w:rPr>
            </w:pPr>
            <w:r w:rsidRPr="00661832">
              <w:rPr>
                <w:rFonts w:ascii="Arial" w:hAnsi="Arial" w:cs="Arial"/>
                <w:sz w:val="20"/>
                <w:szCs w:val="20"/>
              </w:rPr>
              <w:t>SAB considered how student advocacy could be a source of pressure for long-term implementation</w:t>
            </w:r>
          </w:p>
        </w:tc>
        <w:tc>
          <w:tcPr>
            <w:tcW w:w="875" w:type="pct"/>
            <w:shd w:val="clear" w:color="auto" w:fill="auto"/>
          </w:tcPr>
          <w:p w14:paraId="3A87B947" w14:textId="77777777" w:rsidR="006664DF" w:rsidRPr="00661832" w:rsidRDefault="006664DF" w:rsidP="005C0971">
            <w:pPr>
              <w:rPr>
                <w:rFonts w:ascii="Arial" w:hAnsi="Arial" w:cs="Arial"/>
                <w:sz w:val="20"/>
                <w:szCs w:val="20"/>
              </w:rPr>
            </w:pPr>
            <w:r w:rsidRPr="00661832">
              <w:rPr>
                <w:rFonts w:ascii="Arial" w:hAnsi="Arial" w:cs="Arial"/>
                <w:sz w:val="20"/>
                <w:szCs w:val="20"/>
              </w:rPr>
              <w:t xml:space="preserve">Following several incidences of GBV and femicide, student advocacy pushed to prioritize GBV on campuses, </w:t>
            </w:r>
          </w:p>
        </w:tc>
        <w:tc>
          <w:tcPr>
            <w:tcW w:w="876" w:type="pct"/>
            <w:shd w:val="clear" w:color="auto" w:fill="auto"/>
          </w:tcPr>
          <w:p w14:paraId="03DB9D35" w14:textId="77777777" w:rsidR="006664DF" w:rsidRPr="00661832" w:rsidRDefault="006664DF" w:rsidP="005C0971">
            <w:pPr>
              <w:rPr>
                <w:rFonts w:ascii="Arial" w:hAnsi="Arial" w:cs="Arial"/>
                <w:sz w:val="20"/>
                <w:szCs w:val="20"/>
              </w:rPr>
            </w:pPr>
            <w:r w:rsidRPr="00661832">
              <w:rPr>
                <w:rFonts w:ascii="Arial" w:hAnsi="Arial" w:cs="Arial"/>
                <w:sz w:val="20"/>
                <w:szCs w:val="20"/>
              </w:rPr>
              <w:t>Student advocates can be powerful allies</w:t>
            </w:r>
          </w:p>
          <w:p w14:paraId="1B2AA783" w14:textId="77777777" w:rsidR="006664DF" w:rsidRPr="00661832" w:rsidRDefault="006664DF" w:rsidP="005C0971">
            <w:pPr>
              <w:rPr>
                <w:rFonts w:ascii="Arial" w:hAnsi="Arial" w:cs="Arial"/>
                <w:sz w:val="20"/>
                <w:szCs w:val="20"/>
              </w:rPr>
            </w:pPr>
          </w:p>
          <w:p w14:paraId="4E691B57" w14:textId="77777777" w:rsidR="006664DF" w:rsidRPr="00661832" w:rsidRDefault="006664DF" w:rsidP="005C0971">
            <w:pPr>
              <w:rPr>
                <w:rFonts w:ascii="Arial" w:hAnsi="Arial" w:cs="Arial"/>
                <w:sz w:val="20"/>
                <w:szCs w:val="20"/>
              </w:rPr>
            </w:pPr>
            <w:r w:rsidRPr="00661832">
              <w:rPr>
                <w:rFonts w:ascii="Arial" w:hAnsi="Arial" w:cs="Arial"/>
                <w:sz w:val="20"/>
                <w:szCs w:val="20"/>
              </w:rPr>
              <w:t xml:space="preserve">Important to assess and be in alignment with existing programming </w:t>
            </w:r>
          </w:p>
        </w:tc>
      </w:tr>
    </w:tbl>
    <w:p w14:paraId="4AB386EF" w14:textId="33A9A07B" w:rsidR="00661832" w:rsidRDefault="00661832">
      <w:r>
        <w:br w:type="page"/>
      </w:r>
    </w:p>
    <w:tbl>
      <w:tblPr>
        <w:tblStyle w:val="TableGrid"/>
        <w:tblW w:w="5000" w:type="pct"/>
        <w:tblLook w:val="04A0" w:firstRow="1" w:lastRow="0" w:firstColumn="1" w:lastColumn="0" w:noHBand="0" w:noVBand="1"/>
      </w:tblPr>
      <w:tblGrid>
        <w:gridCol w:w="1797"/>
        <w:gridCol w:w="2518"/>
        <w:gridCol w:w="2518"/>
        <w:gridCol w:w="2518"/>
        <w:gridCol w:w="2518"/>
        <w:gridCol w:w="2521"/>
      </w:tblGrid>
      <w:tr w:rsidR="00C71E86" w:rsidRPr="00661832" w14:paraId="48C875ED" w14:textId="5743153C" w:rsidTr="00661832">
        <w:tc>
          <w:tcPr>
            <w:tcW w:w="5000" w:type="pct"/>
            <w:gridSpan w:val="6"/>
            <w:shd w:val="clear" w:color="auto" w:fill="E8E8E8" w:themeFill="background2"/>
          </w:tcPr>
          <w:p w14:paraId="43928D17" w14:textId="0E18063A" w:rsidR="00C71E86" w:rsidRPr="00661832" w:rsidRDefault="00C71E86" w:rsidP="00C71E86">
            <w:pPr>
              <w:rPr>
                <w:rFonts w:ascii="Arial" w:hAnsi="Arial" w:cs="Arial"/>
                <w:b/>
                <w:bCs/>
                <w:sz w:val="20"/>
                <w:szCs w:val="20"/>
              </w:rPr>
            </w:pPr>
            <w:r w:rsidRPr="00661832">
              <w:rPr>
                <w:rFonts w:ascii="Arial" w:hAnsi="Arial" w:cs="Arial"/>
                <w:b/>
                <w:bCs/>
                <w:sz w:val="20"/>
                <w:szCs w:val="20"/>
              </w:rPr>
              <w:lastRenderedPageBreak/>
              <w:t>Inner setting</w:t>
            </w:r>
          </w:p>
        </w:tc>
      </w:tr>
      <w:tr w:rsidR="00C71E86" w:rsidRPr="00661832" w14:paraId="54D2D82A" w14:textId="683B9394" w:rsidTr="00661832">
        <w:tc>
          <w:tcPr>
            <w:tcW w:w="624" w:type="pct"/>
            <w:shd w:val="clear" w:color="auto" w:fill="auto"/>
          </w:tcPr>
          <w:p w14:paraId="4D60D858" w14:textId="6E18263B" w:rsidR="00C71E86" w:rsidRPr="00661832" w:rsidRDefault="00C71E86" w:rsidP="00C71E86">
            <w:pPr>
              <w:rPr>
                <w:rFonts w:ascii="Arial" w:hAnsi="Arial" w:cs="Arial"/>
                <w:sz w:val="20"/>
                <w:szCs w:val="20"/>
              </w:rPr>
            </w:pPr>
          </w:p>
        </w:tc>
        <w:tc>
          <w:tcPr>
            <w:tcW w:w="875" w:type="pct"/>
            <w:shd w:val="clear" w:color="auto" w:fill="auto"/>
          </w:tcPr>
          <w:p w14:paraId="17587A3E" w14:textId="6ABEFA64" w:rsidR="00C71E86" w:rsidRPr="00661832" w:rsidRDefault="00C71E86" w:rsidP="00661832">
            <w:pPr>
              <w:jc w:val="center"/>
              <w:rPr>
                <w:rFonts w:ascii="Arial" w:hAnsi="Arial" w:cs="Arial"/>
                <w:i/>
                <w:iCs/>
                <w:sz w:val="20"/>
                <w:szCs w:val="20"/>
              </w:rPr>
            </w:pPr>
            <w:r w:rsidRPr="00661832">
              <w:rPr>
                <w:rFonts w:ascii="Arial" w:hAnsi="Arial" w:cs="Arial"/>
                <w:i/>
                <w:iCs/>
                <w:sz w:val="20"/>
                <w:szCs w:val="20"/>
              </w:rPr>
              <w:t>YMNN</w:t>
            </w:r>
          </w:p>
        </w:tc>
        <w:tc>
          <w:tcPr>
            <w:tcW w:w="875" w:type="pct"/>
            <w:shd w:val="clear" w:color="auto" w:fill="auto"/>
          </w:tcPr>
          <w:p w14:paraId="385660EF" w14:textId="3B98B355" w:rsidR="00C71E86" w:rsidRPr="00661832" w:rsidRDefault="00C71E86" w:rsidP="00661832">
            <w:pPr>
              <w:jc w:val="center"/>
              <w:rPr>
                <w:rFonts w:ascii="Arial" w:hAnsi="Arial" w:cs="Arial"/>
                <w:i/>
                <w:iCs/>
                <w:sz w:val="20"/>
                <w:szCs w:val="20"/>
              </w:rPr>
            </w:pPr>
            <w:r w:rsidRPr="00661832">
              <w:rPr>
                <w:rFonts w:ascii="Arial" w:hAnsi="Arial" w:cs="Arial"/>
                <w:i/>
                <w:iCs/>
                <w:sz w:val="20"/>
                <w:szCs w:val="20"/>
              </w:rPr>
              <w:t>#GC</w:t>
            </w:r>
          </w:p>
        </w:tc>
        <w:tc>
          <w:tcPr>
            <w:tcW w:w="875" w:type="pct"/>
            <w:shd w:val="clear" w:color="auto" w:fill="auto"/>
          </w:tcPr>
          <w:p w14:paraId="64D18471" w14:textId="3F1AD56F" w:rsidR="00C71E86" w:rsidRPr="00661832" w:rsidRDefault="00661832" w:rsidP="00661832">
            <w:pPr>
              <w:jc w:val="center"/>
              <w:rPr>
                <w:rFonts w:ascii="Arial" w:hAnsi="Arial" w:cs="Arial"/>
                <w:i/>
                <w:iCs/>
                <w:sz w:val="20"/>
                <w:szCs w:val="20"/>
              </w:rPr>
            </w:pPr>
            <w:r w:rsidRPr="00661832">
              <w:rPr>
                <w:rFonts w:ascii="Arial" w:hAnsi="Arial" w:cs="Arial"/>
                <w:i/>
                <w:iCs/>
                <w:sz w:val="20"/>
                <w:szCs w:val="20"/>
              </w:rPr>
              <w:t>ISHIPUS</w:t>
            </w:r>
          </w:p>
        </w:tc>
        <w:tc>
          <w:tcPr>
            <w:tcW w:w="875" w:type="pct"/>
            <w:shd w:val="clear" w:color="auto" w:fill="auto"/>
          </w:tcPr>
          <w:p w14:paraId="569F0B4F" w14:textId="52E8F758" w:rsidR="00C71E86" w:rsidRPr="00661832" w:rsidRDefault="00C71E86" w:rsidP="00661832">
            <w:pPr>
              <w:jc w:val="center"/>
              <w:rPr>
                <w:rFonts w:ascii="Arial" w:hAnsi="Arial" w:cs="Arial"/>
                <w:i/>
                <w:iCs/>
                <w:sz w:val="20"/>
                <w:szCs w:val="20"/>
              </w:rPr>
            </w:pPr>
            <w:r w:rsidRPr="00661832">
              <w:rPr>
                <w:rFonts w:ascii="Arial" w:hAnsi="Arial" w:cs="Arial"/>
                <w:i/>
                <w:iCs/>
                <w:sz w:val="20"/>
                <w:szCs w:val="20"/>
              </w:rPr>
              <w:t>Ntombi Vimbela</w:t>
            </w:r>
          </w:p>
        </w:tc>
        <w:tc>
          <w:tcPr>
            <w:tcW w:w="876" w:type="pct"/>
            <w:shd w:val="clear" w:color="auto" w:fill="auto"/>
          </w:tcPr>
          <w:p w14:paraId="50998801" w14:textId="4E65CAA7" w:rsidR="00C71E86" w:rsidRPr="00661832" w:rsidRDefault="00C71E86" w:rsidP="00661832">
            <w:pPr>
              <w:jc w:val="center"/>
              <w:rPr>
                <w:rFonts w:ascii="Arial" w:hAnsi="Arial" w:cs="Arial"/>
                <w:i/>
                <w:iCs/>
                <w:sz w:val="20"/>
                <w:szCs w:val="20"/>
              </w:rPr>
            </w:pPr>
            <w:r w:rsidRPr="00661832">
              <w:rPr>
                <w:rFonts w:ascii="Arial" w:hAnsi="Arial" w:cs="Arial"/>
                <w:i/>
                <w:iCs/>
                <w:sz w:val="20"/>
                <w:szCs w:val="20"/>
              </w:rPr>
              <w:t>Unique concerns?</w:t>
            </w:r>
          </w:p>
        </w:tc>
      </w:tr>
      <w:tr w:rsidR="00C71E86" w:rsidRPr="00661832" w14:paraId="1433DAE8" w14:textId="1364B15E" w:rsidTr="00661832">
        <w:tc>
          <w:tcPr>
            <w:tcW w:w="624" w:type="pct"/>
            <w:shd w:val="clear" w:color="auto" w:fill="auto"/>
          </w:tcPr>
          <w:p w14:paraId="01D5F2BD" w14:textId="5350306A" w:rsidR="00C71E86" w:rsidRPr="00661832" w:rsidRDefault="00C71E86" w:rsidP="00C71E86">
            <w:pPr>
              <w:rPr>
                <w:rFonts w:ascii="Arial" w:hAnsi="Arial" w:cs="Arial"/>
                <w:sz w:val="20"/>
                <w:szCs w:val="20"/>
              </w:rPr>
            </w:pPr>
            <w:r w:rsidRPr="00661832">
              <w:rPr>
                <w:rFonts w:ascii="Arial" w:hAnsi="Arial" w:cs="Arial"/>
                <w:sz w:val="20"/>
                <w:szCs w:val="20"/>
              </w:rPr>
              <w:t>Culture</w:t>
            </w:r>
          </w:p>
        </w:tc>
        <w:tc>
          <w:tcPr>
            <w:tcW w:w="875" w:type="pct"/>
            <w:shd w:val="clear" w:color="auto" w:fill="auto"/>
          </w:tcPr>
          <w:p w14:paraId="07CDE81F" w14:textId="344594AC" w:rsidR="00C71E86" w:rsidRPr="00661832" w:rsidRDefault="00017872" w:rsidP="00C71E86">
            <w:pPr>
              <w:tabs>
                <w:tab w:val="left" w:pos="1602"/>
              </w:tabs>
              <w:rPr>
                <w:rFonts w:ascii="Arial" w:hAnsi="Arial" w:cs="Arial"/>
                <w:sz w:val="20"/>
                <w:szCs w:val="20"/>
              </w:rPr>
            </w:pPr>
            <w:r w:rsidRPr="00661832">
              <w:rPr>
                <w:rFonts w:ascii="Arial" w:hAnsi="Arial" w:cs="Arial"/>
                <w:sz w:val="20"/>
                <w:szCs w:val="20"/>
              </w:rPr>
              <w:t xml:space="preserve">Team spent significant time developing core values that would ground intervention and study activities: </w:t>
            </w:r>
            <w:r w:rsidR="00C71E86" w:rsidRPr="00661832">
              <w:rPr>
                <w:rFonts w:ascii="Arial" w:hAnsi="Arial" w:cs="Arial"/>
                <w:sz w:val="20"/>
                <w:szCs w:val="20"/>
              </w:rPr>
              <w:t xml:space="preserve">Respect, Justice, and Empathy. </w:t>
            </w:r>
            <w:r w:rsidR="00C71E86" w:rsidRPr="00661832">
              <w:rPr>
                <w:rFonts w:ascii="Arial" w:hAnsi="Arial" w:cs="Arial"/>
                <w:sz w:val="20"/>
                <w:szCs w:val="20"/>
              </w:rPr>
              <w:br/>
            </w:r>
          </w:p>
        </w:tc>
        <w:tc>
          <w:tcPr>
            <w:tcW w:w="875" w:type="pct"/>
            <w:shd w:val="clear" w:color="auto" w:fill="auto"/>
          </w:tcPr>
          <w:p w14:paraId="014EAE3B" w14:textId="35DEA193" w:rsidR="00C71E86" w:rsidRPr="00661832" w:rsidRDefault="00017872" w:rsidP="00C71E86">
            <w:pPr>
              <w:rPr>
                <w:rFonts w:ascii="Arial" w:hAnsi="Arial" w:cs="Arial"/>
                <w:sz w:val="20"/>
                <w:szCs w:val="20"/>
              </w:rPr>
            </w:pPr>
            <w:r w:rsidRPr="00661832">
              <w:rPr>
                <w:rFonts w:ascii="Arial" w:hAnsi="Arial" w:cs="Arial"/>
                <w:sz w:val="20"/>
                <w:szCs w:val="20"/>
              </w:rPr>
              <w:t xml:space="preserve">Intentionally cultivated research team culture to align with </w:t>
            </w:r>
            <w:r w:rsidR="00C71E86" w:rsidRPr="00661832">
              <w:rPr>
                <w:rFonts w:ascii="Arial" w:hAnsi="Arial" w:cs="Arial"/>
                <w:sz w:val="20"/>
                <w:szCs w:val="20"/>
              </w:rPr>
              <w:t>trauma-inform principals</w:t>
            </w:r>
            <w:r w:rsidR="00975EE1" w:rsidRPr="00661832">
              <w:rPr>
                <w:rFonts w:ascii="Arial" w:hAnsi="Arial" w:cs="Arial"/>
                <w:sz w:val="20"/>
                <w:szCs w:val="20"/>
              </w:rPr>
              <w:t xml:space="preserve"> and centered </w:t>
            </w:r>
            <w:r w:rsidR="00C71E86" w:rsidRPr="00661832">
              <w:rPr>
                <w:rFonts w:ascii="Arial" w:hAnsi="Arial" w:cs="Arial"/>
                <w:sz w:val="20"/>
                <w:szCs w:val="20"/>
              </w:rPr>
              <w:t>protecting the wellbeing of staff and participants</w:t>
            </w:r>
          </w:p>
        </w:tc>
        <w:tc>
          <w:tcPr>
            <w:tcW w:w="875" w:type="pct"/>
            <w:shd w:val="clear" w:color="auto" w:fill="auto"/>
          </w:tcPr>
          <w:p w14:paraId="427EC40C" w14:textId="29C3BCE8" w:rsidR="00C71E86" w:rsidRPr="00661832" w:rsidRDefault="00C71E86" w:rsidP="00C71E86">
            <w:pPr>
              <w:rPr>
                <w:rFonts w:ascii="Arial" w:hAnsi="Arial" w:cs="Arial"/>
                <w:sz w:val="20"/>
                <w:szCs w:val="20"/>
              </w:rPr>
            </w:pPr>
            <w:r w:rsidRPr="00661832">
              <w:rPr>
                <w:rFonts w:ascii="Arial" w:hAnsi="Arial" w:cs="Arial"/>
                <w:sz w:val="20"/>
                <w:szCs w:val="20"/>
              </w:rPr>
              <w:t>Culture of research group (feminist), culture of implementation team (SAB), culture of department that allows team to do things, Sexual Assault Resource Center, culture of university (liability), Sanford funder culture</w:t>
            </w:r>
          </w:p>
        </w:tc>
        <w:tc>
          <w:tcPr>
            <w:tcW w:w="875" w:type="pct"/>
            <w:shd w:val="clear" w:color="auto" w:fill="auto"/>
          </w:tcPr>
          <w:p w14:paraId="74815C0D" w14:textId="1B51465A" w:rsidR="007F464D" w:rsidRPr="00661832" w:rsidRDefault="007F464D" w:rsidP="00C71E86">
            <w:pPr>
              <w:rPr>
                <w:rFonts w:ascii="Arial" w:hAnsi="Arial" w:cs="Arial"/>
                <w:sz w:val="20"/>
                <w:szCs w:val="20"/>
              </w:rPr>
            </w:pPr>
            <w:r w:rsidRPr="00661832">
              <w:rPr>
                <w:rFonts w:ascii="Arial" w:hAnsi="Arial" w:cs="Arial"/>
                <w:sz w:val="20"/>
                <w:szCs w:val="20"/>
              </w:rPr>
              <w:t>B</w:t>
            </w:r>
            <w:r w:rsidR="00C71E86" w:rsidRPr="00661832">
              <w:rPr>
                <w:rFonts w:ascii="Arial" w:hAnsi="Arial" w:cs="Arial"/>
                <w:sz w:val="20"/>
                <w:szCs w:val="20"/>
              </w:rPr>
              <w:t xml:space="preserve">uilt on local culture values of ubuntu, sisterhood, embracing diversity including allowing the use of home vernacular languages in implementation. </w:t>
            </w:r>
          </w:p>
          <w:p w14:paraId="455DE366" w14:textId="77777777" w:rsidR="007F464D" w:rsidRPr="00661832" w:rsidRDefault="007F464D" w:rsidP="00C71E86">
            <w:pPr>
              <w:rPr>
                <w:rFonts w:ascii="Arial" w:hAnsi="Arial" w:cs="Arial"/>
                <w:sz w:val="20"/>
                <w:szCs w:val="20"/>
              </w:rPr>
            </w:pPr>
          </w:p>
          <w:p w14:paraId="1E159F66" w14:textId="21B55A82" w:rsidR="00C71E86" w:rsidRPr="00661832" w:rsidRDefault="00C71E86" w:rsidP="00C71E86">
            <w:pPr>
              <w:rPr>
                <w:rFonts w:ascii="Arial" w:hAnsi="Arial" w:cs="Arial"/>
                <w:sz w:val="20"/>
                <w:szCs w:val="20"/>
              </w:rPr>
            </w:pPr>
            <w:r w:rsidRPr="00661832">
              <w:rPr>
                <w:rFonts w:ascii="Arial" w:hAnsi="Arial" w:cs="Arial"/>
                <w:sz w:val="20"/>
                <w:szCs w:val="20"/>
              </w:rPr>
              <w:t>Facilitators were trained on feminist values and ethical research practice.</w:t>
            </w:r>
          </w:p>
        </w:tc>
        <w:tc>
          <w:tcPr>
            <w:tcW w:w="876" w:type="pct"/>
            <w:shd w:val="clear" w:color="auto" w:fill="auto"/>
          </w:tcPr>
          <w:p w14:paraId="04D88318" w14:textId="3D8DF0AA" w:rsidR="007F464D" w:rsidRPr="00661832" w:rsidRDefault="00661832" w:rsidP="00C71E86">
            <w:pPr>
              <w:rPr>
                <w:rFonts w:ascii="Arial" w:hAnsi="Arial" w:cs="Arial"/>
                <w:sz w:val="20"/>
                <w:szCs w:val="20"/>
              </w:rPr>
            </w:pPr>
            <w:r w:rsidRPr="00661832">
              <w:rPr>
                <w:rFonts w:ascii="Arial" w:hAnsi="Arial" w:cs="Arial"/>
                <w:sz w:val="20"/>
                <w:szCs w:val="20"/>
              </w:rPr>
              <w:t>Numerous overlapping ‘cultures’ – intervention culture, study team culture, differing cultures in global North/South collaborations</w:t>
            </w:r>
          </w:p>
          <w:p w14:paraId="3C9C6241" w14:textId="77777777" w:rsidR="007F464D" w:rsidRPr="00661832" w:rsidRDefault="007F464D" w:rsidP="00C71E86">
            <w:pPr>
              <w:rPr>
                <w:rFonts w:ascii="Arial" w:hAnsi="Arial" w:cs="Arial"/>
                <w:sz w:val="20"/>
                <w:szCs w:val="20"/>
              </w:rPr>
            </w:pPr>
          </w:p>
          <w:p w14:paraId="18F52A68" w14:textId="0129D350" w:rsidR="00C71E86" w:rsidRPr="00661832" w:rsidRDefault="00C71E86" w:rsidP="00C71E86">
            <w:pPr>
              <w:rPr>
                <w:rFonts w:ascii="Arial" w:hAnsi="Arial" w:cs="Arial"/>
                <w:sz w:val="20"/>
                <w:szCs w:val="20"/>
              </w:rPr>
            </w:pPr>
            <w:r w:rsidRPr="00661832">
              <w:rPr>
                <w:rFonts w:ascii="Arial" w:hAnsi="Arial" w:cs="Arial"/>
                <w:sz w:val="20"/>
                <w:szCs w:val="20"/>
              </w:rPr>
              <w:t>Culture built by members of teams that allows them to interact with participants</w:t>
            </w:r>
          </w:p>
        </w:tc>
      </w:tr>
      <w:tr w:rsidR="00C71E86" w:rsidRPr="00661832" w14:paraId="113367CD" w14:textId="77777777" w:rsidTr="00661832">
        <w:tc>
          <w:tcPr>
            <w:tcW w:w="624" w:type="pct"/>
            <w:shd w:val="clear" w:color="auto" w:fill="auto"/>
          </w:tcPr>
          <w:p w14:paraId="37618651" w14:textId="690B85D3" w:rsidR="00C71E86" w:rsidRPr="00661832" w:rsidRDefault="00C71E86" w:rsidP="00C71E86">
            <w:pPr>
              <w:rPr>
                <w:rFonts w:ascii="Arial" w:hAnsi="Arial" w:cs="Arial"/>
                <w:sz w:val="20"/>
                <w:szCs w:val="20"/>
              </w:rPr>
            </w:pPr>
            <w:r w:rsidRPr="00661832">
              <w:rPr>
                <w:rFonts w:ascii="Arial" w:hAnsi="Arial" w:cs="Arial"/>
                <w:sz w:val="20"/>
                <w:szCs w:val="20"/>
              </w:rPr>
              <w:t>Funding</w:t>
            </w:r>
          </w:p>
        </w:tc>
        <w:tc>
          <w:tcPr>
            <w:tcW w:w="875" w:type="pct"/>
            <w:shd w:val="clear" w:color="auto" w:fill="auto"/>
          </w:tcPr>
          <w:p w14:paraId="336A9DC7" w14:textId="7262F0A9" w:rsidR="00C71E86" w:rsidRPr="00661832" w:rsidRDefault="002F6DAA" w:rsidP="00C71E86">
            <w:pPr>
              <w:tabs>
                <w:tab w:val="left" w:pos="1602"/>
              </w:tabs>
              <w:rPr>
                <w:rFonts w:ascii="Arial" w:hAnsi="Arial" w:cs="Arial"/>
                <w:sz w:val="20"/>
                <w:szCs w:val="20"/>
              </w:rPr>
            </w:pPr>
            <w:r w:rsidRPr="00661832">
              <w:rPr>
                <w:rFonts w:ascii="Arial" w:hAnsi="Arial" w:cs="Arial"/>
                <w:sz w:val="20"/>
                <w:szCs w:val="20"/>
              </w:rPr>
              <w:t xml:space="preserve">Limited funding source but adequate to implement a </w:t>
            </w:r>
            <w:r w:rsidR="007F464D" w:rsidRPr="00661832">
              <w:rPr>
                <w:rFonts w:ascii="Arial" w:hAnsi="Arial" w:cs="Arial"/>
                <w:sz w:val="20"/>
                <w:szCs w:val="20"/>
              </w:rPr>
              <w:t>small pilot</w:t>
            </w:r>
            <w:r w:rsidRPr="00661832">
              <w:rPr>
                <w:rFonts w:ascii="Arial" w:hAnsi="Arial" w:cs="Arial"/>
                <w:sz w:val="20"/>
                <w:szCs w:val="20"/>
              </w:rPr>
              <w:t>.</w:t>
            </w:r>
          </w:p>
        </w:tc>
        <w:tc>
          <w:tcPr>
            <w:tcW w:w="875" w:type="pct"/>
            <w:shd w:val="clear" w:color="auto" w:fill="auto"/>
          </w:tcPr>
          <w:p w14:paraId="1C33B8A8" w14:textId="480E7BBF" w:rsidR="00C71E86" w:rsidRPr="00661832" w:rsidRDefault="002F6DAA" w:rsidP="00C71E86">
            <w:pPr>
              <w:rPr>
                <w:rFonts w:ascii="Arial" w:hAnsi="Arial" w:cs="Arial"/>
                <w:sz w:val="20"/>
                <w:szCs w:val="20"/>
              </w:rPr>
            </w:pPr>
            <w:r w:rsidRPr="00661832">
              <w:rPr>
                <w:rFonts w:ascii="Arial" w:hAnsi="Arial" w:cs="Arial"/>
                <w:sz w:val="20"/>
                <w:szCs w:val="20"/>
              </w:rPr>
              <w:t>SVRI funding was sufficient for pilot. Outlook for long-term funding was unclear</w:t>
            </w:r>
          </w:p>
        </w:tc>
        <w:tc>
          <w:tcPr>
            <w:tcW w:w="875" w:type="pct"/>
            <w:shd w:val="clear" w:color="auto" w:fill="auto"/>
          </w:tcPr>
          <w:p w14:paraId="073FC4F3" w14:textId="2CAC0FB5" w:rsidR="00C71E86" w:rsidRPr="00661832" w:rsidRDefault="002F6DAA" w:rsidP="00C71E86">
            <w:pPr>
              <w:rPr>
                <w:rFonts w:ascii="Arial" w:hAnsi="Arial" w:cs="Arial"/>
                <w:sz w:val="20"/>
                <w:szCs w:val="20"/>
              </w:rPr>
            </w:pPr>
            <w:r w:rsidRPr="00661832">
              <w:rPr>
                <w:rFonts w:ascii="Arial" w:hAnsi="Arial" w:cs="Arial"/>
                <w:sz w:val="20"/>
                <w:szCs w:val="20"/>
              </w:rPr>
              <w:t>Very limited. Had to remove qualitative component to reduce labor costs. PI effort provided in</w:t>
            </w:r>
            <w:r w:rsidR="007F464D" w:rsidRPr="00661832">
              <w:rPr>
                <w:rFonts w:ascii="Arial" w:hAnsi="Arial" w:cs="Arial"/>
                <w:sz w:val="20"/>
                <w:szCs w:val="20"/>
              </w:rPr>
              <w:t>-</w:t>
            </w:r>
            <w:r w:rsidRPr="00661832">
              <w:rPr>
                <w:rFonts w:ascii="Arial" w:hAnsi="Arial" w:cs="Arial"/>
                <w:sz w:val="20"/>
                <w:szCs w:val="20"/>
              </w:rPr>
              <w:t>kind.</w:t>
            </w:r>
          </w:p>
        </w:tc>
        <w:tc>
          <w:tcPr>
            <w:tcW w:w="875" w:type="pct"/>
            <w:shd w:val="clear" w:color="auto" w:fill="auto"/>
          </w:tcPr>
          <w:p w14:paraId="45CDE210" w14:textId="0914395B" w:rsidR="007F464D" w:rsidRPr="00661832" w:rsidRDefault="007F464D" w:rsidP="00C71E86">
            <w:pPr>
              <w:rPr>
                <w:rFonts w:ascii="Arial" w:hAnsi="Arial" w:cs="Arial"/>
                <w:sz w:val="20"/>
                <w:szCs w:val="20"/>
              </w:rPr>
            </w:pPr>
            <w:r w:rsidRPr="00661832">
              <w:rPr>
                <w:rFonts w:ascii="Arial" w:hAnsi="Arial" w:cs="Arial"/>
                <w:sz w:val="20"/>
                <w:szCs w:val="20"/>
              </w:rPr>
              <w:t>Partially funded</w:t>
            </w:r>
            <w:r w:rsidR="00443061" w:rsidRPr="00661832">
              <w:rPr>
                <w:rFonts w:ascii="Arial" w:hAnsi="Arial" w:cs="Arial"/>
                <w:sz w:val="20"/>
                <w:szCs w:val="20"/>
              </w:rPr>
              <w:t xml:space="preserve"> through social impact bond</w:t>
            </w:r>
            <w:r w:rsidRPr="00661832">
              <w:rPr>
                <w:rFonts w:ascii="Arial" w:hAnsi="Arial" w:cs="Arial"/>
                <w:sz w:val="20"/>
                <w:szCs w:val="20"/>
              </w:rPr>
              <w:t>. Supplemental funding from philanthropy. Implementing partner had in-scope operational funds.</w:t>
            </w:r>
          </w:p>
          <w:p w14:paraId="34734F6E" w14:textId="72CB342C" w:rsidR="00C71E86" w:rsidRPr="00661832" w:rsidRDefault="00C71E86" w:rsidP="00C71E86">
            <w:pPr>
              <w:rPr>
                <w:rFonts w:ascii="Arial" w:hAnsi="Arial" w:cs="Arial"/>
                <w:sz w:val="20"/>
                <w:szCs w:val="20"/>
              </w:rPr>
            </w:pPr>
          </w:p>
        </w:tc>
        <w:tc>
          <w:tcPr>
            <w:tcW w:w="876" w:type="pct"/>
            <w:shd w:val="clear" w:color="auto" w:fill="auto"/>
          </w:tcPr>
          <w:p w14:paraId="46BB0ECB" w14:textId="2114A79D" w:rsidR="00C71E86" w:rsidRPr="00661832" w:rsidRDefault="00443061" w:rsidP="00C71E86">
            <w:pPr>
              <w:rPr>
                <w:rFonts w:ascii="Arial" w:hAnsi="Arial" w:cs="Arial"/>
                <w:sz w:val="20"/>
                <w:szCs w:val="20"/>
              </w:rPr>
            </w:pPr>
            <w:r w:rsidRPr="00661832">
              <w:rPr>
                <w:rFonts w:ascii="Arial" w:hAnsi="Arial" w:cs="Arial"/>
                <w:sz w:val="20"/>
                <w:szCs w:val="20"/>
              </w:rPr>
              <w:t>GBV research</w:t>
            </w:r>
            <w:r w:rsidR="007F464D" w:rsidRPr="00661832">
              <w:rPr>
                <w:rFonts w:ascii="Arial" w:hAnsi="Arial" w:cs="Arial"/>
                <w:sz w:val="20"/>
                <w:szCs w:val="20"/>
              </w:rPr>
              <w:t xml:space="preserve"> is often low priority,</w:t>
            </w:r>
            <w:r w:rsidRPr="00661832">
              <w:rPr>
                <w:rFonts w:ascii="Arial" w:hAnsi="Arial" w:cs="Arial"/>
                <w:sz w:val="20"/>
                <w:szCs w:val="20"/>
              </w:rPr>
              <w:t xml:space="preserve"> creat</w:t>
            </w:r>
            <w:r w:rsidR="007F464D" w:rsidRPr="00661832">
              <w:rPr>
                <w:rFonts w:ascii="Arial" w:hAnsi="Arial" w:cs="Arial"/>
                <w:sz w:val="20"/>
                <w:szCs w:val="20"/>
              </w:rPr>
              <w:t>ing</w:t>
            </w:r>
            <w:r w:rsidRPr="00661832">
              <w:rPr>
                <w:rFonts w:ascii="Arial" w:hAnsi="Arial" w:cs="Arial"/>
                <w:sz w:val="20"/>
                <w:szCs w:val="20"/>
              </w:rPr>
              <w:t xml:space="preserve"> need for multiple funding streams. Government funding supports larger projects. Primary costs are often labor</w:t>
            </w:r>
            <w:r w:rsidR="007F464D" w:rsidRPr="00661832">
              <w:rPr>
                <w:rFonts w:ascii="Arial" w:hAnsi="Arial" w:cs="Arial"/>
                <w:sz w:val="20"/>
                <w:szCs w:val="20"/>
              </w:rPr>
              <w:t>. Actual effort typically exceeds budgeted effort</w:t>
            </w:r>
            <w:r w:rsidRPr="00661832">
              <w:rPr>
                <w:rFonts w:ascii="Arial" w:hAnsi="Arial" w:cs="Arial"/>
                <w:sz w:val="20"/>
                <w:szCs w:val="20"/>
              </w:rPr>
              <w:t xml:space="preserve"> </w:t>
            </w:r>
          </w:p>
        </w:tc>
      </w:tr>
      <w:tr w:rsidR="00661832" w:rsidRPr="00661832" w14:paraId="34C7C06D" w14:textId="77777777" w:rsidTr="00661832">
        <w:tc>
          <w:tcPr>
            <w:tcW w:w="5000" w:type="pct"/>
            <w:gridSpan w:val="6"/>
            <w:shd w:val="clear" w:color="auto" w:fill="E8E8E8" w:themeFill="background2"/>
          </w:tcPr>
          <w:p w14:paraId="63AE678F" w14:textId="359AC8D9" w:rsidR="00661832" w:rsidRPr="00661832" w:rsidRDefault="00661832" w:rsidP="00C71E86">
            <w:pPr>
              <w:rPr>
                <w:rFonts w:ascii="Arial" w:hAnsi="Arial" w:cs="Arial"/>
                <w:sz w:val="20"/>
                <w:szCs w:val="20"/>
              </w:rPr>
            </w:pPr>
            <w:r w:rsidRPr="00661832">
              <w:rPr>
                <w:rFonts w:ascii="Arial" w:hAnsi="Arial" w:cs="Arial"/>
                <w:b/>
                <w:bCs/>
                <w:sz w:val="20"/>
                <w:szCs w:val="20"/>
              </w:rPr>
              <w:t>Innovation</w:t>
            </w:r>
          </w:p>
        </w:tc>
      </w:tr>
      <w:tr w:rsidR="00C65505" w:rsidRPr="00661832" w14:paraId="6382939B" w14:textId="77777777" w:rsidTr="00661832">
        <w:tc>
          <w:tcPr>
            <w:tcW w:w="624" w:type="pct"/>
            <w:shd w:val="clear" w:color="auto" w:fill="auto"/>
          </w:tcPr>
          <w:p w14:paraId="7490458D" w14:textId="2F7F89B0" w:rsidR="00C65505" w:rsidRPr="00661832" w:rsidRDefault="00C65505" w:rsidP="00C65505">
            <w:pPr>
              <w:rPr>
                <w:rFonts w:ascii="Arial" w:hAnsi="Arial" w:cs="Arial"/>
                <w:sz w:val="20"/>
                <w:szCs w:val="20"/>
              </w:rPr>
            </w:pPr>
          </w:p>
        </w:tc>
        <w:tc>
          <w:tcPr>
            <w:tcW w:w="875" w:type="pct"/>
            <w:shd w:val="clear" w:color="auto" w:fill="auto"/>
          </w:tcPr>
          <w:p w14:paraId="5DC91EF1" w14:textId="13CE2379" w:rsidR="00C65505" w:rsidRPr="00661832" w:rsidRDefault="00C65505" w:rsidP="00661832">
            <w:pPr>
              <w:tabs>
                <w:tab w:val="left" w:pos="1602"/>
              </w:tabs>
              <w:jc w:val="center"/>
              <w:rPr>
                <w:rFonts w:ascii="Arial" w:hAnsi="Arial" w:cs="Arial"/>
                <w:i/>
                <w:iCs/>
                <w:sz w:val="20"/>
                <w:szCs w:val="20"/>
              </w:rPr>
            </w:pPr>
            <w:r w:rsidRPr="00661832">
              <w:rPr>
                <w:rFonts w:ascii="Arial" w:hAnsi="Arial" w:cs="Arial"/>
                <w:i/>
                <w:iCs/>
                <w:sz w:val="20"/>
                <w:szCs w:val="20"/>
              </w:rPr>
              <w:t>YMNN</w:t>
            </w:r>
          </w:p>
        </w:tc>
        <w:tc>
          <w:tcPr>
            <w:tcW w:w="875" w:type="pct"/>
            <w:shd w:val="clear" w:color="auto" w:fill="auto"/>
          </w:tcPr>
          <w:p w14:paraId="07B4F2F9" w14:textId="663388AF" w:rsidR="00C65505" w:rsidRPr="00661832" w:rsidRDefault="00C65505" w:rsidP="00661832">
            <w:pPr>
              <w:jc w:val="center"/>
              <w:rPr>
                <w:rFonts w:ascii="Arial" w:hAnsi="Arial" w:cs="Arial"/>
                <w:i/>
                <w:iCs/>
                <w:sz w:val="20"/>
                <w:szCs w:val="20"/>
              </w:rPr>
            </w:pPr>
            <w:r w:rsidRPr="00661832">
              <w:rPr>
                <w:rFonts w:ascii="Arial" w:hAnsi="Arial" w:cs="Arial"/>
                <w:i/>
                <w:iCs/>
                <w:sz w:val="20"/>
                <w:szCs w:val="20"/>
              </w:rPr>
              <w:t>#GC</w:t>
            </w:r>
          </w:p>
        </w:tc>
        <w:tc>
          <w:tcPr>
            <w:tcW w:w="875" w:type="pct"/>
            <w:shd w:val="clear" w:color="auto" w:fill="auto"/>
          </w:tcPr>
          <w:p w14:paraId="43D9F1C1" w14:textId="56FD9683" w:rsidR="00C65505" w:rsidRPr="00661832" w:rsidRDefault="00661832" w:rsidP="00661832">
            <w:pPr>
              <w:jc w:val="center"/>
              <w:rPr>
                <w:rFonts w:ascii="Arial" w:hAnsi="Arial" w:cs="Arial"/>
                <w:i/>
                <w:iCs/>
                <w:sz w:val="20"/>
                <w:szCs w:val="20"/>
              </w:rPr>
            </w:pPr>
            <w:r w:rsidRPr="00661832">
              <w:rPr>
                <w:rFonts w:ascii="Arial" w:hAnsi="Arial" w:cs="Arial"/>
                <w:i/>
                <w:iCs/>
                <w:sz w:val="20"/>
                <w:szCs w:val="20"/>
              </w:rPr>
              <w:t>ISHIPUS</w:t>
            </w:r>
          </w:p>
        </w:tc>
        <w:tc>
          <w:tcPr>
            <w:tcW w:w="875" w:type="pct"/>
            <w:shd w:val="clear" w:color="auto" w:fill="auto"/>
          </w:tcPr>
          <w:p w14:paraId="1B1C54E7" w14:textId="0B0C147F" w:rsidR="00C65505" w:rsidRPr="00661832" w:rsidRDefault="00C65505" w:rsidP="00661832">
            <w:pPr>
              <w:jc w:val="center"/>
              <w:rPr>
                <w:rFonts w:ascii="Arial" w:hAnsi="Arial" w:cs="Arial"/>
                <w:i/>
                <w:iCs/>
                <w:sz w:val="20"/>
                <w:szCs w:val="20"/>
              </w:rPr>
            </w:pPr>
            <w:r w:rsidRPr="00661832">
              <w:rPr>
                <w:rFonts w:ascii="Arial" w:hAnsi="Arial" w:cs="Arial"/>
                <w:i/>
                <w:iCs/>
                <w:sz w:val="20"/>
                <w:szCs w:val="20"/>
              </w:rPr>
              <w:t>Ntombi Vimbela</w:t>
            </w:r>
          </w:p>
        </w:tc>
        <w:tc>
          <w:tcPr>
            <w:tcW w:w="876" w:type="pct"/>
            <w:shd w:val="clear" w:color="auto" w:fill="auto"/>
          </w:tcPr>
          <w:p w14:paraId="28F1E8F4" w14:textId="697B07A1" w:rsidR="00C65505" w:rsidRPr="00661832" w:rsidRDefault="00C65505" w:rsidP="00661832">
            <w:pPr>
              <w:jc w:val="center"/>
              <w:rPr>
                <w:rFonts w:ascii="Arial" w:hAnsi="Arial" w:cs="Arial"/>
                <w:i/>
                <w:iCs/>
                <w:sz w:val="20"/>
                <w:szCs w:val="20"/>
              </w:rPr>
            </w:pPr>
            <w:r w:rsidRPr="00661832">
              <w:rPr>
                <w:rFonts w:ascii="Arial" w:hAnsi="Arial" w:cs="Arial"/>
                <w:i/>
                <w:iCs/>
                <w:sz w:val="20"/>
                <w:szCs w:val="20"/>
              </w:rPr>
              <w:t>Unique concerns?</w:t>
            </w:r>
          </w:p>
        </w:tc>
      </w:tr>
      <w:tr w:rsidR="00C65505" w:rsidRPr="00661832" w14:paraId="3152DD26" w14:textId="77777777" w:rsidTr="00661832">
        <w:tc>
          <w:tcPr>
            <w:tcW w:w="624" w:type="pct"/>
            <w:shd w:val="clear" w:color="auto" w:fill="auto"/>
          </w:tcPr>
          <w:p w14:paraId="6A48E411" w14:textId="3CFC0A4A" w:rsidR="00C65505" w:rsidRPr="00661832" w:rsidRDefault="00EF0998" w:rsidP="00C65505">
            <w:pPr>
              <w:rPr>
                <w:rFonts w:ascii="Arial" w:hAnsi="Arial" w:cs="Arial"/>
                <w:sz w:val="20"/>
                <w:szCs w:val="20"/>
              </w:rPr>
            </w:pPr>
            <w:r w:rsidRPr="00661832">
              <w:rPr>
                <w:rFonts w:ascii="Arial" w:hAnsi="Arial" w:cs="Arial"/>
                <w:sz w:val="20"/>
                <w:szCs w:val="20"/>
              </w:rPr>
              <w:t>Source</w:t>
            </w:r>
          </w:p>
        </w:tc>
        <w:tc>
          <w:tcPr>
            <w:tcW w:w="875" w:type="pct"/>
            <w:shd w:val="clear" w:color="auto" w:fill="auto"/>
          </w:tcPr>
          <w:p w14:paraId="09624748" w14:textId="2C6ACABA" w:rsidR="00C65505" w:rsidRPr="00661832" w:rsidRDefault="00021C33" w:rsidP="00C65505">
            <w:pPr>
              <w:tabs>
                <w:tab w:val="left" w:pos="1602"/>
              </w:tabs>
              <w:rPr>
                <w:rFonts w:ascii="Arial" w:hAnsi="Arial" w:cs="Arial"/>
                <w:sz w:val="20"/>
                <w:szCs w:val="20"/>
              </w:rPr>
            </w:pPr>
            <w:r w:rsidRPr="00661832">
              <w:rPr>
                <w:rFonts w:ascii="Arial" w:hAnsi="Arial" w:cs="Arial"/>
                <w:sz w:val="20"/>
                <w:szCs w:val="20"/>
              </w:rPr>
              <w:t>Develop by students for students at UNESWA in collaboration with UCSD</w:t>
            </w:r>
          </w:p>
        </w:tc>
        <w:tc>
          <w:tcPr>
            <w:tcW w:w="875" w:type="pct"/>
            <w:shd w:val="clear" w:color="auto" w:fill="auto"/>
          </w:tcPr>
          <w:p w14:paraId="1A55463D" w14:textId="79472F7A" w:rsidR="00C65505" w:rsidRPr="00661832" w:rsidRDefault="00021C33" w:rsidP="00C65505">
            <w:pPr>
              <w:rPr>
                <w:rFonts w:ascii="Arial" w:hAnsi="Arial" w:cs="Arial"/>
                <w:sz w:val="20"/>
                <w:szCs w:val="20"/>
              </w:rPr>
            </w:pPr>
            <w:r w:rsidRPr="00661832">
              <w:rPr>
                <w:rFonts w:ascii="Arial" w:hAnsi="Arial" w:cs="Arial"/>
                <w:sz w:val="20"/>
                <w:szCs w:val="20"/>
              </w:rPr>
              <w:t>Started from World Bank funding</w:t>
            </w:r>
            <w:r w:rsidR="007F464D" w:rsidRPr="00661832">
              <w:rPr>
                <w:rFonts w:ascii="Arial" w:hAnsi="Arial" w:cs="Arial"/>
                <w:sz w:val="20"/>
                <w:szCs w:val="20"/>
              </w:rPr>
              <w:t>. Adapted innovation c</w:t>
            </w:r>
            <w:r w:rsidRPr="00661832">
              <w:rPr>
                <w:rFonts w:ascii="Arial" w:hAnsi="Arial" w:cs="Arial"/>
                <w:sz w:val="20"/>
                <w:szCs w:val="20"/>
              </w:rPr>
              <w:t>reated by researchers in Canada</w:t>
            </w:r>
          </w:p>
        </w:tc>
        <w:tc>
          <w:tcPr>
            <w:tcW w:w="875" w:type="pct"/>
            <w:shd w:val="clear" w:color="auto" w:fill="auto"/>
          </w:tcPr>
          <w:p w14:paraId="547444A9" w14:textId="4FC72812" w:rsidR="00C65505" w:rsidRPr="00661832" w:rsidRDefault="00021C33" w:rsidP="00C65505">
            <w:pPr>
              <w:rPr>
                <w:rFonts w:ascii="Arial" w:hAnsi="Arial" w:cs="Arial"/>
                <w:sz w:val="20"/>
                <w:szCs w:val="20"/>
              </w:rPr>
            </w:pPr>
            <w:r w:rsidRPr="00661832">
              <w:rPr>
                <w:rFonts w:ascii="Arial" w:hAnsi="Arial" w:cs="Arial"/>
                <w:sz w:val="20"/>
                <w:szCs w:val="20"/>
              </w:rPr>
              <w:t>For-profit app</w:t>
            </w:r>
            <w:r w:rsidR="007F464D" w:rsidRPr="00661832">
              <w:rPr>
                <w:rFonts w:ascii="Arial" w:hAnsi="Arial" w:cs="Arial"/>
                <w:sz w:val="20"/>
                <w:szCs w:val="20"/>
              </w:rPr>
              <w:t xml:space="preserve"> with </w:t>
            </w:r>
            <w:r w:rsidRPr="00661832">
              <w:rPr>
                <w:rFonts w:ascii="Arial" w:hAnsi="Arial" w:cs="Arial"/>
                <w:sz w:val="20"/>
                <w:szCs w:val="20"/>
              </w:rPr>
              <w:t xml:space="preserve">pilot funding from </w:t>
            </w:r>
            <w:r w:rsidR="007F464D" w:rsidRPr="00661832">
              <w:rPr>
                <w:rFonts w:ascii="Arial" w:hAnsi="Arial" w:cs="Arial"/>
                <w:sz w:val="20"/>
                <w:szCs w:val="20"/>
              </w:rPr>
              <w:t>home institution. Access to app provided in-kind by app developers.</w:t>
            </w:r>
          </w:p>
        </w:tc>
        <w:tc>
          <w:tcPr>
            <w:tcW w:w="875" w:type="pct"/>
            <w:shd w:val="clear" w:color="auto" w:fill="auto"/>
          </w:tcPr>
          <w:p w14:paraId="0B7AF192" w14:textId="24C7CB34" w:rsidR="00C65505" w:rsidRPr="00661832" w:rsidRDefault="00021C33" w:rsidP="00C65505">
            <w:pPr>
              <w:rPr>
                <w:rFonts w:ascii="Arial" w:hAnsi="Arial" w:cs="Arial"/>
                <w:sz w:val="20"/>
                <w:szCs w:val="20"/>
              </w:rPr>
            </w:pPr>
            <w:r w:rsidRPr="00661832">
              <w:rPr>
                <w:rFonts w:ascii="Arial" w:hAnsi="Arial" w:cs="Arial"/>
                <w:sz w:val="20"/>
                <w:szCs w:val="20"/>
              </w:rPr>
              <w:t>Informed by</w:t>
            </w:r>
            <w:r w:rsidR="007F464D" w:rsidRPr="00661832">
              <w:rPr>
                <w:rFonts w:ascii="Arial" w:hAnsi="Arial" w:cs="Arial"/>
                <w:sz w:val="20"/>
                <w:szCs w:val="20"/>
              </w:rPr>
              <w:t xml:space="preserve"> </w:t>
            </w:r>
            <w:r w:rsidRPr="00661832">
              <w:rPr>
                <w:rFonts w:ascii="Arial" w:hAnsi="Arial" w:cs="Arial"/>
                <w:sz w:val="20"/>
                <w:szCs w:val="20"/>
              </w:rPr>
              <w:t>formative research with students on campuses, and adaptation of EBIs</w:t>
            </w:r>
            <w:r w:rsidR="007F464D" w:rsidRPr="00661832">
              <w:rPr>
                <w:rFonts w:ascii="Arial" w:hAnsi="Arial" w:cs="Arial"/>
                <w:sz w:val="20"/>
                <w:szCs w:val="20"/>
              </w:rPr>
              <w:t>.</w:t>
            </w:r>
          </w:p>
        </w:tc>
        <w:tc>
          <w:tcPr>
            <w:tcW w:w="876" w:type="pct"/>
            <w:shd w:val="clear" w:color="auto" w:fill="auto"/>
          </w:tcPr>
          <w:p w14:paraId="06923048" w14:textId="62013FD7" w:rsidR="00C65505" w:rsidRPr="00661832" w:rsidRDefault="00021C33" w:rsidP="00C65505">
            <w:pPr>
              <w:rPr>
                <w:rFonts w:ascii="Arial" w:hAnsi="Arial" w:cs="Arial"/>
                <w:sz w:val="20"/>
                <w:szCs w:val="20"/>
              </w:rPr>
            </w:pPr>
            <w:r w:rsidRPr="00661832">
              <w:rPr>
                <w:rFonts w:ascii="Arial" w:hAnsi="Arial" w:cs="Arial"/>
                <w:sz w:val="20"/>
                <w:szCs w:val="20"/>
              </w:rPr>
              <w:t>Multiple voices (facilitators and students) included</w:t>
            </w:r>
          </w:p>
        </w:tc>
      </w:tr>
      <w:tr w:rsidR="00EF0998" w:rsidRPr="00661832" w14:paraId="6A20721B" w14:textId="77777777" w:rsidTr="00661832">
        <w:tc>
          <w:tcPr>
            <w:tcW w:w="624" w:type="pct"/>
            <w:shd w:val="clear" w:color="auto" w:fill="auto"/>
          </w:tcPr>
          <w:p w14:paraId="2D4FEDD3" w14:textId="65DC1513" w:rsidR="00EF0998" w:rsidRPr="00661832" w:rsidRDefault="001222A8" w:rsidP="00C65505">
            <w:pPr>
              <w:rPr>
                <w:rFonts w:ascii="Arial" w:hAnsi="Arial" w:cs="Arial"/>
                <w:sz w:val="20"/>
                <w:szCs w:val="20"/>
              </w:rPr>
            </w:pPr>
            <w:r w:rsidRPr="00661832">
              <w:rPr>
                <w:rFonts w:ascii="Arial" w:hAnsi="Arial" w:cs="Arial"/>
                <w:sz w:val="20"/>
                <w:szCs w:val="20"/>
              </w:rPr>
              <w:t>Evidence base</w:t>
            </w:r>
          </w:p>
        </w:tc>
        <w:tc>
          <w:tcPr>
            <w:tcW w:w="875" w:type="pct"/>
            <w:shd w:val="clear" w:color="auto" w:fill="auto"/>
          </w:tcPr>
          <w:p w14:paraId="6E637F95" w14:textId="48C2391F" w:rsidR="00EF0998" w:rsidRPr="00661832" w:rsidRDefault="001222A8" w:rsidP="00C65505">
            <w:pPr>
              <w:tabs>
                <w:tab w:val="left" w:pos="1602"/>
              </w:tabs>
              <w:rPr>
                <w:rFonts w:ascii="Arial" w:hAnsi="Arial" w:cs="Arial"/>
                <w:sz w:val="20"/>
                <w:szCs w:val="20"/>
              </w:rPr>
            </w:pPr>
            <w:r w:rsidRPr="00661832">
              <w:rPr>
                <w:rFonts w:ascii="Arial" w:hAnsi="Arial" w:cs="Arial"/>
                <w:sz w:val="20"/>
                <w:szCs w:val="20"/>
              </w:rPr>
              <w:t xml:space="preserve">Theater testing in-person showed acceptability of project implementation in-person rather than online- however we haven’t </w:t>
            </w:r>
            <w:proofErr w:type="gramStart"/>
            <w:r w:rsidRPr="00661832">
              <w:rPr>
                <w:rFonts w:ascii="Arial" w:hAnsi="Arial" w:cs="Arial"/>
                <w:sz w:val="20"/>
                <w:szCs w:val="20"/>
              </w:rPr>
              <w:t>pilot</w:t>
            </w:r>
            <w:proofErr w:type="gramEnd"/>
            <w:r w:rsidRPr="00661832">
              <w:rPr>
                <w:rFonts w:ascii="Arial" w:hAnsi="Arial" w:cs="Arial"/>
                <w:sz w:val="20"/>
                <w:szCs w:val="20"/>
              </w:rPr>
              <w:t xml:space="preserve"> an in-person intervention yet</w:t>
            </w:r>
          </w:p>
        </w:tc>
        <w:tc>
          <w:tcPr>
            <w:tcW w:w="875" w:type="pct"/>
            <w:shd w:val="clear" w:color="auto" w:fill="auto"/>
          </w:tcPr>
          <w:p w14:paraId="7A225F5A" w14:textId="0740F14E" w:rsidR="00EF0998" w:rsidRPr="00661832" w:rsidRDefault="001222A8" w:rsidP="00C65505">
            <w:pPr>
              <w:rPr>
                <w:rFonts w:ascii="Arial" w:hAnsi="Arial" w:cs="Arial"/>
                <w:sz w:val="20"/>
                <w:szCs w:val="20"/>
              </w:rPr>
            </w:pPr>
            <w:r w:rsidRPr="00661832">
              <w:rPr>
                <w:rFonts w:ascii="Arial" w:hAnsi="Arial" w:cs="Arial"/>
                <w:sz w:val="20"/>
                <w:szCs w:val="20"/>
              </w:rPr>
              <w:t>RCT demonstrated efficacy and effectiveness in North American contexts</w:t>
            </w:r>
          </w:p>
        </w:tc>
        <w:tc>
          <w:tcPr>
            <w:tcW w:w="875" w:type="pct"/>
            <w:shd w:val="clear" w:color="auto" w:fill="auto"/>
          </w:tcPr>
          <w:p w14:paraId="13B0F303" w14:textId="64979399" w:rsidR="00EF0998" w:rsidRPr="00661832" w:rsidRDefault="001222A8" w:rsidP="00C65505">
            <w:pPr>
              <w:rPr>
                <w:rFonts w:ascii="Arial" w:hAnsi="Arial" w:cs="Arial"/>
                <w:sz w:val="20"/>
                <w:szCs w:val="20"/>
              </w:rPr>
            </w:pPr>
            <w:r w:rsidRPr="00661832">
              <w:rPr>
                <w:rFonts w:ascii="Arial" w:hAnsi="Arial" w:cs="Arial"/>
                <w:sz w:val="20"/>
                <w:szCs w:val="20"/>
              </w:rPr>
              <w:t>Evidence informed, but not evidence based (need clarification). Worked with researchers to design but this app has not been evaluated.</w:t>
            </w:r>
          </w:p>
        </w:tc>
        <w:tc>
          <w:tcPr>
            <w:tcW w:w="875" w:type="pct"/>
            <w:shd w:val="clear" w:color="auto" w:fill="auto"/>
          </w:tcPr>
          <w:p w14:paraId="0667828D" w14:textId="71BF3558" w:rsidR="00EF0998" w:rsidRPr="00661832" w:rsidRDefault="001222A8" w:rsidP="00C65505">
            <w:pPr>
              <w:rPr>
                <w:rFonts w:ascii="Arial" w:hAnsi="Arial" w:cs="Arial"/>
                <w:sz w:val="20"/>
                <w:szCs w:val="20"/>
              </w:rPr>
            </w:pPr>
            <w:r w:rsidRPr="00661832">
              <w:rPr>
                <w:rFonts w:ascii="Arial" w:hAnsi="Arial" w:cs="Arial"/>
                <w:sz w:val="20"/>
                <w:szCs w:val="20"/>
              </w:rPr>
              <w:t>NV! was piloted through a one arm pilot with the intervention group across 8 campuses in 5 provinces in SA. Students found the content of NV! relevant, appropriate for their setting</w:t>
            </w:r>
            <w:r w:rsidR="00661832">
              <w:rPr>
                <w:rFonts w:ascii="Arial" w:hAnsi="Arial" w:cs="Arial"/>
                <w:sz w:val="20"/>
                <w:szCs w:val="20"/>
              </w:rPr>
              <w:t>.</w:t>
            </w:r>
            <w:r w:rsidRPr="00661832">
              <w:rPr>
                <w:rFonts w:ascii="Arial" w:hAnsi="Arial" w:cs="Arial"/>
                <w:sz w:val="20"/>
                <w:szCs w:val="20"/>
              </w:rPr>
              <w:t xml:space="preserve"> They reported that NV! empowered them with skills to assess and deal with sexual assault</w:t>
            </w:r>
            <w:r w:rsidR="00661832">
              <w:rPr>
                <w:rFonts w:ascii="Arial" w:hAnsi="Arial" w:cs="Arial"/>
                <w:sz w:val="20"/>
                <w:szCs w:val="20"/>
              </w:rPr>
              <w:t xml:space="preserve"> </w:t>
            </w:r>
            <w:r w:rsidRPr="00661832">
              <w:rPr>
                <w:rFonts w:ascii="Arial" w:hAnsi="Arial" w:cs="Arial"/>
                <w:sz w:val="20"/>
                <w:szCs w:val="20"/>
              </w:rPr>
              <w:t>risky situations</w:t>
            </w:r>
            <w:r w:rsidR="00661832">
              <w:rPr>
                <w:rFonts w:ascii="Arial" w:hAnsi="Arial" w:cs="Arial"/>
                <w:sz w:val="20"/>
                <w:szCs w:val="20"/>
              </w:rPr>
              <w:t>.</w:t>
            </w:r>
          </w:p>
        </w:tc>
        <w:tc>
          <w:tcPr>
            <w:tcW w:w="876" w:type="pct"/>
            <w:shd w:val="clear" w:color="auto" w:fill="auto"/>
          </w:tcPr>
          <w:p w14:paraId="3286C538" w14:textId="77777777" w:rsidR="000F0A73" w:rsidRPr="00661832" w:rsidRDefault="000F0A73" w:rsidP="00C65505">
            <w:pPr>
              <w:rPr>
                <w:rFonts w:ascii="Arial" w:hAnsi="Arial" w:cs="Arial"/>
                <w:sz w:val="20"/>
                <w:szCs w:val="20"/>
              </w:rPr>
            </w:pPr>
            <w:r w:rsidRPr="00661832">
              <w:rPr>
                <w:rFonts w:ascii="Arial" w:hAnsi="Arial" w:cs="Arial"/>
                <w:sz w:val="20"/>
                <w:szCs w:val="20"/>
              </w:rPr>
              <w:t>Important to clarify how we define</w:t>
            </w:r>
            <w:r w:rsidR="001222A8" w:rsidRPr="00661832">
              <w:rPr>
                <w:rFonts w:ascii="Arial" w:hAnsi="Arial" w:cs="Arial"/>
                <w:sz w:val="20"/>
                <w:szCs w:val="20"/>
              </w:rPr>
              <w:t xml:space="preserve"> evidence-based and what kind of evidence</w:t>
            </w:r>
            <w:r w:rsidRPr="00661832">
              <w:rPr>
                <w:rFonts w:ascii="Arial" w:hAnsi="Arial" w:cs="Arial"/>
                <w:sz w:val="20"/>
                <w:szCs w:val="20"/>
              </w:rPr>
              <w:t xml:space="preserve"> is meaningful to different stakeholders</w:t>
            </w:r>
            <w:r w:rsidR="001222A8" w:rsidRPr="00661832">
              <w:rPr>
                <w:rFonts w:ascii="Arial" w:hAnsi="Arial" w:cs="Arial"/>
                <w:sz w:val="20"/>
                <w:szCs w:val="20"/>
              </w:rPr>
              <w:t xml:space="preserve">. </w:t>
            </w:r>
          </w:p>
          <w:p w14:paraId="4C080123" w14:textId="77583008" w:rsidR="00EF0998" w:rsidRPr="00661832" w:rsidRDefault="00EF0998" w:rsidP="00C65505">
            <w:pPr>
              <w:rPr>
                <w:rFonts w:ascii="Arial" w:hAnsi="Arial" w:cs="Arial"/>
                <w:sz w:val="20"/>
                <w:szCs w:val="20"/>
              </w:rPr>
            </w:pPr>
          </w:p>
        </w:tc>
      </w:tr>
    </w:tbl>
    <w:p w14:paraId="5957A968" w14:textId="77777777" w:rsidR="00661832" w:rsidRDefault="00661832">
      <w:r>
        <w:br w:type="page"/>
      </w:r>
    </w:p>
    <w:tbl>
      <w:tblPr>
        <w:tblStyle w:val="TableGrid"/>
        <w:tblW w:w="5000" w:type="pct"/>
        <w:tblLook w:val="04A0" w:firstRow="1" w:lastRow="0" w:firstColumn="1" w:lastColumn="0" w:noHBand="0" w:noVBand="1"/>
      </w:tblPr>
      <w:tblGrid>
        <w:gridCol w:w="1797"/>
        <w:gridCol w:w="2518"/>
        <w:gridCol w:w="2518"/>
        <w:gridCol w:w="2518"/>
        <w:gridCol w:w="2518"/>
        <w:gridCol w:w="2521"/>
      </w:tblGrid>
      <w:tr w:rsidR="00845461" w:rsidRPr="00661832" w14:paraId="0612CF55" w14:textId="77777777" w:rsidTr="00661832">
        <w:tc>
          <w:tcPr>
            <w:tcW w:w="5000" w:type="pct"/>
            <w:gridSpan w:val="6"/>
            <w:shd w:val="clear" w:color="auto" w:fill="E8E8E8" w:themeFill="background2"/>
          </w:tcPr>
          <w:p w14:paraId="0F608D20" w14:textId="4F6E664E" w:rsidR="00845461" w:rsidRPr="00661832" w:rsidRDefault="00845461" w:rsidP="00C65505">
            <w:pPr>
              <w:rPr>
                <w:rFonts w:ascii="Arial" w:hAnsi="Arial" w:cs="Arial"/>
                <w:sz w:val="20"/>
                <w:szCs w:val="20"/>
              </w:rPr>
            </w:pPr>
            <w:r w:rsidRPr="00661832">
              <w:rPr>
                <w:rFonts w:ascii="Arial" w:hAnsi="Arial" w:cs="Arial"/>
                <w:b/>
                <w:bCs/>
                <w:sz w:val="20"/>
                <w:szCs w:val="20"/>
              </w:rPr>
              <w:lastRenderedPageBreak/>
              <w:t>Process</w:t>
            </w:r>
          </w:p>
        </w:tc>
      </w:tr>
      <w:tr w:rsidR="00EF0998" w:rsidRPr="00661832" w14:paraId="5E427383" w14:textId="77777777" w:rsidTr="00661832">
        <w:tc>
          <w:tcPr>
            <w:tcW w:w="624" w:type="pct"/>
            <w:shd w:val="clear" w:color="auto" w:fill="auto"/>
          </w:tcPr>
          <w:p w14:paraId="3C44B3B4" w14:textId="563152D8" w:rsidR="00EF0998" w:rsidRPr="00661832" w:rsidRDefault="00EF0998" w:rsidP="00EF0998">
            <w:pPr>
              <w:rPr>
                <w:rFonts w:ascii="Arial" w:hAnsi="Arial" w:cs="Arial"/>
                <w:sz w:val="20"/>
                <w:szCs w:val="20"/>
              </w:rPr>
            </w:pPr>
          </w:p>
        </w:tc>
        <w:tc>
          <w:tcPr>
            <w:tcW w:w="875" w:type="pct"/>
            <w:shd w:val="clear" w:color="auto" w:fill="auto"/>
          </w:tcPr>
          <w:p w14:paraId="32AEC21B" w14:textId="6181D576" w:rsidR="00EF0998" w:rsidRPr="00661832" w:rsidRDefault="00EF0998" w:rsidP="00661832">
            <w:pPr>
              <w:tabs>
                <w:tab w:val="left" w:pos="1602"/>
              </w:tabs>
              <w:jc w:val="center"/>
              <w:rPr>
                <w:rFonts w:ascii="Arial" w:hAnsi="Arial" w:cs="Arial"/>
                <w:i/>
                <w:iCs/>
                <w:sz w:val="20"/>
                <w:szCs w:val="20"/>
              </w:rPr>
            </w:pPr>
            <w:r w:rsidRPr="00661832">
              <w:rPr>
                <w:rFonts w:ascii="Arial" w:hAnsi="Arial" w:cs="Arial"/>
                <w:i/>
                <w:iCs/>
                <w:sz w:val="20"/>
                <w:szCs w:val="20"/>
              </w:rPr>
              <w:t>YMNN</w:t>
            </w:r>
          </w:p>
        </w:tc>
        <w:tc>
          <w:tcPr>
            <w:tcW w:w="875" w:type="pct"/>
            <w:shd w:val="clear" w:color="auto" w:fill="auto"/>
          </w:tcPr>
          <w:p w14:paraId="755944BF" w14:textId="4CE6F10C" w:rsidR="00EF0998" w:rsidRPr="00661832" w:rsidRDefault="00EF0998" w:rsidP="00661832">
            <w:pPr>
              <w:jc w:val="center"/>
              <w:rPr>
                <w:rFonts w:ascii="Arial" w:hAnsi="Arial" w:cs="Arial"/>
                <w:i/>
                <w:iCs/>
                <w:sz w:val="20"/>
                <w:szCs w:val="20"/>
              </w:rPr>
            </w:pPr>
            <w:r w:rsidRPr="00661832">
              <w:rPr>
                <w:rFonts w:ascii="Arial" w:hAnsi="Arial" w:cs="Arial"/>
                <w:i/>
                <w:iCs/>
                <w:sz w:val="20"/>
                <w:szCs w:val="20"/>
              </w:rPr>
              <w:t>#GC</w:t>
            </w:r>
          </w:p>
        </w:tc>
        <w:tc>
          <w:tcPr>
            <w:tcW w:w="875" w:type="pct"/>
            <w:shd w:val="clear" w:color="auto" w:fill="auto"/>
          </w:tcPr>
          <w:p w14:paraId="7CAF4367" w14:textId="382FB52F" w:rsidR="00EF0998" w:rsidRPr="00661832" w:rsidRDefault="00661832" w:rsidP="00661832">
            <w:pPr>
              <w:jc w:val="center"/>
              <w:rPr>
                <w:rFonts w:ascii="Arial" w:hAnsi="Arial" w:cs="Arial"/>
                <w:i/>
                <w:iCs/>
                <w:sz w:val="20"/>
                <w:szCs w:val="20"/>
              </w:rPr>
            </w:pPr>
            <w:r w:rsidRPr="00661832">
              <w:rPr>
                <w:rFonts w:ascii="Arial" w:hAnsi="Arial" w:cs="Arial"/>
                <w:i/>
                <w:iCs/>
                <w:sz w:val="20"/>
                <w:szCs w:val="20"/>
              </w:rPr>
              <w:t>ISHIPUS</w:t>
            </w:r>
          </w:p>
        </w:tc>
        <w:tc>
          <w:tcPr>
            <w:tcW w:w="875" w:type="pct"/>
            <w:shd w:val="clear" w:color="auto" w:fill="auto"/>
          </w:tcPr>
          <w:p w14:paraId="6AB9B589" w14:textId="4FAC3645" w:rsidR="00EF0998" w:rsidRPr="00661832" w:rsidRDefault="00EF0998" w:rsidP="00661832">
            <w:pPr>
              <w:jc w:val="center"/>
              <w:rPr>
                <w:rFonts w:ascii="Arial" w:hAnsi="Arial" w:cs="Arial"/>
                <w:i/>
                <w:iCs/>
                <w:sz w:val="20"/>
                <w:szCs w:val="20"/>
              </w:rPr>
            </w:pPr>
            <w:r w:rsidRPr="00661832">
              <w:rPr>
                <w:rFonts w:ascii="Arial" w:hAnsi="Arial" w:cs="Arial"/>
                <w:i/>
                <w:iCs/>
                <w:sz w:val="20"/>
                <w:szCs w:val="20"/>
              </w:rPr>
              <w:t>Ntombi Vimbela</w:t>
            </w:r>
          </w:p>
        </w:tc>
        <w:tc>
          <w:tcPr>
            <w:tcW w:w="876" w:type="pct"/>
            <w:shd w:val="clear" w:color="auto" w:fill="auto"/>
          </w:tcPr>
          <w:p w14:paraId="717630FE" w14:textId="1CAAE802" w:rsidR="00EF0998" w:rsidRPr="00661832" w:rsidRDefault="00EF0998" w:rsidP="00661832">
            <w:pPr>
              <w:jc w:val="center"/>
              <w:rPr>
                <w:rFonts w:ascii="Arial" w:hAnsi="Arial" w:cs="Arial"/>
                <w:i/>
                <w:iCs/>
                <w:sz w:val="20"/>
                <w:szCs w:val="20"/>
              </w:rPr>
            </w:pPr>
            <w:r w:rsidRPr="00661832">
              <w:rPr>
                <w:rFonts w:ascii="Arial" w:hAnsi="Arial" w:cs="Arial"/>
                <w:i/>
                <w:iCs/>
                <w:sz w:val="20"/>
                <w:szCs w:val="20"/>
              </w:rPr>
              <w:t>Unique concerns?</w:t>
            </w:r>
          </w:p>
        </w:tc>
      </w:tr>
      <w:tr w:rsidR="00EF0998" w:rsidRPr="00661832" w14:paraId="3252A1E6" w14:textId="77777777" w:rsidTr="00661832">
        <w:tc>
          <w:tcPr>
            <w:tcW w:w="624" w:type="pct"/>
            <w:shd w:val="clear" w:color="auto" w:fill="auto"/>
          </w:tcPr>
          <w:p w14:paraId="287281B8" w14:textId="00373A9E" w:rsidR="00EF0998" w:rsidRPr="00661832" w:rsidRDefault="00EF0998" w:rsidP="00EF0998">
            <w:pPr>
              <w:rPr>
                <w:rFonts w:ascii="Arial" w:hAnsi="Arial" w:cs="Arial"/>
                <w:sz w:val="20"/>
                <w:szCs w:val="20"/>
              </w:rPr>
            </w:pPr>
            <w:r w:rsidRPr="00661832">
              <w:rPr>
                <w:rFonts w:ascii="Arial" w:hAnsi="Arial" w:cs="Arial"/>
                <w:sz w:val="20"/>
                <w:szCs w:val="20"/>
              </w:rPr>
              <w:t>Teaming</w:t>
            </w:r>
          </w:p>
        </w:tc>
        <w:tc>
          <w:tcPr>
            <w:tcW w:w="875" w:type="pct"/>
            <w:shd w:val="clear" w:color="auto" w:fill="auto"/>
          </w:tcPr>
          <w:p w14:paraId="4BE73620" w14:textId="7E23EDF6" w:rsidR="00EF0998" w:rsidRPr="00661832" w:rsidRDefault="00EF0998" w:rsidP="00EF0998">
            <w:pPr>
              <w:tabs>
                <w:tab w:val="left" w:pos="1602"/>
              </w:tabs>
              <w:rPr>
                <w:rFonts w:ascii="Arial" w:hAnsi="Arial" w:cs="Arial"/>
                <w:sz w:val="20"/>
                <w:szCs w:val="20"/>
              </w:rPr>
            </w:pPr>
            <w:r w:rsidRPr="00661832">
              <w:rPr>
                <w:rFonts w:ascii="Arial" w:hAnsi="Arial" w:cs="Arial"/>
                <w:sz w:val="20"/>
                <w:szCs w:val="20"/>
              </w:rPr>
              <w:t>UNESWA, UCSD, and SNASH worked on this project together. UNESWA faculty provided expertise on the policy, SNASH contributed on the context, facilitations and big picture ideas for the intervention and UCSD generate the contents and coordinate the pilot</w:t>
            </w:r>
          </w:p>
        </w:tc>
        <w:tc>
          <w:tcPr>
            <w:tcW w:w="875" w:type="pct"/>
            <w:shd w:val="clear" w:color="auto" w:fill="auto"/>
          </w:tcPr>
          <w:p w14:paraId="00145201" w14:textId="05040767" w:rsidR="00EF0998" w:rsidRPr="00661832" w:rsidRDefault="00EF0998" w:rsidP="00EF0998">
            <w:pPr>
              <w:rPr>
                <w:rFonts w:ascii="Arial" w:hAnsi="Arial" w:cs="Arial"/>
                <w:sz w:val="20"/>
                <w:szCs w:val="20"/>
              </w:rPr>
            </w:pPr>
            <w:r w:rsidRPr="00661832">
              <w:rPr>
                <w:rFonts w:ascii="Arial" w:hAnsi="Arial" w:cs="Arial"/>
                <w:sz w:val="20"/>
                <w:szCs w:val="20"/>
              </w:rPr>
              <w:t>Fortunate and Becca already know each other but haven't work together before. Wrote grants together. Fortunate connects Becca w/ everybody. Graduate students/peer navigators made up the SAB team</w:t>
            </w:r>
          </w:p>
        </w:tc>
        <w:tc>
          <w:tcPr>
            <w:tcW w:w="875" w:type="pct"/>
            <w:shd w:val="clear" w:color="auto" w:fill="auto"/>
          </w:tcPr>
          <w:p w14:paraId="269AA4D1" w14:textId="45499FD6" w:rsidR="00EF0998" w:rsidRPr="00661832" w:rsidRDefault="00661832" w:rsidP="00EF0998">
            <w:pPr>
              <w:rPr>
                <w:rFonts w:ascii="Arial" w:hAnsi="Arial" w:cs="Arial"/>
                <w:sz w:val="20"/>
                <w:szCs w:val="20"/>
              </w:rPr>
            </w:pPr>
            <w:r w:rsidRPr="00661832">
              <w:rPr>
                <w:rFonts w:ascii="Arial" w:hAnsi="Arial" w:cs="Arial"/>
                <w:sz w:val="20"/>
                <w:szCs w:val="20"/>
              </w:rPr>
              <w:t>ISHIPUS</w:t>
            </w:r>
            <w:r w:rsidR="00EF0998" w:rsidRPr="00661832">
              <w:rPr>
                <w:rFonts w:ascii="Arial" w:hAnsi="Arial" w:cs="Arial"/>
                <w:sz w:val="20"/>
                <w:szCs w:val="20"/>
              </w:rPr>
              <w:t xml:space="preserve"> utilizes a student advisory board that both advises the project process and SAB members work together in recruitment, problem-solving, testing. SAB is dividing up into smaller teams for data analysis</w:t>
            </w:r>
          </w:p>
        </w:tc>
        <w:tc>
          <w:tcPr>
            <w:tcW w:w="875" w:type="pct"/>
            <w:shd w:val="clear" w:color="auto" w:fill="auto"/>
          </w:tcPr>
          <w:p w14:paraId="15B19F1A" w14:textId="736D5AC5" w:rsidR="00EF0998" w:rsidRPr="00661832" w:rsidRDefault="00EF0998" w:rsidP="00EF0998">
            <w:pPr>
              <w:rPr>
                <w:rFonts w:ascii="Arial" w:hAnsi="Arial" w:cs="Arial"/>
                <w:sz w:val="20"/>
                <w:szCs w:val="20"/>
              </w:rPr>
            </w:pPr>
            <w:r w:rsidRPr="00661832">
              <w:rPr>
                <w:rFonts w:ascii="Arial" w:hAnsi="Arial" w:cs="Arial"/>
                <w:sz w:val="20"/>
                <w:szCs w:val="20"/>
              </w:rPr>
              <w:t xml:space="preserve">Team of implementors are students. The team of implementors are coordinated and guided by the researchers and PIs of the project. High involvement from research team by checking on all the sites. *Research team had to make sure facilitators understood the content through training and conducting </w:t>
            </w:r>
            <w:proofErr w:type="spellStart"/>
            <w:r w:rsidRPr="00661832">
              <w:rPr>
                <w:rFonts w:ascii="Arial" w:hAnsi="Arial" w:cs="Arial"/>
                <w:sz w:val="20"/>
                <w:szCs w:val="20"/>
              </w:rPr>
              <w:t>debreifing</w:t>
            </w:r>
            <w:proofErr w:type="spellEnd"/>
            <w:r w:rsidRPr="00661832">
              <w:rPr>
                <w:rFonts w:ascii="Arial" w:hAnsi="Arial" w:cs="Arial"/>
                <w:sz w:val="20"/>
                <w:szCs w:val="20"/>
              </w:rPr>
              <w:t xml:space="preserve"> meetings during implementation</w:t>
            </w:r>
          </w:p>
        </w:tc>
        <w:tc>
          <w:tcPr>
            <w:tcW w:w="876" w:type="pct"/>
            <w:shd w:val="clear" w:color="auto" w:fill="auto"/>
          </w:tcPr>
          <w:p w14:paraId="5A3159E6" w14:textId="11178C48" w:rsidR="00EF0998" w:rsidRPr="00661832" w:rsidRDefault="001222A8" w:rsidP="00EF0998">
            <w:pPr>
              <w:rPr>
                <w:rFonts w:ascii="Arial" w:hAnsi="Arial" w:cs="Arial"/>
                <w:sz w:val="20"/>
                <w:szCs w:val="20"/>
              </w:rPr>
            </w:pPr>
            <w:r w:rsidRPr="00661832">
              <w:rPr>
                <w:rFonts w:ascii="Arial" w:hAnsi="Arial" w:cs="Arial"/>
                <w:sz w:val="20"/>
                <w:szCs w:val="20"/>
              </w:rPr>
              <w:t>How do we</w:t>
            </w:r>
            <w:r w:rsidR="000F0A73" w:rsidRPr="00661832">
              <w:rPr>
                <w:rFonts w:ascii="Arial" w:hAnsi="Arial" w:cs="Arial"/>
                <w:sz w:val="20"/>
                <w:szCs w:val="20"/>
              </w:rPr>
              <w:t xml:space="preserve"> decide</w:t>
            </w:r>
            <w:r w:rsidRPr="00661832">
              <w:rPr>
                <w:rFonts w:ascii="Arial" w:hAnsi="Arial" w:cs="Arial"/>
                <w:sz w:val="20"/>
                <w:szCs w:val="20"/>
              </w:rPr>
              <w:t xml:space="preserve"> who to involve</w:t>
            </w:r>
            <w:r w:rsidR="000F0A73" w:rsidRPr="00661832">
              <w:rPr>
                <w:rFonts w:ascii="Arial" w:hAnsi="Arial" w:cs="Arial"/>
                <w:sz w:val="20"/>
                <w:szCs w:val="20"/>
              </w:rPr>
              <w:t xml:space="preserve"> in the research project</w:t>
            </w:r>
            <w:r w:rsidRPr="00661832">
              <w:rPr>
                <w:rFonts w:ascii="Arial" w:hAnsi="Arial" w:cs="Arial"/>
                <w:sz w:val="20"/>
                <w:szCs w:val="20"/>
              </w:rPr>
              <w:t>?</w:t>
            </w:r>
            <w:r w:rsidR="000F0A73" w:rsidRPr="00661832">
              <w:rPr>
                <w:rFonts w:ascii="Arial" w:hAnsi="Arial" w:cs="Arial"/>
                <w:sz w:val="20"/>
                <w:szCs w:val="20"/>
              </w:rPr>
              <w:t xml:space="preserve"> </w:t>
            </w:r>
            <w:r w:rsidRPr="00661832">
              <w:rPr>
                <w:rFonts w:ascii="Arial" w:hAnsi="Arial" w:cs="Arial"/>
                <w:sz w:val="20"/>
                <w:szCs w:val="20"/>
              </w:rPr>
              <w:t xml:space="preserve"> </w:t>
            </w:r>
            <w:r w:rsidR="000F0A73" w:rsidRPr="00661832">
              <w:rPr>
                <w:rFonts w:ascii="Arial" w:hAnsi="Arial" w:cs="Arial"/>
                <w:sz w:val="20"/>
                <w:szCs w:val="20"/>
              </w:rPr>
              <w:t>How do we weight lived vs. trained experience? Do facilitators – and all team members – understand and embrace theoretical/cultural underpinnings of the project?</w:t>
            </w:r>
            <w:r w:rsidRPr="00661832">
              <w:rPr>
                <w:rFonts w:ascii="Arial" w:hAnsi="Arial" w:cs="Arial"/>
                <w:sz w:val="20"/>
                <w:szCs w:val="20"/>
              </w:rPr>
              <w:t xml:space="preserve"> </w:t>
            </w:r>
            <w:r w:rsidRPr="00661832">
              <w:rPr>
                <w:rFonts w:ascii="Arial" w:hAnsi="Arial" w:cs="Arial"/>
                <w:sz w:val="20"/>
                <w:szCs w:val="20"/>
              </w:rPr>
              <w:br/>
            </w:r>
            <w:r w:rsidR="000F0A73" w:rsidRPr="00661832">
              <w:rPr>
                <w:rFonts w:ascii="Arial" w:hAnsi="Arial" w:cs="Arial"/>
                <w:sz w:val="20"/>
                <w:szCs w:val="20"/>
              </w:rPr>
              <w:t>Teaming is</w:t>
            </w:r>
            <w:r w:rsidRPr="00661832">
              <w:rPr>
                <w:rFonts w:ascii="Arial" w:hAnsi="Arial" w:cs="Arial"/>
                <w:sz w:val="20"/>
                <w:szCs w:val="20"/>
              </w:rPr>
              <w:t xml:space="preserve"> a process- </w:t>
            </w:r>
            <w:r w:rsidR="000F0A73" w:rsidRPr="00661832">
              <w:rPr>
                <w:rFonts w:ascii="Arial" w:hAnsi="Arial" w:cs="Arial"/>
                <w:sz w:val="20"/>
                <w:szCs w:val="20"/>
              </w:rPr>
              <w:t>are</w:t>
            </w:r>
            <w:r w:rsidRPr="00661832">
              <w:rPr>
                <w:rFonts w:ascii="Arial" w:hAnsi="Arial" w:cs="Arial"/>
                <w:sz w:val="20"/>
                <w:szCs w:val="20"/>
              </w:rPr>
              <w:t xml:space="preserve"> </w:t>
            </w:r>
            <w:proofErr w:type="gramStart"/>
            <w:r w:rsidR="000F0A73" w:rsidRPr="00661832">
              <w:rPr>
                <w:rFonts w:ascii="Arial" w:hAnsi="Arial" w:cs="Arial"/>
                <w:sz w:val="20"/>
                <w:szCs w:val="20"/>
              </w:rPr>
              <w:t>stakeholders</w:t>
            </w:r>
            <w:proofErr w:type="gramEnd"/>
            <w:r w:rsidR="000F0A73" w:rsidRPr="00661832">
              <w:rPr>
                <w:rFonts w:ascii="Arial" w:hAnsi="Arial" w:cs="Arial"/>
                <w:sz w:val="20"/>
                <w:szCs w:val="20"/>
              </w:rPr>
              <w:t xml:space="preserve"> </w:t>
            </w:r>
            <w:r w:rsidRPr="00661832">
              <w:rPr>
                <w:rFonts w:ascii="Arial" w:hAnsi="Arial" w:cs="Arial"/>
                <w:sz w:val="20"/>
                <w:szCs w:val="20"/>
              </w:rPr>
              <w:t xml:space="preserve">part of a team? </w:t>
            </w:r>
            <w:r w:rsidR="000F0A73" w:rsidRPr="00661832">
              <w:rPr>
                <w:rFonts w:ascii="Arial" w:hAnsi="Arial" w:cs="Arial"/>
                <w:sz w:val="20"/>
                <w:szCs w:val="20"/>
              </w:rPr>
              <w:t>Advisory groups?</w:t>
            </w:r>
            <w:r w:rsidRPr="00661832">
              <w:rPr>
                <w:rFonts w:ascii="Arial" w:hAnsi="Arial" w:cs="Arial"/>
                <w:sz w:val="20"/>
                <w:szCs w:val="20"/>
              </w:rPr>
              <w:t xml:space="preserve"> </w:t>
            </w:r>
            <w:r w:rsidRPr="00661832">
              <w:rPr>
                <w:rFonts w:ascii="Arial" w:hAnsi="Arial" w:cs="Arial"/>
                <w:sz w:val="20"/>
                <w:szCs w:val="20"/>
              </w:rPr>
              <w:br/>
            </w:r>
          </w:p>
        </w:tc>
      </w:tr>
      <w:tr w:rsidR="00EF0998" w:rsidRPr="00661832" w14:paraId="624A9457" w14:textId="77777777" w:rsidTr="00661832">
        <w:tc>
          <w:tcPr>
            <w:tcW w:w="624" w:type="pct"/>
            <w:shd w:val="clear" w:color="auto" w:fill="auto"/>
          </w:tcPr>
          <w:p w14:paraId="322AE132" w14:textId="4DFE77C0" w:rsidR="00EF0998" w:rsidRPr="00661832" w:rsidRDefault="001222A8" w:rsidP="00EF0998">
            <w:pPr>
              <w:rPr>
                <w:rFonts w:ascii="Arial" w:hAnsi="Arial" w:cs="Arial"/>
                <w:sz w:val="20"/>
                <w:szCs w:val="20"/>
              </w:rPr>
            </w:pPr>
            <w:r w:rsidRPr="00661832">
              <w:rPr>
                <w:rFonts w:ascii="Arial" w:hAnsi="Arial" w:cs="Arial"/>
                <w:sz w:val="20"/>
                <w:szCs w:val="20"/>
              </w:rPr>
              <w:t>Assessing Needs</w:t>
            </w:r>
          </w:p>
        </w:tc>
        <w:tc>
          <w:tcPr>
            <w:tcW w:w="875" w:type="pct"/>
            <w:shd w:val="clear" w:color="auto" w:fill="auto"/>
          </w:tcPr>
          <w:p w14:paraId="320E1647" w14:textId="1F5F6F40" w:rsidR="00EF0998" w:rsidRPr="00661832" w:rsidRDefault="001222A8" w:rsidP="00EF0998">
            <w:pPr>
              <w:tabs>
                <w:tab w:val="left" w:pos="1602"/>
              </w:tabs>
              <w:rPr>
                <w:rFonts w:ascii="Arial" w:hAnsi="Arial" w:cs="Arial"/>
                <w:sz w:val="20"/>
                <w:szCs w:val="20"/>
              </w:rPr>
            </w:pPr>
            <w:r w:rsidRPr="00661832">
              <w:rPr>
                <w:rFonts w:ascii="Arial" w:hAnsi="Arial" w:cs="Arial"/>
                <w:sz w:val="20"/>
                <w:szCs w:val="20"/>
              </w:rPr>
              <w:t xml:space="preserve">Reassessed study design after engaging with student organization and they provided their needs. For instance, the intervention was </w:t>
            </w:r>
            <w:proofErr w:type="spellStart"/>
            <w:r w:rsidRPr="00661832">
              <w:rPr>
                <w:rFonts w:ascii="Arial" w:hAnsi="Arial" w:cs="Arial"/>
                <w:sz w:val="20"/>
                <w:szCs w:val="20"/>
              </w:rPr>
              <w:t>initital</w:t>
            </w:r>
            <w:proofErr w:type="spellEnd"/>
            <w:r w:rsidRPr="00661832">
              <w:rPr>
                <w:rFonts w:ascii="Arial" w:hAnsi="Arial" w:cs="Arial"/>
                <w:sz w:val="20"/>
                <w:szCs w:val="20"/>
              </w:rPr>
              <w:t xml:space="preserve"> do not have a </w:t>
            </w:r>
            <w:proofErr w:type="spellStart"/>
            <w:r w:rsidRPr="00661832">
              <w:rPr>
                <w:rFonts w:ascii="Arial" w:hAnsi="Arial" w:cs="Arial"/>
                <w:sz w:val="20"/>
                <w:szCs w:val="20"/>
              </w:rPr>
              <w:t>prominant</w:t>
            </w:r>
            <w:proofErr w:type="spellEnd"/>
            <w:r w:rsidRPr="00661832">
              <w:rPr>
                <w:rFonts w:ascii="Arial" w:hAnsi="Arial" w:cs="Arial"/>
                <w:sz w:val="20"/>
                <w:szCs w:val="20"/>
              </w:rPr>
              <w:t xml:space="preserve"> discussion component to </w:t>
            </w:r>
            <w:proofErr w:type="gramStart"/>
            <w:r w:rsidRPr="00661832">
              <w:rPr>
                <w:rFonts w:ascii="Arial" w:hAnsi="Arial" w:cs="Arial"/>
                <w:sz w:val="20"/>
                <w:szCs w:val="20"/>
              </w:rPr>
              <w:t>it,</w:t>
            </w:r>
            <w:proofErr w:type="gramEnd"/>
            <w:r w:rsidRPr="00661832">
              <w:rPr>
                <w:rFonts w:ascii="Arial" w:hAnsi="Arial" w:cs="Arial"/>
                <w:sz w:val="20"/>
                <w:szCs w:val="20"/>
              </w:rPr>
              <w:t xml:space="preserve"> after learning about SNASH's work in facilitating conversation through WhatsApp, we adapted this approach.</w:t>
            </w:r>
          </w:p>
        </w:tc>
        <w:tc>
          <w:tcPr>
            <w:tcW w:w="875" w:type="pct"/>
            <w:shd w:val="clear" w:color="auto" w:fill="auto"/>
          </w:tcPr>
          <w:p w14:paraId="617976D6" w14:textId="05F6B4D0" w:rsidR="00EF0998" w:rsidRPr="00661832" w:rsidRDefault="001222A8" w:rsidP="00EF0998">
            <w:pPr>
              <w:rPr>
                <w:rFonts w:ascii="Arial" w:hAnsi="Arial" w:cs="Arial"/>
                <w:sz w:val="20"/>
                <w:szCs w:val="20"/>
              </w:rPr>
            </w:pPr>
            <w:r w:rsidRPr="00661832">
              <w:rPr>
                <w:rFonts w:ascii="Arial" w:hAnsi="Arial" w:cs="Arial"/>
                <w:sz w:val="20"/>
                <w:szCs w:val="20"/>
              </w:rPr>
              <w:t>In 2017, Campus survey to understand prevalence and KIIs on campus</w:t>
            </w:r>
          </w:p>
        </w:tc>
        <w:tc>
          <w:tcPr>
            <w:tcW w:w="875" w:type="pct"/>
            <w:shd w:val="clear" w:color="auto" w:fill="auto"/>
          </w:tcPr>
          <w:p w14:paraId="0BD0CFCE" w14:textId="1CB612EA" w:rsidR="00EF0998" w:rsidRPr="00661832" w:rsidRDefault="001222A8" w:rsidP="00EF0998">
            <w:pPr>
              <w:rPr>
                <w:rFonts w:ascii="Arial" w:hAnsi="Arial" w:cs="Arial"/>
                <w:sz w:val="20"/>
                <w:szCs w:val="20"/>
              </w:rPr>
            </w:pPr>
            <w:proofErr w:type="spellStart"/>
            <w:r w:rsidRPr="00661832">
              <w:rPr>
                <w:rFonts w:ascii="Arial" w:hAnsi="Arial" w:cs="Arial"/>
                <w:sz w:val="20"/>
                <w:szCs w:val="20"/>
              </w:rPr>
              <w:t>indepth</w:t>
            </w:r>
            <w:proofErr w:type="spellEnd"/>
            <w:r w:rsidRPr="00661832">
              <w:rPr>
                <w:rFonts w:ascii="Arial" w:hAnsi="Arial" w:cs="Arial"/>
                <w:sz w:val="20"/>
                <w:szCs w:val="20"/>
              </w:rPr>
              <w:t xml:space="preserve"> interviews planned will ask participants about app use</w:t>
            </w:r>
          </w:p>
        </w:tc>
        <w:tc>
          <w:tcPr>
            <w:tcW w:w="875" w:type="pct"/>
            <w:shd w:val="clear" w:color="auto" w:fill="auto"/>
          </w:tcPr>
          <w:p w14:paraId="64C0C011" w14:textId="46E2DB00" w:rsidR="00EF0998" w:rsidRPr="00661832" w:rsidRDefault="001222A8" w:rsidP="00EF0998">
            <w:pPr>
              <w:rPr>
                <w:rFonts w:ascii="Arial" w:hAnsi="Arial" w:cs="Arial"/>
                <w:sz w:val="20"/>
                <w:szCs w:val="20"/>
              </w:rPr>
            </w:pPr>
            <w:r w:rsidRPr="00661832">
              <w:rPr>
                <w:rFonts w:ascii="Arial" w:hAnsi="Arial" w:cs="Arial"/>
                <w:sz w:val="20"/>
                <w:szCs w:val="20"/>
              </w:rPr>
              <w:t>Mixed methods formative research (survey and FGDs) with students on scope of GBV and drivers and context for how/why it happens.</w:t>
            </w:r>
          </w:p>
        </w:tc>
        <w:tc>
          <w:tcPr>
            <w:tcW w:w="876" w:type="pct"/>
            <w:shd w:val="clear" w:color="auto" w:fill="auto"/>
          </w:tcPr>
          <w:p w14:paraId="519528C9" w14:textId="4812C1A8" w:rsidR="00EF0998" w:rsidRPr="00661832" w:rsidRDefault="001222A8" w:rsidP="00EF0998">
            <w:pPr>
              <w:rPr>
                <w:rFonts w:ascii="Arial" w:hAnsi="Arial" w:cs="Arial"/>
                <w:sz w:val="20"/>
                <w:szCs w:val="20"/>
              </w:rPr>
            </w:pPr>
            <w:r w:rsidRPr="00661832">
              <w:rPr>
                <w:rFonts w:ascii="Arial" w:hAnsi="Arial" w:cs="Arial"/>
                <w:sz w:val="20"/>
                <w:szCs w:val="20"/>
              </w:rPr>
              <w:t>Formative research. Assessing the needs to integrate needs into the intervention. What innovation already exist? But not many are evidence based. Do we need to assess what's already been done and what social movements are doing? goes back to epistemology of what counts as evidence.</w:t>
            </w:r>
          </w:p>
        </w:tc>
      </w:tr>
    </w:tbl>
    <w:p w14:paraId="2570D63F" w14:textId="77777777" w:rsidR="006B14B4" w:rsidRDefault="006B14B4"/>
    <w:p w14:paraId="6A84C839" w14:textId="77777777" w:rsidR="006664DF" w:rsidRDefault="006664DF"/>
    <w:p w14:paraId="035449C1" w14:textId="539E34C6" w:rsidR="006664DF" w:rsidRDefault="006664DF">
      <w:r>
        <w:br w:type="page"/>
      </w:r>
    </w:p>
    <w:p w14:paraId="122C4F51" w14:textId="45E2A13F" w:rsidR="006664DF" w:rsidRPr="006664DF" w:rsidRDefault="006664DF">
      <w:pPr>
        <w:rPr>
          <w:b/>
          <w:bCs/>
        </w:rPr>
      </w:pPr>
      <w:r w:rsidRPr="006664DF">
        <w:rPr>
          <w:b/>
          <w:bCs/>
        </w:rPr>
        <w:lastRenderedPageBreak/>
        <w:t xml:space="preserve">Figure S1: </w:t>
      </w:r>
      <w:r w:rsidRPr="005C0971">
        <w:rPr>
          <w:b/>
          <w:bCs/>
        </w:rPr>
        <w:t>Conceptual framework and planning worksheet with notes from case study analysis</w:t>
      </w:r>
    </w:p>
    <w:p w14:paraId="0E895AEE" w14:textId="77777777" w:rsidR="006664DF" w:rsidRDefault="006664DF"/>
    <w:p w14:paraId="775B8197" w14:textId="7731F871" w:rsidR="006664DF" w:rsidRDefault="006664DF">
      <w:r>
        <w:t xml:space="preserve"> </w:t>
      </w:r>
      <w:r>
        <w:rPr>
          <w:noProof/>
        </w:rPr>
        <w:drawing>
          <wp:inline distT="0" distB="0" distL="0" distR="0" wp14:anchorId="5315054E" wp14:editId="1B133B0B">
            <wp:extent cx="9144000" cy="5715000"/>
            <wp:effectExtent l="0" t="0" r="0" b="0"/>
            <wp:docPr id="182868321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683216" name="Picture 1" descr="A screenshot of a compute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0" cy="5715000"/>
                    </a:xfrm>
                    <a:prstGeom prst="rect">
                      <a:avLst/>
                    </a:prstGeom>
                  </pic:spPr>
                </pic:pic>
              </a:graphicData>
            </a:graphic>
          </wp:inline>
        </w:drawing>
      </w:r>
    </w:p>
    <w:sectPr w:rsidR="006664DF" w:rsidSect="00343AF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7D6"/>
    <w:multiLevelType w:val="hybridMultilevel"/>
    <w:tmpl w:val="41DE3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8874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F8"/>
    <w:rsid w:val="00017872"/>
    <w:rsid w:val="00021C33"/>
    <w:rsid w:val="000F0A73"/>
    <w:rsid w:val="00121076"/>
    <w:rsid w:val="001222A8"/>
    <w:rsid w:val="001604B9"/>
    <w:rsid w:val="00192025"/>
    <w:rsid w:val="002F6DAA"/>
    <w:rsid w:val="00343AF8"/>
    <w:rsid w:val="00443061"/>
    <w:rsid w:val="004A6F86"/>
    <w:rsid w:val="005C04E4"/>
    <w:rsid w:val="00661832"/>
    <w:rsid w:val="006664DF"/>
    <w:rsid w:val="006B14B4"/>
    <w:rsid w:val="00764056"/>
    <w:rsid w:val="007F464D"/>
    <w:rsid w:val="008055A4"/>
    <w:rsid w:val="00845461"/>
    <w:rsid w:val="00975EE1"/>
    <w:rsid w:val="00A03E58"/>
    <w:rsid w:val="00A20424"/>
    <w:rsid w:val="00BE36AC"/>
    <w:rsid w:val="00C65505"/>
    <w:rsid w:val="00C71E86"/>
    <w:rsid w:val="00CA0EF8"/>
    <w:rsid w:val="00DE7D82"/>
    <w:rsid w:val="00E171E4"/>
    <w:rsid w:val="00EF0998"/>
    <w:rsid w:val="00FB3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CEBFF0"/>
  <w15:chartTrackingRefBased/>
  <w15:docId w15:val="{419078B2-0D22-BB4C-86A0-3FF99AFE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E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E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E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E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E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E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E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E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E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E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E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E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EF8"/>
    <w:rPr>
      <w:rFonts w:eastAsiaTheme="majorEastAsia" w:cstheme="majorBidi"/>
      <w:color w:val="272727" w:themeColor="text1" w:themeTint="D8"/>
    </w:rPr>
  </w:style>
  <w:style w:type="paragraph" w:styleId="Title">
    <w:name w:val="Title"/>
    <w:basedOn w:val="Normal"/>
    <w:next w:val="Normal"/>
    <w:link w:val="TitleChar"/>
    <w:uiPriority w:val="10"/>
    <w:qFormat/>
    <w:rsid w:val="00CA0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E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EF8"/>
    <w:pPr>
      <w:spacing w:before="160"/>
      <w:jc w:val="center"/>
    </w:pPr>
    <w:rPr>
      <w:i/>
      <w:iCs/>
      <w:color w:val="404040" w:themeColor="text1" w:themeTint="BF"/>
    </w:rPr>
  </w:style>
  <w:style w:type="character" w:customStyle="1" w:styleId="QuoteChar">
    <w:name w:val="Quote Char"/>
    <w:basedOn w:val="DefaultParagraphFont"/>
    <w:link w:val="Quote"/>
    <w:uiPriority w:val="29"/>
    <w:rsid w:val="00CA0EF8"/>
    <w:rPr>
      <w:i/>
      <w:iCs/>
      <w:color w:val="404040" w:themeColor="text1" w:themeTint="BF"/>
    </w:rPr>
  </w:style>
  <w:style w:type="paragraph" w:styleId="ListParagraph">
    <w:name w:val="List Paragraph"/>
    <w:basedOn w:val="Normal"/>
    <w:uiPriority w:val="34"/>
    <w:qFormat/>
    <w:rsid w:val="00CA0EF8"/>
    <w:pPr>
      <w:ind w:left="720"/>
      <w:contextualSpacing/>
    </w:pPr>
  </w:style>
  <w:style w:type="character" w:styleId="IntenseEmphasis">
    <w:name w:val="Intense Emphasis"/>
    <w:basedOn w:val="DefaultParagraphFont"/>
    <w:uiPriority w:val="21"/>
    <w:qFormat/>
    <w:rsid w:val="00CA0EF8"/>
    <w:rPr>
      <w:i/>
      <w:iCs/>
      <w:color w:val="0F4761" w:themeColor="accent1" w:themeShade="BF"/>
    </w:rPr>
  </w:style>
  <w:style w:type="paragraph" w:styleId="IntenseQuote">
    <w:name w:val="Intense Quote"/>
    <w:basedOn w:val="Normal"/>
    <w:next w:val="Normal"/>
    <w:link w:val="IntenseQuoteChar"/>
    <w:uiPriority w:val="30"/>
    <w:qFormat/>
    <w:rsid w:val="00CA0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EF8"/>
    <w:rPr>
      <w:i/>
      <w:iCs/>
      <w:color w:val="0F4761" w:themeColor="accent1" w:themeShade="BF"/>
    </w:rPr>
  </w:style>
  <w:style w:type="character" w:styleId="IntenseReference">
    <w:name w:val="Intense Reference"/>
    <w:basedOn w:val="DefaultParagraphFont"/>
    <w:uiPriority w:val="32"/>
    <w:qFormat/>
    <w:rsid w:val="00CA0EF8"/>
    <w:rPr>
      <w:b/>
      <w:bCs/>
      <w:smallCaps/>
      <w:color w:val="0F4761" w:themeColor="accent1" w:themeShade="BF"/>
      <w:spacing w:val="5"/>
    </w:rPr>
  </w:style>
  <w:style w:type="table" w:styleId="TableGrid">
    <w:name w:val="Table Grid"/>
    <w:basedOn w:val="TableNormal"/>
    <w:uiPriority w:val="39"/>
    <w:rsid w:val="00CA0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Fielding-Miller, Rebecca</dc:creator>
  <cp:keywords/>
  <dc:description/>
  <cp:lastModifiedBy>Fielding-Miller, Rebecca</cp:lastModifiedBy>
  <cp:revision>2</cp:revision>
  <dcterms:created xsi:type="dcterms:W3CDTF">2025-07-14T20:34:00Z</dcterms:created>
  <dcterms:modified xsi:type="dcterms:W3CDTF">2025-07-14T20:34:00Z</dcterms:modified>
</cp:coreProperties>
</file>