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519459" w14:textId="77777777" w:rsidR="00525F9A" w:rsidRPr="00525F9A" w:rsidRDefault="00525F9A" w:rsidP="00525F9A">
      <w:pPr>
        <w:rPr>
          <w:rFonts w:eastAsia="Times New Roman"/>
          <w:sz w:val="36"/>
          <w:szCs w:val="36"/>
          <w:lang w:val="en-SE"/>
        </w:rPr>
      </w:pPr>
      <w:r w:rsidRPr="00525F9A">
        <w:rPr>
          <w:rFonts w:eastAsia="Times New Roman"/>
          <w:b/>
          <w:bCs/>
          <w:color w:val="000000"/>
          <w:sz w:val="36"/>
          <w:szCs w:val="36"/>
          <w:bdr w:val="none" w:sz="0" w:space="0" w:color="auto" w:frame="1"/>
        </w:rPr>
        <w:t>Early Prediction of Clinical Response to Anti-TNF Treatment using Multi-omics and Machine Learning in Rheumatoid Arthritis</w:t>
      </w:r>
    </w:p>
    <w:p w14:paraId="0AB7ACC7" w14:textId="53973BD1" w:rsidR="001B4A14" w:rsidRDefault="00525F9A">
      <w:pPr>
        <w:rPr>
          <w:lang w:val="en-SE"/>
        </w:rPr>
      </w:pPr>
    </w:p>
    <w:p w14:paraId="6BDEB105" w14:textId="5939F378" w:rsidR="00525F9A" w:rsidRDefault="00525F9A">
      <w:pPr>
        <w:rPr>
          <w:lang w:val="en-SE"/>
        </w:rPr>
      </w:pPr>
    </w:p>
    <w:p w14:paraId="1F3E16BE" w14:textId="66CECBC4" w:rsidR="00525F9A" w:rsidRPr="00525F9A" w:rsidRDefault="00525F9A">
      <w:pPr>
        <w:rPr>
          <w:b/>
          <w:bCs/>
          <w:sz w:val="32"/>
          <w:szCs w:val="32"/>
          <w:lang w:val="sv-SE"/>
        </w:rPr>
      </w:pPr>
      <w:r w:rsidRPr="00525F9A">
        <w:rPr>
          <w:b/>
          <w:bCs/>
          <w:sz w:val="32"/>
          <w:szCs w:val="32"/>
          <w:lang w:val="sv-SE"/>
        </w:rPr>
        <w:t>Supplementary Figures</w:t>
      </w:r>
    </w:p>
    <w:p w14:paraId="436C00A5" w14:textId="16AD12D2" w:rsidR="00992B67" w:rsidRDefault="00992B67">
      <w:pPr>
        <w:rPr>
          <w:lang w:val="en-US"/>
        </w:rPr>
      </w:pPr>
    </w:p>
    <w:p w14:paraId="08B7B3BF" w14:textId="0A77555F" w:rsidR="00525F9A" w:rsidRDefault="00525F9A">
      <w:pPr>
        <w:rPr>
          <w:lang w:val="en-US"/>
        </w:rPr>
      </w:pPr>
    </w:p>
    <w:p w14:paraId="3AEEABEB" w14:textId="77777777" w:rsidR="00525F9A" w:rsidRDefault="00525F9A" w:rsidP="00525F9A">
      <w:pPr>
        <w:rPr>
          <w:b/>
          <w:bCs/>
        </w:rPr>
      </w:pPr>
    </w:p>
    <w:p w14:paraId="2F4472F4" w14:textId="584DC796" w:rsidR="00525F9A" w:rsidRPr="00312DD3" w:rsidRDefault="00525F9A" w:rsidP="00525F9A">
      <w:pPr>
        <w:rPr>
          <w:rFonts w:eastAsia="Times New Roman"/>
        </w:rPr>
      </w:pPr>
      <w:r w:rsidRPr="00525F9A">
        <w:rPr>
          <w:b/>
          <w:bCs/>
        </w:rPr>
        <w:t>Fig. S1</w:t>
      </w:r>
      <w:r w:rsidRPr="00312DD3">
        <w:t xml:space="preserve">: </w:t>
      </w:r>
      <w:r w:rsidRPr="00312DD3">
        <w:rPr>
          <w:rFonts w:eastAsia="Times New Roman"/>
          <w:color w:val="000000"/>
          <w:shd w:val="clear" w:color="auto" w:fill="FFFFFF"/>
        </w:rPr>
        <w:t>Study design showing the number of patients used in cross-sectional and longitudinal analysis for RNA-Seq, flow cytometry and protein data analysis</w:t>
      </w:r>
    </w:p>
    <w:p w14:paraId="1F12CCB8" w14:textId="77777777" w:rsidR="00525F9A" w:rsidRPr="00525F9A" w:rsidRDefault="00525F9A"/>
    <w:p w14:paraId="2161962E" w14:textId="6D94CE03" w:rsidR="00992B67" w:rsidRPr="00525F9A" w:rsidRDefault="00992B67">
      <w:pPr>
        <w:rPr>
          <w:lang w:val="en-US"/>
        </w:rPr>
      </w:pPr>
    </w:p>
    <w:p w14:paraId="37CB2D31" w14:textId="7D8F0417" w:rsidR="00312DD3" w:rsidRDefault="00312DD3">
      <w:pPr>
        <w:rPr>
          <w:b/>
        </w:rPr>
      </w:pPr>
    </w:p>
    <w:p w14:paraId="1F5B0BFB" w14:textId="0FB49B7D" w:rsidR="00525F9A" w:rsidRDefault="00525F9A">
      <w:pPr>
        <w:rPr>
          <w:b/>
        </w:rPr>
      </w:pPr>
    </w:p>
    <w:p w14:paraId="003B08CF" w14:textId="5FA6B62B" w:rsidR="00525F9A" w:rsidRDefault="00525F9A">
      <w:pPr>
        <w:rPr>
          <w:b/>
        </w:rPr>
      </w:pPr>
    </w:p>
    <w:p w14:paraId="3465E0D3" w14:textId="15072453" w:rsidR="00525F9A" w:rsidRDefault="00525F9A">
      <w:pPr>
        <w:rPr>
          <w:b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2CB93E4B" wp14:editId="61FD3272">
            <wp:simplePos x="0" y="0"/>
            <wp:positionH relativeFrom="margin">
              <wp:posOffset>-86360</wp:posOffset>
            </wp:positionH>
            <wp:positionV relativeFrom="margin">
              <wp:posOffset>2875280</wp:posOffset>
            </wp:positionV>
            <wp:extent cx="6231890" cy="354584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ry Figure1.pd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1" r="7194"/>
                    <a:stretch/>
                  </pic:blipFill>
                  <pic:spPr bwMode="auto">
                    <a:xfrm>
                      <a:off x="0" y="0"/>
                      <a:ext cx="6231890" cy="3545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48E1E1" w14:textId="72C2A08E" w:rsidR="00525F9A" w:rsidRDefault="00525F9A">
      <w:pPr>
        <w:rPr>
          <w:b/>
        </w:rPr>
      </w:pPr>
    </w:p>
    <w:p w14:paraId="0C631512" w14:textId="6ABAA2DF" w:rsidR="00525F9A" w:rsidRDefault="00525F9A">
      <w:pPr>
        <w:rPr>
          <w:b/>
        </w:rPr>
      </w:pPr>
    </w:p>
    <w:p w14:paraId="43300079" w14:textId="77777777" w:rsidR="00525F9A" w:rsidRDefault="00525F9A">
      <w:pPr>
        <w:rPr>
          <w:b/>
        </w:rPr>
      </w:pPr>
    </w:p>
    <w:p w14:paraId="3CF76E75" w14:textId="77777777" w:rsidR="00525F9A" w:rsidRDefault="00525F9A">
      <w:pPr>
        <w:rPr>
          <w:b/>
        </w:rPr>
      </w:pPr>
    </w:p>
    <w:p w14:paraId="14087B32" w14:textId="77777777" w:rsidR="00525F9A" w:rsidRDefault="00525F9A">
      <w:pPr>
        <w:rPr>
          <w:b/>
        </w:rPr>
      </w:pPr>
    </w:p>
    <w:p w14:paraId="08917969" w14:textId="7B555771" w:rsidR="0026489E" w:rsidRPr="0026489E" w:rsidRDefault="00890F3E">
      <w:pPr>
        <w:rPr>
          <w:rFonts w:eastAsia="Times New Roman"/>
          <w:b/>
        </w:rPr>
      </w:pPr>
      <w:r w:rsidRPr="0026489E">
        <w:rPr>
          <w:b/>
        </w:rPr>
        <w:t>Fig</w:t>
      </w:r>
      <w:r w:rsidR="00E559A5">
        <w:rPr>
          <w:b/>
        </w:rPr>
        <w:t>.</w:t>
      </w:r>
      <w:r w:rsidR="0026489E" w:rsidRPr="0026489E">
        <w:rPr>
          <w:b/>
        </w:rPr>
        <w:t xml:space="preserve"> S1</w:t>
      </w:r>
      <w:r w:rsidR="004423A9">
        <w:rPr>
          <w:b/>
        </w:rPr>
        <w:t>: The study design for the current study using 39 female RA patients</w:t>
      </w:r>
    </w:p>
    <w:p w14:paraId="4FEB64FF" w14:textId="77777777" w:rsidR="00992B67" w:rsidRPr="0026489E" w:rsidRDefault="00992B67"/>
    <w:p w14:paraId="148E58CA" w14:textId="77777777" w:rsidR="00992B67" w:rsidRPr="0026489E" w:rsidRDefault="00992B67"/>
    <w:p w14:paraId="33F1022B" w14:textId="7912BA8F" w:rsidR="00992B67" w:rsidRPr="0026489E" w:rsidRDefault="00992B67"/>
    <w:p w14:paraId="3FECFBB8" w14:textId="77777777" w:rsidR="00992B67" w:rsidRPr="0026489E" w:rsidRDefault="00992B67"/>
    <w:p w14:paraId="0181A25B" w14:textId="77777777" w:rsidR="00312DD3" w:rsidRDefault="00312DD3" w:rsidP="0026489E">
      <w:pPr>
        <w:rPr>
          <w:b/>
        </w:rPr>
      </w:pPr>
    </w:p>
    <w:p w14:paraId="653E2EBC" w14:textId="77777777" w:rsidR="00312DD3" w:rsidRDefault="00312DD3" w:rsidP="0026489E">
      <w:pPr>
        <w:rPr>
          <w:b/>
        </w:rPr>
      </w:pPr>
    </w:p>
    <w:p w14:paraId="4A1AEB87" w14:textId="77777777" w:rsidR="00992B67" w:rsidRPr="0026489E" w:rsidRDefault="00992B67">
      <w:pPr>
        <w:rPr>
          <w:b/>
        </w:rPr>
      </w:pPr>
    </w:p>
    <w:p w14:paraId="05CA7DA0" w14:textId="77777777" w:rsidR="00992B67" w:rsidRPr="0026489E" w:rsidRDefault="00992B67"/>
    <w:p w14:paraId="7FF884B9" w14:textId="77777777" w:rsidR="00525F9A" w:rsidRDefault="00525F9A">
      <w:pPr>
        <w:rPr>
          <w:b/>
          <w:bCs/>
          <w:color w:val="000000"/>
          <w:shd w:val="clear" w:color="auto" w:fill="FFFFFF"/>
        </w:rPr>
      </w:pPr>
    </w:p>
    <w:p w14:paraId="74E89BC4" w14:textId="77777777" w:rsidR="00525F9A" w:rsidRDefault="00525F9A">
      <w:pPr>
        <w:rPr>
          <w:b/>
          <w:bCs/>
          <w:color w:val="000000"/>
          <w:shd w:val="clear" w:color="auto" w:fill="FFFFFF"/>
        </w:rPr>
      </w:pPr>
    </w:p>
    <w:p w14:paraId="444225F6" w14:textId="7C08B3DA" w:rsidR="00992B67" w:rsidRPr="0026489E" w:rsidRDefault="00525F9A">
      <w:r w:rsidRPr="00525F9A">
        <w:rPr>
          <w:b/>
          <w:bCs/>
          <w:color w:val="000000"/>
          <w:shd w:val="clear" w:color="auto" w:fill="FFFFFF"/>
        </w:rPr>
        <w:t>Fig. S2</w:t>
      </w:r>
      <w:r w:rsidRPr="00312DD3">
        <w:rPr>
          <w:color w:val="000000"/>
          <w:shd w:val="clear" w:color="auto" w:fill="FFFFFF"/>
        </w:rPr>
        <w:t xml:space="preserve">: </w:t>
      </w:r>
      <w:r w:rsidRPr="004D21D6">
        <w:rPr>
          <w:color w:val="000000"/>
          <w:shd w:val="clear" w:color="auto" w:fill="FFFFFF"/>
        </w:rPr>
        <w:t>A</w:t>
      </w:r>
      <w:r w:rsidRPr="004D21D6">
        <w:rPr>
          <w:bCs/>
          <w:color w:val="000000"/>
          <w:shd w:val="clear" w:color="auto" w:fill="FFFFFF"/>
        </w:rPr>
        <w:t xml:space="preserve">) </w:t>
      </w:r>
      <w:r w:rsidRPr="004D21D6">
        <w:rPr>
          <w:color w:val="000000"/>
          <w:shd w:val="clear" w:color="auto" w:fill="FFFFFF"/>
        </w:rPr>
        <w:t>Heat map of normalized differentially expressed genes with deviant sample. The top panel shows responders (brick red) and non-responders (grey). B) The box plots of normalized log</w:t>
      </w:r>
      <w:r w:rsidRPr="004D21D6">
        <w:rPr>
          <w:color w:val="000000"/>
          <w:sz w:val="14"/>
          <w:szCs w:val="14"/>
          <w:shd w:val="clear" w:color="auto" w:fill="FFFFFF"/>
          <w:vertAlign w:val="subscript"/>
        </w:rPr>
        <w:t>2</w:t>
      </w:r>
      <w:r w:rsidRPr="004D21D6">
        <w:rPr>
          <w:color w:val="000000"/>
          <w:shd w:val="clear" w:color="auto" w:fill="FFFFFF"/>
        </w:rPr>
        <w:t xml:space="preserve"> expression values with outlier counts</w:t>
      </w:r>
      <w:r w:rsidRPr="00312DD3">
        <w:rPr>
          <w:color w:val="000000"/>
          <w:shd w:val="clear" w:color="auto" w:fill="FFFFFF"/>
        </w:rPr>
        <w:t xml:space="preserve"> before anti-TNF treatment</w:t>
      </w:r>
    </w:p>
    <w:p w14:paraId="38B7291B" w14:textId="05345D6B" w:rsidR="00992B67" w:rsidRPr="0026489E" w:rsidRDefault="00992B67"/>
    <w:p w14:paraId="65B0C95F" w14:textId="1A82E3BB" w:rsidR="00992B67" w:rsidRPr="0026489E" w:rsidRDefault="00992B67"/>
    <w:p w14:paraId="4A2A362D" w14:textId="050F0465" w:rsidR="00992B67" w:rsidRPr="0026489E" w:rsidRDefault="00992B67"/>
    <w:p w14:paraId="506D2F11" w14:textId="77782C70" w:rsidR="00992B67" w:rsidRPr="0026489E" w:rsidRDefault="00525F9A">
      <w:r>
        <w:rPr>
          <w:noProof/>
        </w:rPr>
        <w:drawing>
          <wp:anchor distT="0" distB="0" distL="114300" distR="114300" simplePos="0" relativeHeight="251659264" behindDoc="0" locked="0" layoutInCell="1" allowOverlap="1" wp14:anchorId="29F5112E" wp14:editId="1DCED4EC">
            <wp:simplePos x="0" y="0"/>
            <wp:positionH relativeFrom="margin">
              <wp:posOffset>141605</wp:posOffset>
            </wp:positionH>
            <wp:positionV relativeFrom="margin">
              <wp:posOffset>1591038</wp:posOffset>
            </wp:positionV>
            <wp:extent cx="5326380" cy="532638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lementary Figure2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6380" cy="5326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B38D66" w14:textId="3E313085" w:rsidR="00992B67" w:rsidRPr="0026489E" w:rsidRDefault="00992B67"/>
    <w:p w14:paraId="0E443CF4" w14:textId="3EB8B79E" w:rsidR="00992B67" w:rsidRPr="0026489E" w:rsidRDefault="00992B67"/>
    <w:p w14:paraId="6AE30746" w14:textId="0B2076BF" w:rsidR="00992B67" w:rsidRPr="0026489E" w:rsidRDefault="00992B67"/>
    <w:p w14:paraId="629676D4" w14:textId="4399050E" w:rsidR="0026489E" w:rsidRPr="0026489E" w:rsidRDefault="0026489E" w:rsidP="0026489E">
      <w:pPr>
        <w:rPr>
          <w:rFonts w:eastAsia="Times New Roman"/>
          <w:b/>
        </w:rPr>
      </w:pPr>
      <w:r w:rsidRPr="0026489E">
        <w:rPr>
          <w:b/>
        </w:rPr>
        <w:t>Fig</w:t>
      </w:r>
      <w:r w:rsidR="00E559A5">
        <w:rPr>
          <w:b/>
        </w:rPr>
        <w:t>.</w:t>
      </w:r>
      <w:r w:rsidRPr="0026489E">
        <w:rPr>
          <w:b/>
        </w:rPr>
        <w:t xml:space="preserve"> S</w:t>
      </w:r>
      <w:r>
        <w:rPr>
          <w:b/>
        </w:rPr>
        <w:t>2</w:t>
      </w:r>
      <w:r w:rsidR="00E559A5">
        <w:rPr>
          <w:b/>
        </w:rPr>
        <w:t>:</w:t>
      </w:r>
      <w:r w:rsidR="009B4E09">
        <w:rPr>
          <w:b/>
        </w:rPr>
        <w:t xml:space="preserve"> Expression differences </w:t>
      </w:r>
      <w:r w:rsidR="004423A9">
        <w:rPr>
          <w:b/>
        </w:rPr>
        <w:t>driven by</w:t>
      </w:r>
      <w:r w:rsidR="009B4E09">
        <w:rPr>
          <w:b/>
        </w:rPr>
        <w:t xml:space="preserve"> outlier sample</w:t>
      </w:r>
    </w:p>
    <w:p w14:paraId="41599B5A" w14:textId="186461D0" w:rsidR="00992B67" w:rsidRPr="0026489E" w:rsidRDefault="00992B67"/>
    <w:p w14:paraId="25A99A99" w14:textId="72F519B0" w:rsidR="00992B67" w:rsidRPr="0026489E" w:rsidRDefault="00992B67"/>
    <w:p w14:paraId="769C9D52" w14:textId="55BF6D3B" w:rsidR="00992B67" w:rsidRPr="0026489E" w:rsidRDefault="00992B67"/>
    <w:p w14:paraId="714C4667" w14:textId="77777777" w:rsidR="00992B67" w:rsidRPr="0026489E" w:rsidRDefault="00992B67"/>
    <w:p w14:paraId="1635C1C0" w14:textId="77777777" w:rsidR="00992B67" w:rsidRPr="0026489E" w:rsidRDefault="00992B67"/>
    <w:p w14:paraId="0F2F7249" w14:textId="77777777" w:rsidR="00992B67" w:rsidRDefault="00992B67"/>
    <w:p w14:paraId="22661F22" w14:textId="77777777" w:rsidR="00525F9A" w:rsidRDefault="00525F9A" w:rsidP="00525F9A">
      <w:pPr>
        <w:rPr>
          <w:b/>
          <w:bCs/>
        </w:rPr>
      </w:pPr>
    </w:p>
    <w:p w14:paraId="1EED6BA3" w14:textId="77777777" w:rsidR="00525F9A" w:rsidRDefault="00525F9A" w:rsidP="00525F9A">
      <w:pPr>
        <w:rPr>
          <w:b/>
          <w:bCs/>
        </w:rPr>
      </w:pPr>
    </w:p>
    <w:p w14:paraId="13EC41B4" w14:textId="42C51CC4" w:rsidR="00525F9A" w:rsidRPr="00312DD3" w:rsidRDefault="00525F9A" w:rsidP="00525F9A">
      <w:pPr>
        <w:rPr>
          <w:rFonts w:eastAsia="Times New Roman"/>
        </w:rPr>
      </w:pPr>
      <w:r w:rsidRPr="00525F9A">
        <w:rPr>
          <w:b/>
          <w:bCs/>
        </w:rPr>
        <w:t>Fig. S3</w:t>
      </w:r>
      <w:r w:rsidRPr="00312DD3">
        <w:t xml:space="preserve">: </w:t>
      </w:r>
      <w:r>
        <w:t xml:space="preserve">A) </w:t>
      </w:r>
      <w:r w:rsidRPr="00312DD3">
        <w:rPr>
          <w:rFonts w:eastAsia="Times New Roman"/>
          <w:color w:val="000000"/>
          <w:shd w:val="clear" w:color="auto" w:fill="FFFFFF"/>
        </w:rPr>
        <w:t xml:space="preserve">The bar plots represent top 15 enriched upregulated and downregulated pathways before </w:t>
      </w:r>
      <w:r>
        <w:rPr>
          <w:rFonts w:eastAsia="Times New Roman"/>
          <w:color w:val="000000"/>
          <w:shd w:val="clear" w:color="auto" w:fill="FFFFFF"/>
        </w:rPr>
        <w:t>anti-TNF treatment initiation.</w:t>
      </w:r>
    </w:p>
    <w:p w14:paraId="69A14704" w14:textId="77777777" w:rsidR="00525F9A" w:rsidRDefault="00525F9A" w:rsidP="00525F9A"/>
    <w:p w14:paraId="33BFF4CD" w14:textId="77777777" w:rsidR="00630B8B" w:rsidRDefault="00630B8B"/>
    <w:p w14:paraId="4DC2583D" w14:textId="77777777" w:rsidR="00630B8B" w:rsidRDefault="00630B8B"/>
    <w:p w14:paraId="314557DB" w14:textId="751114BD" w:rsidR="00ED5F67" w:rsidRDefault="00ED5F67"/>
    <w:p w14:paraId="29F7C58A" w14:textId="1F72C570" w:rsidR="003F78DB" w:rsidRDefault="003F78DB" w:rsidP="00ED5F67">
      <w:pPr>
        <w:rPr>
          <w:b/>
        </w:rPr>
      </w:pPr>
    </w:p>
    <w:p w14:paraId="4631F602" w14:textId="0242B144" w:rsidR="003F78DB" w:rsidRDefault="00525F9A" w:rsidP="00ED5F67">
      <w:pPr>
        <w:rPr>
          <w:b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D1238FD" wp14:editId="7C6FF75A">
            <wp:simplePos x="0" y="0"/>
            <wp:positionH relativeFrom="margin">
              <wp:posOffset>-123825</wp:posOffset>
            </wp:positionH>
            <wp:positionV relativeFrom="margin">
              <wp:posOffset>2238466</wp:posOffset>
            </wp:positionV>
            <wp:extent cx="5951855" cy="3508375"/>
            <wp:effectExtent l="0" t="0" r="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upplementary Figure5.pd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36" b="45182"/>
                    <a:stretch/>
                  </pic:blipFill>
                  <pic:spPr bwMode="auto">
                    <a:xfrm>
                      <a:off x="0" y="0"/>
                      <a:ext cx="5951855" cy="3508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87999C" w14:textId="7260AFBC" w:rsidR="005539FD" w:rsidRDefault="005539FD" w:rsidP="00ED5F67">
      <w:pPr>
        <w:rPr>
          <w:b/>
        </w:rPr>
      </w:pPr>
    </w:p>
    <w:p w14:paraId="77B02B1F" w14:textId="5E80E5F9" w:rsidR="005539FD" w:rsidRDefault="005539FD" w:rsidP="00ED5F67">
      <w:pPr>
        <w:rPr>
          <w:b/>
        </w:rPr>
      </w:pPr>
    </w:p>
    <w:p w14:paraId="7376363E" w14:textId="77777777" w:rsidR="005539FD" w:rsidRDefault="005539FD" w:rsidP="00ED5F67">
      <w:pPr>
        <w:rPr>
          <w:b/>
        </w:rPr>
      </w:pPr>
    </w:p>
    <w:p w14:paraId="77792A12" w14:textId="77777777" w:rsidR="005539FD" w:rsidRDefault="005539FD" w:rsidP="00ED5F67">
      <w:pPr>
        <w:rPr>
          <w:b/>
        </w:rPr>
      </w:pPr>
    </w:p>
    <w:p w14:paraId="5DA08101" w14:textId="77777777" w:rsidR="005539FD" w:rsidRDefault="005539FD" w:rsidP="00ED5F67">
      <w:pPr>
        <w:rPr>
          <w:b/>
        </w:rPr>
      </w:pPr>
    </w:p>
    <w:p w14:paraId="48804577" w14:textId="6BEC9EBE" w:rsidR="00ED5F67" w:rsidRPr="00224255" w:rsidRDefault="00ED5F67" w:rsidP="00ED5F67">
      <w:pPr>
        <w:rPr>
          <w:b/>
        </w:rPr>
      </w:pPr>
      <w:r w:rsidRPr="00224255">
        <w:rPr>
          <w:b/>
        </w:rPr>
        <w:t>Fig</w:t>
      </w:r>
      <w:r w:rsidR="00E559A5">
        <w:rPr>
          <w:b/>
        </w:rPr>
        <w:t>.</w:t>
      </w:r>
      <w:r w:rsidRPr="00224255">
        <w:rPr>
          <w:b/>
        </w:rPr>
        <w:t xml:space="preserve"> S</w:t>
      </w:r>
      <w:r w:rsidR="00E559A5">
        <w:rPr>
          <w:b/>
        </w:rPr>
        <w:t>3:</w:t>
      </w:r>
      <w:r>
        <w:rPr>
          <w:b/>
        </w:rPr>
        <w:t xml:space="preserve"> Most enriched pathways before and after anti-TNF treatment</w:t>
      </w:r>
    </w:p>
    <w:p w14:paraId="4C484606" w14:textId="192AEF8C" w:rsidR="00ED5F67" w:rsidRDefault="00ED5F67"/>
    <w:p w14:paraId="0BB32960" w14:textId="788945E7" w:rsidR="00ED5F67" w:rsidRDefault="00ED5F67"/>
    <w:p w14:paraId="73470F81" w14:textId="6D1C950A" w:rsidR="00ED5F67" w:rsidRDefault="00ED5F67"/>
    <w:p w14:paraId="082ABA95" w14:textId="491D9E4E" w:rsidR="00ED5F67" w:rsidRDefault="00ED5F67"/>
    <w:p w14:paraId="6AD03295" w14:textId="21189E07" w:rsidR="003F78DB" w:rsidRDefault="003F78DB" w:rsidP="00630B8B"/>
    <w:p w14:paraId="10CEEDD8" w14:textId="40FCC79E" w:rsidR="003F78DB" w:rsidRDefault="003F78DB" w:rsidP="00630B8B"/>
    <w:p w14:paraId="26232D4C" w14:textId="577A1E31" w:rsidR="005539FD" w:rsidRDefault="005539FD" w:rsidP="00630B8B"/>
    <w:p w14:paraId="06D4C258" w14:textId="77777777" w:rsidR="005539FD" w:rsidRDefault="005539FD" w:rsidP="00630B8B"/>
    <w:p w14:paraId="7E955D5B" w14:textId="78CB72BF" w:rsidR="00ED5F67" w:rsidRDefault="00ED5F67"/>
    <w:p w14:paraId="58017AFB" w14:textId="2CE0AC02" w:rsidR="00101C27" w:rsidRDefault="00101C27"/>
    <w:p w14:paraId="2FC0A2EE" w14:textId="228D5A52" w:rsidR="00101C27" w:rsidRDefault="00101C27"/>
    <w:p w14:paraId="43601F30" w14:textId="2642A9E9" w:rsidR="00101C27" w:rsidRDefault="00101C27"/>
    <w:p w14:paraId="690F2EF4" w14:textId="52B39D1C" w:rsidR="00101C27" w:rsidRDefault="00101C27"/>
    <w:p w14:paraId="5ACBC583" w14:textId="566510B3" w:rsidR="00101C27" w:rsidRDefault="00101C27"/>
    <w:p w14:paraId="71517D76" w14:textId="5FB28286" w:rsidR="00525F9A" w:rsidRPr="00101C27" w:rsidRDefault="00525F9A" w:rsidP="00525F9A">
      <w:r w:rsidRPr="00525F9A">
        <w:rPr>
          <w:b/>
          <w:bCs/>
          <w:color w:val="000000"/>
          <w:shd w:val="clear" w:color="auto" w:fill="FFFFFF"/>
        </w:rPr>
        <w:t>Fig. S4</w:t>
      </w:r>
      <w:r>
        <w:rPr>
          <w:b/>
          <w:bCs/>
          <w:color w:val="000000"/>
          <w:shd w:val="clear" w:color="auto" w:fill="FFFFFF"/>
        </w:rPr>
        <w:t>:</w:t>
      </w:r>
      <w:r w:rsidRPr="00312DD3">
        <w:rPr>
          <w:color w:val="000000"/>
          <w:shd w:val="clear" w:color="auto" w:fill="FFFFFF"/>
        </w:rPr>
        <w:t xml:space="preserve"> The box plots showing the expression levels of genes in non-responders during anti-TNF treatment (comparison between naive and treated RA patient samples). Abbreviations: CXCR2, C-X-C Motif Chemokine Receptor 2; MPO, Myeloperoxidase; MYADM, Myeloid Associated Differentiation Marker; TNFAIP6, TNF Alpha Induced Protein 6; FCGR2B, Fc Fragment of IgG Receptor IIb.</w:t>
      </w:r>
    </w:p>
    <w:p w14:paraId="1A844575" w14:textId="03717CC6" w:rsidR="00101C27" w:rsidRDefault="00101C27"/>
    <w:p w14:paraId="6A1EF849" w14:textId="6C13FD43" w:rsidR="00101C27" w:rsidRDefault="00101C27"/>
    <w:p w14:paraId="37CF53C9" w14:textId="770E282E" w:rsidR="00101C27" w:rsidRDefault="00525F9A">
      <w:r>
        <w:rPr>
          <w:noProof/>
        </w:rPr>
        <w:drawing>
          <wp:anchor distT="0" distB="0" distL="114300" distR="114300" simplePos="0" relativeHeight="251662336" behindDoc="0" locked="0" layoutInCell="1" allowOverlap="1" wp14:anchorId="0B0CBB0C" wp14:editId="41D77B37">
            <wp:simplePos x="0" y="0"/>
            <wp:positionH relativeFrom="margin">
              <wp:posOffset>-332015</wp:posOffset>
            </wp:positionH>
            <wp:positionV relativeFrom="margin">
              <wp:posOffset>1991360</wp:posOffset>
            </wp:positionV>
            <wp:extent cx="6557010" cy="2738120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upplementary Figure6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7010" cy="2738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2ABDCC" w14:textId="795CC568" w:rsidR="00101C27" w:rsidRDefault="00101C27"/>
    <w:p w14:paraId="01C60FEF" w14:textId="5ADC3D6B" w:rsidR="00101C27" w:rsidRDefault="00101C27"/>
    <w:p w14:paraId="7CFC411E" w14:textId="549B64DD" w:rsidR="00101C27" w:rsidRDefault="00101C27"/>
    <w:p w14:paraId="67FB500D" w14:textId="1945818F" w:rsidR="00101C27" w:rsidRDefault="00101C27"/>
    <w:p w14:paraId="146621E2" w14:textId="75286139" w:rsidR="003F78DB" w:rsidRPr="00224255" w:rsidRDefault="003F78DB" w:rsidP="003F78DB">
      <w:pPr>
        <w:rPr>
          <w:b/>
        </w:rPr>
      </w:pPr>
      <w:r>
        <w:rPr>
          <w:b/>
        </w:rPr>
        <w:t>F</w:t>
      </w:r>
      <w:r w:rsidRPr="00224255">
        <w:rPr>
          <w:b/>
        </w:rPr>
        <w:t>ig</w:t>
      </w:r>
      <w:r>
        <w:rPr>
          <w:b/>
        </w:rPr>
        <w:t>.</w:t>
      </w:r>
      <w:r w:rsidRPr="00224255">
        <w:rPr>
          <w:b/>
        </w:rPr>
        <w:t xml:space="preserve"> S</w:t>
      </w:r>
      <w:r>
        <w:rPr>
          <w:b/>
        </w:rPr>
        <w:t>4: Gene expression differences in non-responders</w:t>
      </w:r>
    </w:p>
    <w:p w14:paraId="14CD5032" w14:textId="03B7B7EB" w:rsidR="003F78DB" w:rsidRDefault="003F78DB"/>
    <w:p w14:paraId="0E353204" w14:textId="392FCA15" w:rsidR="003F78DB" w:rsidRDefault="003F78DB"/>
    <w:p w14:paraId="3A3C0005" w14:textId="4EF2E8F7" w:rsidR="00ED5F67" w:rsidRDefault="00ED5F67"/>
    <w:p w14:paraId="708218A0" w14:textId="1C9AF02C" w:rsidR="00992B67" w:rsidRPr="0026489E" w:rsidRDefault="00992B67"/>
    <w:sectPr w:rsidR="00992B67" w:rsidRPr="0026489E" w:rsidSect="0095344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2B67"/>
    <w:rsid w:val="00011282"/>
    <w:rsid w:val="000D37B7"/>
    <w:rsid w:val="00101C27"/>
    <w:rsid w:val="00224255"/>
    <w:rsid w:val="0026489E"/>
    <w:rsid w:val="00312DD3"/>
    <w:rsid w:val="003347ED"/>
    <w:rsid w:val="003F78DB"/>
    <w:rsid w:val="004423A9"/>
    <w:rsid w:val="004D21D6"/>
    <w:rsid w:val="004E0B29"/>
    <w:rsid w:val="00523E68"/>
    <w:rsid w:val="00525F9A"/>
    <w:rsid w:val="005539FD"/>
    <w:rsid w:val="00630B8B"/>
    <w:rsid w:val="00741DCE"/>
    <w:rsid w:val="007C383E"/>
    <w:rsid w:val="007F13B7"/>
    <w:rsid w:val="00865039"/>
    <w:rsid w:val="00890F3E"/>
    <w:rsid w:val="008F2B66"/>
    <w:rsid w:val="00953446"/>
    <w:rsid w:val="00992B67"/>
    <w:rsid w:val="009B4E09"/>
    <w:rsid w:val="00B05478"/>
    <w:rsid w:val="00B13711"/>
    <w:rsid w:val="00DB6884"/>
    <w:rsid w:val="00E559A5"/>
    <w:rsid w:val="00ED5F67"/>
    <w:rsid w:val="00FF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DAC066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12DD3"/>
    <w:rPr>
      <w:rFonts w:ascii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D21D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22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4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Karolinska Institutet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Niyaz</dc:creator>
  <cp:keywords/>
  <dc:description/>
  <cp:lastModifiedBy>Niyaz Yoosuf</cp:lastModifiedBy>
  <cp:revision>9</cp:revision>
  <dcterms:created xsi:type="dcterms:W3CDTF">2020-07-17T09:37:00Z</dcterms:created>
  <dcterms:modified xsi:type="dcterms:W3CDTF">2021-02-27T22:08:00Z</dcterms:modified>
</cp:coreProperties>
</file>