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85717" w14:textId="77777777" w:rsidR="00E31B19" w:rsidRPr="001942D2" w:rsidRDefault="00E31B19" w:rsidP="00E31B19">
      <w:pPr>
        <w:pStyle w:val="Caption"/>
        <w:keepNext/>
        <w:spacing w:after="0"/>
        <w:rPr>
          <w:i w:val="0"/>
          <w:iCs w:val="0"/>
          <w:color w:val="auto"/>
          <w:sz w:val="20"/>
          <w:szCs w:val="20"/>
        </w:rPr>
      </w:pPr>
      <w:r w:rsidRPr="001942D2">
        <w:rPr>
          <w:i w:val="0"/>
          <w:iCs w:val="0"/>
          <w:color w:val="auto"/>
          <w:sz w:val="20"/>
          <w:szCs w:val="20"/>
        </w:rPr>
        <w:t xml:space="preserve">Table </w:t>
      </w:r>
      <w:r w:rsidRPr="001942D2">
        <w:rPr>
          <w:i w:val="0"/>
          <w:iCs w:val="0"/>
          <w:color w:val="auto"/>
          <w:sz w:val="20"/>
          <w:szCs w:val="20"/>
        </w:rPr>
        <w:fldChar w:fldCharType="begin"/>
      </w:r>
      <w:r w:rsidRPr="001942D2">
        <w:rPr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1942D2">
        <w:rPr>
          <w:i w:val="0"/>
          <w:iCs w:val="0"/>
          <w:color w:val="auto"/>
          <w:sz w:val="20"/>
          <w:szCs w:val="20"/>
        </w:rPr>
        <w:fldChar w:fldCharType="separate"/>
      </w:r>
      <w:r>
        <w:rPr>
          <w:i w:val="0"/>
          <w:iCs w:val="0"/>
          <w:noProof/>
          <w:color w:val="auto"/>
          <w:sz w:val="20"/>
          <w:szCs w:val="20"/>
        </w:rPr>
        <w:t>1</w:t>
      </w:r>
      <w:r w:rsidRPr="001942D2">
        <w:rPr>
          <w:i w:val="0"/>
          <w:iCs w:val="0"/>
          <w:color w:val="auto"/>
          <w:sz w:val="20"/>
          <w:szCs w:val="20"/>
        </w:rPr>
        <w:fldChar w:fldCharType="end"/>
      </w:r>
      <w:r w:rsidRPr="001942D2">
        <w:rPr>
          <w:i w:val="0"/>
          <w:iCs w:val="0"/>
          <w:color w:val="auto"/>
          <w:sz w:val="20"/>
          <w:szCs w:val="20"/>
        </w:rPr>
        <w:t>: Follow-up schedule.</w:t>
      </w:r>
      <w:r>
        <w:rPr>
          <w:i w:val="0"/>
          <w:iCs w:val="0"/>
          <w:color w:val="auto"/>
          <w:sz w:val="20"/>
          <w:szCs w:val="20"/>
        </w:rPr>
        <w:t xml:space="preserve"> </w:t>
      </w:r>
      <w:r w:rsidRPr="001942D2">
        <w:rPr>
          <w:i w:val="0"/>
          <w:iCs w:val="0"/>
          <w:color w:val="auto"/>
          <w:sz w:val="20"/>
          <w:szCs w:val="20"/>
        </w:rPr>
        <w:t xml:space="preserve">* Recruitment within 24 hours </w:t>
      </w:r>
      <w:r>
        <w:rPr>
          <w:i w:val="0"/>
          <w:iCs w:val="0"/>
          <w:color w:val="auto"/>
          <w:sz w:val="20"/>
          <w:szCs w:val="20"/>
        </w:rPr>
        <w:t>of</w:t>
      </w:r>
      <w:r w:rsidRPr="001942D2">
        <w:rPr>
          <w:i w:val="0"/>
          <w:iCs w:val="0"/>
          <w:color w:val="auto"/>
          <w:sz w:val="20"/>
          <w:szCs w:val="20"/>
        </w:rPr>
        <w:t xml:space="preserve"> admission,</w:t>
      </w:r>
      <w:r>
        <w:rPr>
          <w:i w:val="0"/>
          <w:iCs w:val="0"/>
          <w:color w:val="auto"/>
          <w:sz w:val="20"/>
          <w:szCs w:val="20"/>
        </w:rPr>
        <w:t xml:space="preserve"> ** Postoperative</w:t>
      </w:r>
      <w:r w:rsidRPr="001942D2">
        <w:rPr>
          <w:i w:val="0"/>
          <w:iCs w:val="0"/>
          <w:color w:val="auto"/>
          <w:sz w:val="20"/>
          <w:szCs w:val="20"/>
        </w:rPr>
        <w:t xml:space="preserve"> phase before discharging patients from </w:t>
      </w:r>
      <w:r>
        <w:rPr>
          <w:i w:val="0"/>
          <w:iCs w:val="0"/>
          <w:color w:val="auto"/>
          <w:sz w:val="20"/>
          <w:szCs w:val="20"/>
        </w:rPr>
        <w:t xml:space="preserve">the </w:t>
      </w:r>
      <w:r w:rsidRPr="001942D2">
        <w:rPr>
          <w:i w:val="0"/>
          <w:iCs w:val="0"/>
          <w:color w:val="auto"/>
          <w:sz w:val="20"/>
          <w:szCs w:val="20"/>
        </w:rPr>
        <w:t>hospital</w:t>
      </w:r>
    </w:p>
    <w:tbl>
      <w:tblPr>
        <w:tblStyle w:val="TableGrid3"/>
        <w:tblpPr w:leftFromText="141" w:rightFromText="141" w:vertAnchor="text" w:horzAnchor="margin" w:tblpY="86"/>
        <w:tblW w:w="5285" w:type="pct"/>
        <w:tblLayout w:type="fixed"/>
        <w:tblLook w:val="04A0" w:firstRow="1" w:lastRow="0" w:firstColumn="1" w:lastColumn="0" w:noHBand="0" w:noVBand="1"/>
      </w:tblPr>
      <w:tblGrid>
        <w:gridCol w:w="2794"/>
        <w:gridCol w:w="800"/>
        <w:gridCol w:w="695"/>
        <w:gridCol w:w="897"/>
        <w:gridCol w:w="799"/>
        <w:gridCol w:w="801"/>
        <w:gridCol w:w="801"/>
        <w:gridCol w:w="799"/>
        <w:gridCol w:w="801"/>
        <w:gridCol w:w="696"/>
      </w:tblGrid>
      <w:tr w:rsidR="00E31B19" w14:paraId="3A4B41DA" w14:textId="77777777" w:rsidTr="000D0773">
        <w:trPr>
          <w:trHeight w:val="275"/>
        </w:trPr>
        <w:tc>
          <w:tcPr>
            <w:tcW w:w="1414" w:type="pct"/>
            <w:vMerge w:val="restart"/>
          </w:tcPr>
          <w:p w14:paraId="6B81EADD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color w:val="FFFFFF"/>
                <w:sz w:val="20"/>
                <w:szCs w:val="20"/>
                <w:lang w:eastAsia="en-US"/>
              </w:rPr>
            </w:pPr>
            <w:r w:rsidRPr="001942D2">
              <w:rPr>
                <w:rFonts w:ascii="Calibri" w:eastAsia="Calibri" w:hAnsi="Calibri" w:cs="Arial"/>
                <w:color w:val="FFFFFF"/>
                <w:sz w:val="20"/>
                <w:szCs w:val="20"/>
                <w:lang w:eastAsia="en-US"/>
              </w:rPr>
              <w:t>Evaluation</w:t>
            </w:r>
          </w:p>
        </w:tc>
        <w:tc>
          <w:tcPr>
            <w:tcW w:w="3586" w:type="pct"/>
            <w:gridSpan w:val="9"/>
          </w:tcPr>
          <w:p w14:paraId="721C147F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color w:val="FFFFFF"/>
                <w:sz w:val="20"/>
                <w:szCs w:val="20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Visit day/week</w:t>
            </w:r>
          </w:p>
        </w:tc>
      </w:tr>
      <w:tr w:rsidR="00E31B19" w14:paraId="1BEA3E8D" w14:textId="77777777" w:rsidTr="000D0773">
        <w:trPr>
          <w:trHeight w:val="408"/>
        </w:trPr>
        <w:tc>
          <w:tcPr>
            <w:tcW w:w="1414" w:type="pct"/>
            <w:vMerge/>
          </w:tcPr>
          <w:p w14:paraId="742A0974" w14:textId="77777777" w:rsidR="00E31B19" w:rsidRPr="001942D2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0BB9AF5D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Visit 1*</w:t>
            </w:r>
          </w:p>
          <w:p w14:paraId="6D893EF3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Screening</w:t>
            </w:r>
          </w:p>
          <w:p w14:paraId="4540EB03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-4 to 0</w:t>
            </w:r>
          </w:p>
        </w:tc>
        <w:tc>
          <w:tcPr>
            <w:tcW w:w="352" w:type="pct"/>
          </w:tcPr>
          <w:p w14:paraId="668499F2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Visit 2</w:t>
            </w:r>
          </w:p>
          <w:p w14:paraId="0812BA2D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Surgery</w:t>
            </w:r>
          </w:p>
          <w:p w14:paraId="517CFAFB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0 day</w:t>
            </w:r>
          </w:p>
        </w:tc>
        <w:tc>
          <w:tcPr>
            <w:tcW w:w="454" w:type="pct"/>
          </w:tcPr>
          <w:p w14:paraId="42B55696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Visit 3</w:t>
            </w:r>
          </w:p>
          <w:p w14:paraId="41C78572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1st postoperative day</w:t>
            </w:r>
          </w:p>
        </w:tc>
        <w:tc>
          <w:tcPr>
            <w:tcW w:w="404" w:type="pct"/>
          </w:tcPr>
          <w:p w14:paraId="1E572ECC" w14:textId="77777777" w:rsidR="00E31B19" w:rsidRPr="001942D2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1942D2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Visit 4**</w:t>
            </w:r>
          </w:p>
          <w:p w14:paraId="11AB0D6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before discharge</w:t>
            </w:r>
          </w:p>
          <w:p w14:paraId="6A2E9C6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4 – 7 day</w:t>
            </w:r>
          </w:p>
        </w:tc>
        <w:tc>
          <w:tcPr>
            <w:tcW w:w="405" w:type="pct"/>
          </w:tcPr>
          <w:p w14:paraId="193245A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Visit 5</w:t>
            </w:r>
          </w:p>
          <w:p w14:paraId="38A5E5C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Week 3</w:t>
            </w:r>
          </w:p>
          <w:p w14:paraId="4F6D47F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+/-1 week</w:t>
            </w:r>
          </w:p>
        </w:tc>
        <w:tc>
          <w:tcPr>
            <w:tcW w:w="405" w:type="pct"/>
          </w:tcPr>
          <w:p w14:paraId="2E6F3A9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Visit 6</w:t>
            </w:r>
          </w:p>
          <w:p w14:paraId="7C281EA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Week 6</w:t>
            </w:r>
          </w:p>
          <w:p w14:paraId="2A2CDE6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+/-1 week</w:t>
            </w:r>
          </w:p>
        </w:tc>
        <w:tc>
          <w:tcPr>
            <w:tcW w:w="404" w:type="pct"/>
          </w:tcPr>
          <w:p w14:paraId="165D31C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Visit 7</w:t>
            </w:r>
          </w:p>
          <w:p w14:paraId="104C15C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Week 12</w:t>
            </w:r>
          </w:p>
          <w:p w14:paraId="51ED709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+/-1 week</w:t>
            </w:r>
          </w:p>
        </w:tc>
        <w:tc>
          <w:tcPr>
            <w:tcW w:w="405" w:type="pct"/>
          </w:tcPr>
          <w:p w14:paraId="1D05ABF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Visit 8</w:t>
            </w:r>
          </w:p>
          <w:p w14:paraId="7DA2413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Week 26</w:t>
            </w:r>
          </w:p>
          <w:p w14:paraId="54AE020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+/-2 weeks</w:t>
            </w:r>
          </w:p>
        </w:tc>
        <w:tc>
          <w:tcPr>
            <w:tcW w:w="352" w:type="pct"/>
          </w:tcPr>
          <w:p w14:paraId="32908F00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Visit 9</w:t>
            </w:r>
          </w:p>
          <w:p w14:paraId="6ECABF4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Week 52</w:t>
            </w:r>
          </w:p>
          <w:p w14:paraId="7318DD2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18"/>
                <w:szCs w:val="18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18"/>
                <w:szCs w:val="18"/>
                <w:lang w:eastAsia="en-US"/>
              </w:rPr>
              <w:t>+/-2 weeks</w:t>
            </w:r>
          </w:p>
        </w:tc>
      </w:tr>
      <w:tr w:rsidR="00E31B19" w14:paraId="53830E5A" w14:textId="77777777" w:rsidTr="000D0773">
        <w:trPr>
          <w:trHeight w:val="283"/>
        </w:trPr>
        <w:tc>
          <w:tcPr>
            <w:tcW w:w="1414" w:type="pct"/>
          </w:tcPr>
          <w:p w14:paraId="046E5F0C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Informed consent</w:t>
            </w:r>
          </w:p>
        </w:tc>
        <w:tc>
          <w:tcPr>
            <w:tcW w:w="405" w:type="pct"/>
          </w:tcPr>
          <w:p w14:paraId="19410F3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6FF0E81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080404D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1D3B2B6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01FC490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468AB07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51A0A90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1B81AD0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58D737C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1F297607" w14:textId="77777777" w:rsidTr="000D0773">
        <w:trPr>
          <w:trHeight w:val="283"/>
        </w:trPr>
        <w:tc>
          <w:tcPr>
            <w:tcW w:w="1414" w:type="pct"/>
          </w:tcPr>
          <w:p w14:paraId="65CA7CB8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Randomization</w:t>
            </w:r>
          </w:p>
        </w:tc>
        <w:tc>
          <w:tcPr>
            <w:tcW w:w="405" w:type="pct"/>
          </w:tcPr>
          <w:p w14:paraId="241F798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668541D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213B0E1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7197C13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65DD7FA0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7D76132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35C902C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7B7C56D8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6C1C926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2BF39D73" w14:textId="77777777" w:rsidTr="000D0773">
        <w:trPr>
          <w:trHeight w:val="283"/>
        </w:trPr>
        <w:tc>
          <w:tcPr>
            <w:tcW w:w="1414" w:type="pct"/>
          </w:tcPr>
          <w:p w14:paraId="14A1A0B8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Patient demographics</w:t>
            </w:r>
          </w:p>
        </w:tc>
        <w:tc>
          <w:tcPr>
            <w:tcW w:w="405" w:type="pct"/>
          </w:tcPr>
          <w:p w14:paraId="179F72D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5B0533D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71A380F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28989D1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01CE5458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63866C2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36F069F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401D157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36CE85E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01D25DDC" w14:textId="77777777" w:rsidTr="000D0773">
        <w:trPr>
          <w:trHeight w:val="283"/>
        </w:trPr>
        <w:tc>
          <w:tcPr>
            <w:tcW w:w="1414" w:type="pct"/>
          </w:tcPr>
          <w:p w14:paraId="3BEC16E6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Medical/surgical history</w:t>
            </w:r>
          </w:p>
        </w:tc>
        <w:tc>
          <w:tcPr>
            <w:tcW w:w="405" w:type="pct"/>
          </w:tcPr>
          <w:p w14:paraId="6B37526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4460A23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4A3AFFF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5479F86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663C3DB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3017B62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18B48E0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61B9666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209B532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620A1FE3" w14:textId="77777777" w:rsidTr="000D0773">
        <w:trPr>
          <w:trHeight w:val="283"/>
        </w:trPr>
        <w:tc>
          <w:tcPr>
            <w:tcW w:w="1414" w:type="pct"/>
          </w:tcPr>
          <w:p w14:paraId="7E676E1A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Current medications</w:t>
            </w:r>
          </w:p>
        </w:tc>
        <w:tc>
          <w:tcPr>
            <w:tcW w:w="405" w:type="pct"/>
          </w:tcPr>
          <w:p w14:paraId="60F7C99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1CFD973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479F38B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42501B4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163429C0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6A3256E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283BF56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1F42D12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615DAED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2F4C0F33" w14:textId="77777777" w:rsidTr="000D0773">
        <w:trPr>
          <w:trHeight w:val="283"/>
        </w:trPr>
        <w:tc>
          <w:tcPr>
            <w:tcW w:w="1414" w:type="pct"/>
          </w:tcPr>
          <w:p w14:paraId="39762BDF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Eligibility screen</w:t>
            </w:r>
          </w:p>
        </w:tc>
        <w:tc>
          <w:tcPr>
            <w:tcW w:w="405" w:type="pct"/>
          </w:tcPr>
          <w:p w14:paraId="057DCCC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46259BB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2BD2FEB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58828068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2184EC0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035F7EA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018A38F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2EB817F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677C86C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4B1124C9" w14:textId="77777777" w:rsidTr="000D0773">
        <w:trPr>
          <w:trHeight w:val="283"/>
        </w:trPr>
        <w:tc>
          <w:tcPr>
            <w:tcW w:w="1414" w:type="pct"/>
          </w:tcPr>
          <w:p w14:paraId="13EFD379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Physical examination</w:t>
            </w:r>
          </w:p>
        </w:tc>
        <w:tc>
          <w:tcPr>
            <w:tcW w:w="405" w:type="pct"/>
          </w:tcPr>
          <w:p w14:paraId="7290886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2DCE6B4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62F761A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476B41F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78CDFD2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11751D3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54EE268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4F493D0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47B6CE3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38242304" w14:textId="77777777" w:rsidTr="000D0773">
        <w:trPr>
          <w:trHeight w:val="283"/>
        </w:trPr>
        <w:tc>
          <w:tcPr>
            <w:tcW w:w="1414" w:type="pct"/>
          </w:tcPr>
          <w:p w14:paraId="6BBD1DF1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Intervention</w:t>
            </w:r>
          </w:p>
        </w:tc>
        <w:tc>
          <w:tcPr>
            <w:tcW w:w="405" w:type="pct"/>
          </w:tcPr>
          <w:p w14:paraId="5132881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1A9C60D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  <w:r w:rsidRPr="007A7248">
              <w:rPr>
                <w:rFonts w:ascii="Calibri" w:eastAsia="Calibri" w:hAnsi="Calibri" w:cs="Arial"/>
                <w:noProof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454" w:type="pct"/>
          </w:tcPr>
          <w:p w14:paraId="7C3B89D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noProof/>
                <w:sz w:val="20"/>
                <w:szCs w:val="20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49CD4A7" wp14:editId="3F96F01F">
                      <wp:simplePos x="0" y="0"/>
                      <wp:positionH relativeFrom="column">
                        <wp:posOffset>-294005</wp:posOffset>
                      </wp:positionH>
                      <wp:positionV relativeFrom="paragraph">
                        <wp:posOffset>81280</wp:posOffset>
                      </wp:positionV>
                      <wp:extent cx="1041400" cy="5080"/>
                      <wp:effectExtent l="0" t="0" r="25400" b="3302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41400" cy="50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55F699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3.15pt,6.4pt" to="58.8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" strokecolor="windowText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04" w:type="pct"/>
          </w:tcPr>
          <w:p w14:paraId="1324F63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0C06A3D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75C7BB8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0A7311A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7B77F54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4409699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60386E24" w14:textId="77777777" w:rsidTr="000D0773">
        <w:trPr>
          <w:trHeight w:val="283"/>
        </w:trPr>
        <w:tc>
          <w:tcPr>
            <w:tcW w:w="1414" w:type="pct"/>
          </w:tcPr>
          <w:p w14:paraId="5D601888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X-ray</w:t>
            </w:r>
          </w:p>
        </w:tc>
        <w:tc>
          <w:tcPr>
            <w:tcW w:w="405" w:type="pct"/>
          </w:tcPr>
          <w:p w14:paraId="4A9A0F9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135418A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1C43670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60D3A07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31C03F9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375534F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5ADDB3C8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0646E78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692C369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39AD6A73" w14:textId="77777777" w:rsidTr="000D0773">
        <w:trPr>
          <w:trHeight w:val="283"/>
        </w:trPr>
        <w:tc>
          <w:tcPr>
            <w:tcW w:w="1414" w:type="pct"/>
          </w:tcPr>
          <w:p w14:paraId="6FE648FF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Spectral CT</w:t>
            </w:r>
          </w:p>
        </w:tc>
        <w:tc>
          <w:tcPr>
            <w:tcW w:w="405" w:type="pct"/>
          </w:tcPr>
          <w:p w14:paraId="708B4A6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2AB1733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749E9258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02613A1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66FE9BE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50B10B4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330A590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2F06C1F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314B880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6BE28662" w14:textId="77777777" w:rsidTr="000D0773">
        <w:trPr>
          <w:trHeight w:val="283"/>
        </w:trPr>
        <w:tc>
          <w:tcPr>
            <w:tcW w:w="1414" w:type="pct"/>
          </w:tcPr>
          <w:p w14:paraId="4CD9A0AF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Rate of humeral head necrosis</w:t>
            </w:r>
          </w:p>
        </w:tc>
        <w:tc>
          <w:tcPr>
            <w:tcW w:w="405" w:type="pct"/>
          </w:tcPr>
          <w:p w14:paraId="53F62A6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25C64AB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432C8A3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1EBF745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31DEF9F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5228095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64FC1B0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36A70C5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4190D25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6198E59F" w14:textId="77777777" w:rsidTr="000D0773">
        <w:trPr>
          <w:trHeight w:val="283"/>
        </w:trPr>
        <w:tc>
          <w:tcPr>
            <w:tcW w:w="1414" w:type="pct"/>
          </w:tcPr>
          <w:p w14:paraId="6C4A4693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Constant-Murley Score</w:t>
            </w:r>
          </w:p>
        </w:tc>
        <w:tc>
          <w:tcPr>
            <w:tcW w:w="405" w:type="pct"/>
          </w:tcPr>
          <w:p w14:paraId="788261A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3CE9EF7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75942B9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5059937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177AA12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56864BF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791CE59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649FFDA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68D229C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78E1C553" w14:textId="77777777" w:rsidTr="000D0773">
        <w:trPr>
          <w:trHeight w:val="283"/>
        </w:trPr>
        <w:tc>
          <w:tcPr>
            <w:tcW w:w="1414" w:type="pct"/>
          </w:tcPr>
          <w:p w14:paraId="41ADDF0D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DASH score</w:t>
            </w:r>
          </w:p>
        </w:tc>
        <w:tc>
          <w:tcPr>
            <w:tcW w:w="405" w:type="pct"/>
          </w:tcPr>
          <w:p w14:paraId="4652CAD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713C812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3932C5D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6BDC0CC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73E372C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77B63A2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24E163C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75BE788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2722B0B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4E5F39B6" w14:textId="77777777" w:rsidTr="000D0773">
        <w:trPr>
          <w:trHeight w:val="283"/>
        </w:trPr>
        <w:tc>
          <w:tcPr>
            <w:tcW w:w="1414" w:type="pct"/>
          </w:tcPr>
          <w:p w14:paraId="085BFC7D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Visual Analog Scale</w:t>
            </w:r>
          </w:p>
        </w:tc>
        <w:tc>
          <w:tcPr>
            <w:tcW w:w="405" w:type="pct"/>
          </w:tcPr>
          <w:p w14:paraId="4BF1FA4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1D1BA92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4935D0F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309EF86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5DACBC1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46B7D5E8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1595F72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353867A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4FECE6C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450E0C84" w14:textId="77777777" w:rsidTr="000D0773">
        <w:trPr>
          <w:trHeight w:val="283"/>
        </w:trPr>
        <w:tc>
          <w:tcPr>
            <w:tcW w:w="1414" w:type="pct"/>
          </w:tcPr>
          <w:p w14:paraId="3635E2E5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Quality-of-Life</w:t>
            </w:r>
          </w:p>
        </w:tc>
        <w:tc>
          <w:tcPr>
            <w:tcW w:w="405" w:type="pct"/>
          </w:tcPr>
          <w:p w14:paraId="4C4E349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6F4591E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5AFB121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6CF2387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236E642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5D0554D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3094445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430EE36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2D377EF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3D2ECDEA" w14:textId="77777777" w:rsidTr="000D0773">
        <w:trPr>
          <w:trHeight w:val="283"/>
        </w:trPr>
        <w:tc>
          <w:tcPr>
            <w:tcW w:w="1414" w:type="pct"/>
          </w:tcPr>
          <w:p w14:paraId="4702EE6F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TAD</w:t>
            </w:r>
          </w:p>
        </w:tc>
        <w:tc>
          <w:tcPr>
            <w:tcW w:w="405" w:type="pct"/>
          </w:tcPr>
          <w:p w14:paraId="5681E0E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4F9EE4A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54" w:type="pct"/>
          </w:tcPr>
          <w:p w14:paraId="1DB78F00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25F5B7C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5E986A1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182BE16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66732AD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6B3EA48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5D3B0B5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52E94523" w14:textId="77777777" w:rsidTr="000D0773">
        <w:trPr>
          <w:trHeight w:val="283"/>
        </w:trPr>
        <w:tc>
          <w:tcPr>
            <w:tcW w:w="1414" w:type="pct"/>
          </w:tcPr>
          <w:p w14:paraId="479E6485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Head shaft angle</w:t>
            </w:r>
          </w:p>
        </w:tc>
        <w:tc>
          <w:tcPr>
            <w:tcW w:w="405" w:type="pct"/>
          </w:tcPr>
          <w:p w14:paraId="22832C58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1D48E04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0FD088A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4E17B42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7E681B0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7AE2D9D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6BCB69A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75A17BE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4F1AD1A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31DCEFCA" w14:textId="77777777" w:rsidTr="000D0773">
        <w:trPr>
          <w:trHeight w:val="283"/>
        </w:trPr>
        <w:tc>
          <w:tcPr>
            <w:tcW w:w="1414" w:type="pct"/>
          </w:tcPr>
          <w:p w14:paraId="5A0E3145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Biomarkers and immune cell subsets analysis</w:t>
            </w:r>
          </w:p>
        </w:tc>
        <w:tc>
          <w:tcPr>
            <w:tcW w:w="405" w:type="pct"/>
          </w:tcPr>
          <w:p w14:paraId="6D8510E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24E79E1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54" w:type="pct"/>
          </w:tcPr>
          <w:p w14:paraId="64A9404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4C1304A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10A5A0D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3D17C706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543AFB2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75C12BE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0EBE33F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678585D2" w14:textId="77777777" w:rsidTr="000D0773">
        <w:trPr>
          <w:trHeight w:val="283"/>
        </w:trPr>
        <w:tc>
          <w:tcPr>
            <w:tcW w:w="1414" w:type="pct"/>
          </w:tcPr>
          <w:p w14:paraId="03E7D66D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Routine lab Investigation</w:t>
            </w:r>
          </w:p>
        </w:tc>
        <w:tc>
          <w:tcPr>
            <w:tcW w:w="405" w:type="pct"/>
          </w:tcPr>
          <w:p w14:paraId="7019D65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2A415B32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285443A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43B3A01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5D10ED4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6D6B26E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42C0B75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7646B12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11077E50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69C4000B" w14:textId="77777777" w:rsidTr="000D0773">
        <w:trPr>
          <w:trHeight w:val="283"/>
        </w:trPr>
        <w:tc>
          <w:tcPr>
            <w:tcW w:w="1414" w:type="pct"/>
          </w:tcPr>
          <w:p w14:paraId="086BC36D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CRP</w:t>
            </w:r>
          </w:p>
        </w:tc>
        <w:tc>
          <w:tcPr>
            <w:tcW w:w="405" w:type="pct"/>
          </w:tcPr>
          <w:p w14:paraId="2934E2E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6CF245A8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25673AA4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04415BC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5A69BB1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253BB2EF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7E4C302B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4BE0EE69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0F2717A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</w:tr>
      <w:tr w:rsidR="00E31B19" w14:paraId="1D89B61E" w14:textId="77777777" w:rsidTr="000D0773">
        <w:trPr>
          <w:trHeight w:val="283"/>
        </w:trPr>
        <w:tc>
          <w:tcPr>
            <w:tcW w:w="1414" w:type="pct"/>
          </w:tcPr>
          <w:p w14:paraId="1F4288AE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safety assessment (phone call)</w:t>
            </w:r>
          </w:p>
        </w:tc>
        <w:tc>
          <w:tcPr>
            <w:tcW w:w="405" w:type="pct"/>
          </w:tcPr>
          <w:p w14:paraId="56823727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5C8AB8F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54" w:type="pct"/>
          </w:tcPr>
          <w:p w14:paraId="50E7E2B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6AF10BF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3C644D15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6EEDF65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4" w:type="pct"/>
          </w:tcPr>
          <w:p w14:paraId="3A1168E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405" w:type="pct"/>
          </w:tcPr>
          <w:p w14:paraId="48F1A64E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7985D00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</w:tr>
      <w:tr w:rsidR="00E31B19" w14:paraId="6EE98E0F" w14:textId="77777777" w:rsidTr="000D0773">
        <w:trPr>
          <w:trHeight w:val="283"/>
        </w:trPr>
        <w:tc>
          <w:tcPr>
            <w:tcW w:w="1414" w:type="pct"/>
          </w:tcPr>
          <w:p w14:paraId="471C6B33" w14:textId="77777777" w:rsidR="00E31B19" w:rsidRPr="007A7248" w:rsidRDefault="00E31B19" w:rsidP="000D0773">
            <w:pPr>
              <w:spacing w:line="276" w:lineRule="auto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Reporting any adverse event</w:t>
            </w:r>
          </w:p>
        </w:tc>
        <w:tc>
          <w:tcPr>
            <w:tcW w:w="405" w:type="pct"/>
          </w:tcPr>
          <w:p w14:paraId="28495640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</w:p>
        </w:tc>
        <w:tc>
          <w:tcPr>
            <w:tcW w:w="352" w:type="pct"/>
          </w:tcPr>
          <w:p w14:paraId="207E9D1C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54" w:type="pct"/>
          </w:tcPr>
          <w:p w14:paraId="345DF611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13B5BB2D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3DDA6E6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7FC998EA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4" w:type="pct"/>
          </w:tcPr>
          <w:p w14:paraId="73FC37C0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405" w:type="pct"/>
          </w:tcPr>
          <w:p w14:paraId="2DF3AC93" w14:textId="77777777" w:rsidR="00E31B19" w:rsidRPr="007A7248" w:rsidRDefault="00E31B19" w:rsidP="000D0773">
            <w:pPr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52" w:type="pct"/>
          </w:tcPr>
          <w:p w14:paraId="78304590" w14:textId="77777777" w:rsidR="00E31B19" w:rsidRPr="007A7248" w:rsidRDefault="00E31B19" w:rsidP="000D0773">
            <w:pPr>
              <w:keepNext/>
              <w:spacing w:line="276" w:lineRule="auto"/>
              <w:jc w:val="center"/>
              <w:rPr>
                <w:rFonts w:ascii="Calibri" w:eastAsia="Calibri" w:hAnsi="Calibri" w:cs="Arial"/>
                <w:sz w:val="20"/>
                <w:szCs w:val="20"/>
                <w:lang w:eastAsia="en-US"/>
              </w:rPr>
            </w:pPr>
            <w:r w:rsidRPr="007A7248">
              <w:rPr>
                <w:rFonts w:ascii="Calibri" w:eastAsia="Calibri" w:hAnsi="Calibri" w:cs="Arial"/>
                <w:sz w:val="20"/>
                <w:szCs w:val="20"/>
                <w:lang w:eastAsia="en-US"/>
              </w:rPr>
              <w:t>x</w:t>
            </w:r>
          </w:p>
        </w:tc>
      </w:tr>
    </w:tbl>
    <w:p w14:paraId="10FBD342" w14:textId="77777777" w:rsidR="00E31B19" w:rsidRDefault="00E31B19" w:rsidP="00E31B19">
      <w:pPr>
        <w:spacing w:line="360" w:lineRule="auto"/>
        <w:jc w:val="both"/>
        <w:rPr>
          <w:rFonts w:asciiTheme="minorBidi" w:hAnsiTheme="minorBidi" w:cstheme="minorBidi"/>
        </w:rPr>
      </w:pPr>
    </w:p>
    <w:p w14:paraId="27E43D8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B19"/>
    <w:rsid w:val="000B1FFD"/>
    <w:rsid w:val="00331A6B"/>
    <w:rsid w:val="00755780"/>
    <w:rsid w:val="00857596"/>
    <w:rsid w:val="00C025DD"/>
    <w:rsid w:val="00E3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03181"/>
  <w15:chartTrackingRefBased/>
  <w15:docId w15:val="{0994E50F-D347-4610-BFE4-ADFC109A0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B19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1B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B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B1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B1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B1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B1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B1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B1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B1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B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B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B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B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B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B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B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1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B1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1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B1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1B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B1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1B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B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B1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31B19"/>
    <w:pPr>
      <w:spacing w:after="200"/>
    </w:pPr>
    <w:rPr>
      <w:rFonts w:ascii="Arial" w:eastAsiaTheme="minorHAnsi" w:hAnsi="Arial" w:cs="Arial"/>
      <w:i/>
      <w:iCs/>
      <w:color w:val="0E2841" w:themeColor="text2"/>
      <w:sz w:val="18"/>
      <w:szCs w:val="18"/>
      <w:lang w:eastAsia="en-US"/>
    </w:rPr>
  </w:style>
  <w:style w:type="table" w:customStyle="1" w:styleId="TableGrid3">
    <w:name w:val="Table Grid3"/>
    <w:basedOn w:val="TableNormal"/>
    <w:next w:val="TableGrid"/>
    <w:uiPriority w:val="39"/>
    <w:rsid w:val="00E31B19"/>
    <w:pPr>
      <w:spacing w:after="0" w:line="240" w:lineRule="auto"/>
    </w:pPr>
    <w:rPr>
      <w:rFonts w:ascii="Aptos" w:eastAsia="Times New Roman" w:hAnsi="Aptos" w:cs="Arial"/>
      <w:kern w:val="0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31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984</Characters>
  <Application>Microsoft Office Word</Application>
  <DocSecurity>0</DocSecurity>
  <Lines>8</Lines>
  <Paragraphs>2</Paragraphs>
  <ScaleCrop>false</ScaleCrop>
  <Company>Springer Nature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2025-04-15T11:06:00Z</dcterms:created>
  <dcterms:modified xsi:type="dcterms:W3CDTF">2025-04-15T11:06:00Z</dcterms:modified>
</cp:coreProperties>
</file>