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758" w:rsidRPr="006505D6" w:rsidRDefault="00E90758" w:rsidP="00E90758">
      <w:pPr>
        <w:spacing w:after="200" w:line="480" w:lineRule="auto"/>
        <w:rPr>
          <w:rFonts w:ascii="Times" w:hAnsi="Times"/>
          <w:lang w:val="en-US"/>
        </w:rPr>
      </w:pPr>
      <w:bookmarkStart w:id="0" w:name="_GoBack"/>
      <w:r w:rsidRPr="006505D6">
        <w:rPr>
          <w:rFonts w:ascii="Times" w:hAnsi="Times"/>
          <w:b/>
          <w:lang w:val="en-US"/>
        </w:rPr>
        <w:t xml:space="preserve">Supplemental table </w:t>
      </w:r>
      <w:bookmarkEnd w:id="0"/>
      <w:r w:rsidRPr="006505D6">
        <w:rPr>
          <w:rFonts w:ascii="Times" w:hAnsi="Times"/>
          <w:b/>
          <w:lang w:val="en-US"/>
        </w:rPr>
        <w:t xml:space="preserve">1. Abnormal vital sign ranges a priori defined. </w:t>
      </w:r>
      <w:r w:rsidRPr="006505D6">
        <w:rPr>
          <w:rFonts w:ascii="Times" w:hAnsi="Times"/>
          <w:lang w:val="en-US"/>
        </w:rPr>
        <w:t>Abbreviations: mmHG Milimeters of Mercury, GCS Glascow Coma Scale, °C Degrees Celsius</w:t>
      </w:r>
    </w:p>
    <w:p w:rsidR="00E90758" w:rsidRPr="006505D6" w:rsidRDefault="00E90758" w:rsidP="00E90758">
      <w:pPr>
        <w:spacing w:after="200" w:line="480" w:lineRule="auto"/>
        <w:rPr>
          <w:rFonts w:ascii="Times" w:hAnsi="Times"/>
          <w:lang w:val="en-US"/>
        </w:rPr>
      </w:pPr>
    </w:p>
    <w:p w:rsidR="00E90758" w:rsidRPr="006505D6" w:rsidRDefault="00E90758" w:rsidP="00E90758">
      <w:pPr>
        <w:spacing w:after="200" w:line="480" w:lineRule="auto"/>
        <w:rPr>
          <w:rFonts w:ascii="Times" w:hAnsi="Times"/>
          <w:lang w:val="en-US"/>
        </w:rPr>
      </w:pPr>
      <w:r w:rsidRPr="006505D6">
        <w:rPr>
          <w:rFonts w:ascii="Times" w:hAnsi="Times"/>
          <w:b/>
          <w:lang w:val="en-US"/>
        </w:rPr>
        <w:t>Supplemental table 2.</w:t>
      </w:r>
      <w:r w:rsidRPr="006505D6">
        <w:rPr>
          <w:rFonts w:ascii="Times" w:hAnsi="Times"/>
          <w:lang w:val="en-US"/>
        </w:rPr>
        <w:t xml:space="preserve"> Discriminative performances of different cut-off values. Percentage of missing values per individual variable are shown in parentheses.</w:t>
      </w:r>
    </w:p>
    <w:p w:rsidR="00E90758" w:rsidRPr="006505D6" w:rsidRDefault="00E90758" w:rsidP="00E90758">
      <w:pPr>
        <w:spacing w:after="200" w:line="480" w:lineRule="auto"/>
        <w:rPr>
          <w:rFonts w:ascii="Times" w:hAnsi="Times"/>
          <w:lang w:val="en-US"/>
        </w:rPr>
      </w:pPr>
    </w:p>
    <w:p w:rsidR="00E90758" w:rsidRPr="006505D6" w:rsidRDefault="00E90758" w:rsidP="00E90758">
      <w:pPr>
        <w:spacing w:after="120" w:line="480" w:lineRule="auto"/>
        <w:rPr>
          <w:rFonts w:ascii="Times" w:hAnsi="Times"/>
          <w:lang w:val="en-US"/>
        </w:rPr>
      </w:pPr>
      <w:r w:rsidRPr="006505D6">
        <w:rPr>
          <w:rFonts w:ascii="Times" w:hAnsi="Times"/>
          <w:b/>
          <w:lang w:val="en-US"/>
        </w:rPr>
        <w:t>Supplemental table 3.</w:t>
      </w:r>
      <w:r w:rsidRPr="006505D6">
        <w:rPr>
          <w:rFonts w:ascii="Times" w:hAnsi="Times"/>
          <w:lang w:val="en-US"/>
        </w:rPr>
        <w:t xml:space="preserve"> Variables not in the equation.</w:t>
      </w:r>
      <w:r w:rsidRPr="006505D6">
        <w:rPr>
          <w:rFonts w:ascii="Times" w:hAnsi="Times"/>
          <w:vertAlign w:val="superscript"/>
          <w:lang w:val="en-US"/>
        </w:rPr>
        <w:t xml:space="preserve"> 1</w:t>
      </w:r>
      <w:r w:rsidRPr="006505D6">
        <w:rPr>
          <w:rFonts w:ascii="Times" w:hAnsi="Times"/>
          <w:lang w:val="en-US"/>
        </w:rPr>
        <w:t xml:space="preserve">Roa’s efficient score statistic </w:t>
      </w:r>
      <w:r w:rsidRPr="006505D6">
        <w:rPr>
          <w:rFonts w:ascii="Times" w:hAnsi="Times"/>
          <w:vertAlign w:val="superscript"/>
          <w:lang w:val="en-US"/>
        </w:rPr>
        <w:t>2</w:t>
      </w:r>
      <w:r w:rsidRPr="006505D6">
        <w:rPr>
          <w:rFonts w:ascii="Times" w:hAnsi="Times"/>
          <w:lang w:val="en-US"/>
        </w:rPr>
        <w:t>degrees of freedom.</w:t>
      </w:r>
    </w:p>
    <w:p w:rsidR="00E90758" w:rsidRPr="006505D6" w:rsidRDefault="00E90758" w:rsidP="00E90758">
      <w:pPr>
        <w:spacing w:after="120" w:line="480" w:lineRule="auto"/>
        <w:rPr>
          <w:rFonts w:ascii="Times" w:hAnsi="Times"/>
          <w:lang w:val="en-US"/>
        </w:rPr>
      </w:pPr>
    </w:p>
    <w:p w:rsidR="00E90758" w:rsidRPr="006505D6" w:rsidRDefault="00E90758" w:rsidP="00E90758">
      <w:pPr>
        <w:autoSpaceDE w:val="0"/>
        <w:autoSpaceDN w:val="0"/>
        <w:adjustRightInd w:val="0"/>
        <w:spacing w:after="200" w:line="480" w:lineRule="auto"/>
        <w:rPr>
          <w:rFonts w:ascii="Times" w:hAnsi="Times"/>
          <w:bCs/>
          <w:lang w:val="en-US"/>
        </w:rPr>
      </w:pPr>
      <w:r w:rsidRPr="006505D6">
        <w:rPr>
          <w:rFonts w:ascii="Times" w:hAnsi="Times"/>
          <w:b/>
          <w:lang w:val="en-US"/>
        </w:rPr>
        <w:t xml:space="preserve">Supplemental </w:t>
      </w:r>
      <w:r w:rsidRPr="006505D6">
        <w:rPr>
          <w:rFonts w:ascii="Times" w:hAnsi="Times"/>
          <w:b/>
          <w:bCs/>
          <w:lang w:val="en-US"/>
        </w:rPr>
        <w:t xml:space="preserve">table 4. Diagnostic performances of various cut-off values. </w:t>
      </w:r>
      <w:r w:rsidRPr="006505D6">
        <w:rPr>
          <w:rFonts w:ascii="Times" w:hAnsi="Times"/>
          <w:bCs/>
          <w:i/>
          <w:lang w:val="en-US"/>
        </w:rPr>
        <w:t xml:space="preserve">CI </w:t>
      </w:r>
      <w:r w:rsidRPr="006505D6">
        <w:rPr>
          <w:rFonts w:ascii="Times" w:hAnsi="Times"/>
          <w:bCs/>
          <w:lang w:val="en-US"/>
        </w:rPr>
        <w:t xml:space="preserve">Confidence interval, </w:t>
      </w:r>
      <w:r w:rsidRPr="006505D6">
        <w:rPr>
          <w:rFonts w:ascii="Times" w:hAnsi="Times"/>
          <w:bCs/>
          <w:i/>
          <w:lang w:val="en-US"/>
        </w:rPr>
        <w:t>Sens</w:t>
      </w:r>
      <w:r w:rsidRPr="006505D6">
        <w:rPr>
          <w:rFonts w:ascii="Times" w:hAnsi="Times"/>
          <w:bCs/>
          <w:lang w:val="en-US"/>
        </w:rPr>
        <w:t xml:space="preserve"> Sensitivity, </w:t>
      </w:r>
      <w:r w:rsidRPr="006505D6">
        <w:rPr>
          <w:rFonts w:ascii="Times" w:hAnsi="Times"/>
          <w:bCs/>
          <w:i/>
          <w:lang w:val="en-US"/>
        </w:rPr>
        <w:t>Spec</w:t>
      </w:r>
      <w:r w:rsidRPr="006505D6">
        <w:rPr>
          <w:rFonts w:ascii="Times" w:hAnsi="Times"/>
          <w:bCs/>
          <w:lang w:val="en-US"/>
        </w:rPr>
        <w:t xml:space="preserve"> Specificity, </w:t>
      </w:r>
      <w:r w:rsidRPr="006505D6">
        <w:rPr>
          <w:rFonts w:ascii="Times" w:hAnsi="Times"/>
          <w:bCs/>
          <w:i/>
          <w:lang w:val="en-US"/>
        </w:rPr>
        <w:t xml:space="preserve">PPV </w:t>
      </w:r>
      <w:r w:rsidRPr="006505D6">
        <w:rPr>
          <w:rFonts w:ascii="Times" w:hAnsi="Times"/>
          <w:bCs/>
          <w:lang w:val="en-US"/>
        </w:rPr>
        <w:t xml:space="preserve">Positive Predictive Value, </w:t>
      </w:r>
      <w:r w:rsidRPr="006505D6">
        <w:rPr>
          <w:rFonts w:ascii="Times" w:hAnsi="Times"/>
          <w:bCs/>
          <w:i/>
          <w:lang w:val="en-US"/>
        </w:rPr>
        <w:t>NPV</w:t>
      </w:r>
      <w:r w:rsidRPr="006505D6">
        <w:rPr>
          <w:rFonts w:ascii="Times" w:hAnsi="Times"/>
          <w:bCs/>
          <w:lang w:val="en-US"/>
        </w:rPr>
        <w:t xml:space="preserve"> Negative predictive value. </w:t>
      </w:r>
      <w:r w:rsidRPr="006505D6">
        <w:rPr>
          <w:rFonts w:ascii="Times" w:hAnsi="Times"/>
          <w:bCs/>
          <w:vertAlign w:val="superscript"/>
          <w:lang w:val="en-US"/>
        </w:rPr>
        <w:t>1</w:t>
      </w:r>
      <w:r w:rsidRPr="006505D6">
        <w:rPr>
          <w:rFonts w:ascii="Times" w:hAnsi="Times"/>
          <w:bCs/>
          <w:lang w:val="en-US"/>
        </w:rPr>
        <w:t>Proposed point in the receiver operator characteristics curve to facilitate safe, early discharge.</w:t>
      </w:r>
    </w:p>
    <w:p w:rsidR="00E90758" w:rsidRPr="006505D6" w:rsidRDefault="00E90758" w:rsidP="00E90758">
      <w:pPr>
        <w:autoSpaceDE w:val="0"/>
        <w:autoSpaceDN w:val="0"/>
        <w:adjustRightInd w:val="0"/>
        <w:spacing w:after="200" w:line="480" w:lineRule="auto"/>
        <w:rPr>
          <w:rFonts w:ascii="Times" w:hAnsi="Times"/>
          <w:b/>
          <w:bCs/>
          <w:lang w:val="en-US"/>
        </w:rPr>
      </w:pPr>
    </w:p>
    <w:p w:rsidR="00E90758" w:rsidRPr="006505D6" w:rsidRDefault="00E90758" w:rsidP="00E90758">
      <w:pPr>
        <w:spacing w:after="200" w:line="480" w:lineRule="auto"/>
        <w:rPr>
          <w:rFonts w:ascii="Times" w:hAnsi="Times"/>
          <w:bCs/>
          <w:lang w:val="en-US"/>
        </w:rPr>
      </w:pPr>
      <w:r w:rsidRPr="006505D6">
        <w:rPr>
          <w:rFonts w:ascii="Times" w:hAnsi="Times"/>
          <w:b/>
          <w:lang w:val="en-US"/>
        </w:rPr>
        <w:t xml:space="preserve">Supplemental </w:t>
      </w:r>
      <w:r w:rsidRPr="006505D6">
        <w:rPr>
          <w:rFonts w:ascii="Times" w:hAnsi="Times"/>
          <w:b/>
          <w:bCs/>
          <w:lang w:val="en-US"/>
        </w:rPr>
        <w:t>t</w:t>
      </w:r>
      <w:r w:rsidRPr="006505D6">
        <w:rPr>
          <w:rFonts w:ascii="Times" w:hAnsi="Times"/>
          <w:b/>
          <w:lang w:val="en-US"/>
        </w:rPr>
        <w:t xml:space="preserve">able 5. Performance of the chosen cut-off value. </w:t>
      </w:r>
      <w:r w:rsidRPr="006505D6">
        <w:rPr>
          <w:rFonts w:ascii="Times" w:hAnsi="Times"/>
          <w:bCs/>
          <w:i/>
          <w:lang w:val="en-US"/>
        </w:rPr>
        <w:t>TP</w:t>
      </w:r>
      <w:r w:rsidRPr="006505D6">
        <w:rPr>
          <w:rFonts w:ascii="Times" w:hAnsi="Times"/>
          <w:bCs/>
          <w:lang w:val="en-US"/>
        </w:rPr>
        <w:t xml:space="preserve"> True Positive</w:t>
      </w:r>
      <w:r w:rsidRPr="006505D6">
        <w:rPr>
          <w:rFonts w:ascii="Times" w:hAnsi="Times"/>
          <w:bCs/>
          <w:i/>
          <w:lang w:val="en-US"/>
        </w:rPr>
        <w:t xml:space="preserve"> FP </w:t>
      </w:r>
      <w:r w:rsidRPr="006505D6">
        <w:rPr>
          <w:rFonts w:ascii="Times" w:hAnsi="Times"/>
          <w:bCs/>
          <w:lang w:val="en-US"/>
        </w:rPr>
        <w:t>False Positive</w:t>
      </w:r>
      <w:r w:rsidRPr="006505D6">
        <w:rPr>
          <w:rFonts w:ascii="Times" w:hAnsi="Times"/>
          <w:bCs/>
          <w:i/>
          <w:lang w:val="en-US"/>
        </w:rPr>
        <w:t xml:space="preserve"> FN </w:t>
      </w:r>
      <w:r w:rsidRPr="006505D6">
        <w:rPr>
          <w:rFonts w:ascii="Times" w:hAnsi="Times"/>
          <w:bCs/>
          <w:lang w:val="en-US"/>
        </w:rPr>
        <w:t>False Negative</w:t>
      </w:r>
      <w:r w:rsidRPr="006505D6">
        <w:rPr>
          <w:rFonts w:ascii="Times" w:hAnsi="Times"/>
          <w:bCs/>
          <w:i/>
          <w:lang w:val="en-US"/>
        </w:rPr>
        <w:t xml:space="preserve"> TN </w:t>
      </w:r>
      <w:r w:rsidRPr="006505D6">
        <w:rPr>
          <w:rFonts w:ascii="Times" w:hAnsi="Times"/>
          <w:bCs/>
          <w:lang w:val="en-US"/>
        </w:rPr>
        <w:t xml:space="preserve">True Negative </w:t>
      </w:r>
      <w:r w:rsidRPr="006505D6">
        <w:rPr>
          <w:rFonts w:ascii="Times" w:hAnsi="Times"/>
          <w:bCs/>
          <w:i/>
          <w:lang w:val="en-US"/>
        </w:rPr>
        <w:t>Sens</w:t>
      </w:r>
      <w:r w:rsidRPr="006505D6">
        <w:rPr>
          <w:rFonts w:ascii="Times" w:hAnsi="Times"/>
          <w:bCs/>
          <w:lang w:val="en-US"/>
        </w:rPr>
        <w:t xml:space="preserve"> Sensitivity, </w:t>
      </w:r>
      <w:r w:rsidRPr="006505D6">
        <w:rPr>
          <w:rFonts w:ascii="Times" w:hAnsi="Times"/>
          <w:bCs/>
          <w:i/>
          <w:lang w:val="en-US"/>
        </w:rPr>
        <w:t>Spec</w:t>
      </w:r>
      <w:r w:rsidRPr="006505D6">
        <w:rPr>
          <w:rFonts w:ascii="Times" w:hAnsi="Times"/>
          <w:bCs/>
          <w:lang w:val="en-US"/>
        </w:rPr>
        <w:t xml:space="preserve"> Specificity, </w:t>
      </w:r>
      <w:r w:rsidRPr="006505D6">
        <w:rPr>
          <w:rFonts w:ascii="Times" w:hAnsi="Times"/>
          <w:bCs/>
          <w:i/>
          <w:lang w:val="en-US"/>
        </w:rPr>
        <w:t xml:space="preserve">PPV </w:t>
      </w:r>
      <w:r w:rsidRPr="006505D6">
        <w:rPr>
          <w:rFonts w:ascii="Times" w:hAnsi="Times"/>
          <w:bCs/>
          <w:lang w:val="en-US"/>
        </w:rPr>
        <w:t xml:space="preserve">Positive Predictive Value, </w:t>
      </w:r>
      <w:r w:rsidRPr="006505D6">
        <w:rPr>
          <w:rFonts w:ascii="Times" w:hAnsi="Times"/>
          <w:bCs/>
          <w:i/>
          <w:lang w:val="en-US"/>
        </w:rPr>
        <w:t>NPV</w:t>
      </w:r>
      <w:r w:rsidRPr="006505D6">
        <w:rPr>
          <w:rFonts w:ascii="Times" w:hAnsi="Times"/>
          <w:bCs/>
          <w:lang w:val="en-US"/>
        </w:rPr>
        <w:t xml:space="preserve"> Negative predictive value.</w:t>
      </w:r>
    </w:p>
    <w:p w:rsidR="00E90758" w:rsidRPr="006505D6" w:rsidRDefault="00E90758" w:rsidP="00E90758">
      <w:pPr>
        <w:spacing w:after="200" w:line="480" w:lineRule="auto"/>
        <w:rPr>
          <w:rFonts w:ascii="Times" w:hAnsi="Times"/>
          <w:b/>
          <w:lang w:val="en-US"/>
        </w:rPr>
      </w:pPr>
    </w:p>
    <w:p w:rsidR="00E90758" w:rsidRPr="006505D6" w:rsidRDefault="00E90758" w:rsidP="00E90758">
      <w:pPr>
        <w:spacing w:after="200" w:line="480" w:lineRule="auto"/>
        <w:rPr>
          <w:rFonts w:ascii="Times" w:hAnsi="Times"/>
          <w:lang w:val="en-US"/>
        </w:rPr>
      </w:pPr>
      <w:r w:rsidRPr="006505D6">
        <w:rPr>
          <w:rFonts w:ascii="Times" w:hAnsi="Times"/>
          <w:b/>
          <w:lang w:val="en-US"/>
        </w:rPr>
        <w:t xml:space="preserve">Supplemental </w:t>
      </w:r>
      <w:r w:rsidRPr="006505D6">
        <w:rPr>
          <w:rFonts w:ascii="Times" w:hAnsi="Times"/>
          <w:b/>
          <w:bCs/>
          <w:lang w:val="en-US"/>
        </w:rPr>
        <w:t>t</w:t>
      </w:r>
      <w:r w:rsidRPr="006505D6">
        <w:rPr>
          <w:rFonts w:ascii="Times" w:hAnsi="Times"/>
          <w:b/>
          <w:lang w:val="en-US"/>
        </w:rPr>
        <w:t xml:space="preserve">able 6. Characteristics of patients with a positive score. </w:t>
      </w:r>
      <w:r w:rsidRPr="006505D6">
        <w:rPr>
          <w:rFonts w:ascii="Times" w:hAnsi="Times"/>
          <w:vertAlign w:val="superscript"/>
          <w:lang w:val="en-US"/>
        </w:rPr>
        <w:t>1</w:t>
      </w:r>
      <w:r w:rsidRPr="006505D6">
        <w:rPr>
          <w:rFonts w:ascii="Times" w:hAnsi="Times"/>
          <w:lang w:val="en-US"/>
        </w:rPr>
        <w:t xml:space="preserve">Of all patients included in the analysis (1381). </w:t>
      </w:r>
      <w:r w:rsidRPr="006505D6">
        <w:rPr>
          <w:rFonts w:ascii="Times" w:hAnsi="Times"/>
          <w:vertAlign w:val="superscript"/>
          <w:lang w:val="en-US"/>
        </w:rPr>
        <w:t>2</w:t>
      </w:r>
      <w:r w:rsidRPr="006505D6">
        <w:rPr>
          <w:rFonts w:ascii="Times" w:hAnsi="Times"/>
          <w:lang w:val="en-US"/>
        </w:rPr>
        <w:t xml:space="preserve">Of patients with a positive score </w:t>
      </w:r>
    </w:p>
    <w:p w:rsidR="00E90758" w:rsidRPr="006505D6" w:rsidRDefault="00E90758" w:rsidP="00E90758">
      <w:pPr>
        <w:widowControl w:val="0"/>
        <w:spacing w:line="480" w:lineRule="auto"/>
        <w:jc w:val="both"/>
        <w:rPr>
          <w:rFonts w:ascii="Times New Roman" w:hAnsi="Times New Roman"/>
          <w:snapToGrid w:val="0"/>
          <w:lang w:val="en-GB"/>
        </w:rPr>
      </w:pPr>
      <w:r w:rsidRPr="006505D6">
        <w:rPr>
          <w:rFonts w:ascii="Times New Roman" w:hAnsi="Times New Roman"/>
          <w:b/>
          <w:lang w:val="en-US"/>
        </w:rPr>
        <w:br w:type="page"/>
      </w:r>
      <w:r w:rsidRPr="006505D6">
        <w:rPr>
          <w:rFonts w:ascii="Times New Roman" w:hAnsi="Times New Roman"/>
          <w:b/>
          <w:lang w:val="en-US"/>
        </w:rPr>
        <w:lastRenderedPageBreak/>
        <w:t>Appendices</w:t>
      </w:r>
    </w:p>
    <w:p w:rsidR="00E90758" w:rsidRPr="006505D6" w:rsidRDefault="00E90758" w:rsidP="00E90758">
      <w:pPr>
        <w:spacing w:line="480" w:lineRule="auto"/>
        <w:rPr>
          <w:rFonts w:ascii="Times New Roman" w:eastAsia="Times New Roman" w:hAnsi="Times New Roman"/>
          <w:b/>
          <w:lang w:val="en-US" w:eastAsia="nl-NL"/>
        </w:rPr>
      </w:pPr>
      <w:r w:rsidRPr="006505D6">
        <w:rPr>
          <w:rFonts w:ascii="Times New Roman" w:eastAsia="Times New Roman" w:hAnsi="Times New Roman"/>
          <w:b/>
          <w:lang w:val="en-US" w:eastAsia="nl-NL"/>
        </w:rPr>
        <w:t>Supplemental table 1.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4606"/>
        <w:gridCol w:w="4858"/>
      </w:tblGrid>
      <w:tr w:rsidR="00E90758" w:rsidRPr="006505D6" w:rsidTr="006B1215">
        <w:tc>
          <w:tcPr>
            <w:tcW w:w="946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Abnormal vital sign ranges a priori defined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Vital sign</w:t>
            </w:r>
          </w:p>
        </w:tc>
        <w:tc>
          <w:tcPr>
            <w:tcW w:w="4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Normal value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Respiratory rate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≥22 breaths per minute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Blood oxygen saturation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≤90% or requiring oxygen suppletion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Systolic blood pressure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≤100 mmHg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Diastolic blood pressure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≤60 mmHg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Mean arterial pressure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≤70 mmHg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Pulse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≥120 beats per minute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Mental status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&lt;15 points on the GCS</w:t>
            </w:r>
          </w:p>
        </w:tc>
      </w:tr>
      <w:tr w:rsidR="00E90758" w:rsidRPr="006505D6" w:rsidTr="006B1215">
        <w:tc>
          <w:tcPr>
            <w:tcW w:w="4606" w:type="dxa"/>
            <w:tcBorders>
              <w:top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Temperature</w:t>
            </w:r>
          </w:p>
        </w:tc>
        <w:tc>
          <w:tcPr>
            <w:tcW w:w="4858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 xml:space="preserve">&lt;36 or &gt;38 °C </w:t>
            </w:r>
          </w:p>
        </w:tc>
      </w:tr>
      <w:tr w:rsidR="00E90758" w:rsidRPr="006505D6" w:rsidTr="006B1215">
        <w:tc>
          <w:tcPr>
            <w:tcW w:w="94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 xml:space="preserve">Abbreviations: </w:t>
            </w:r>
            <w:r w:rsidRPr="006505D6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val="en-US" w:eastAsia="nl-NL"/>
              </w:rPr>
              <w:t>mmHG</w:t>
            </w: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 xml:space="preserve"> Milimeters of Mercury, </w:t>
            </w:r>
            <w:r w:rsidRPr="006505D6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val="en-US" w:eastAsia="nl-NL"/>
              </w:rPr>
              <w:t>GCS</w:t>
            </w: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 xml:space="preserve"> Glascow Coma Scale, </w:t>
            </w:r>
            <w:r w:rsidRPr="006505D6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val="en-US" w:eastAsia="nl-NL"/>
              </w:rPr>
              <w:t>°C</w:t>
            </w: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 xml:space="preserve"> Degrees Celsius</w:t>
            </w:r>
          </w:p>
        </w:tc>
      </w:tr>
    </w:tbl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tbl>
      <w:tblPr>
        <w:tblpPr w:leftFromText="141" w:rightFromText="141" w:vertAnchor="text" w:horzAnchor="margin" w:tblpY="-145"/>
        <w:tblW w:w="437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216"/>
        <w:gridCol w:w="1939"/>
        <w:gridCol w:w="2076"/>
        <w:gridCol w:w="1698"/>
      </w:tblGrid>
      <w:tr w:rsidR="00E90758" w:rsidRPr="006505D6" w:rsidTr="006B1215">
        <w:trPr>
          <w:trHeight w:val="14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lastRenderedPageBreak/>
              <w:t xml:space="preserve">Supplemental </w:t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table 2. Discriminative performances of different cut-off values</w:t>
            </w:r>
          </w:p>
        </w:tc>
      </w:tr>
      <w:tr w:rsidR="00E90758" w:rsidRPr="006505D6" w:rsidTr="006B1215">
        <w:trPr>
          <w:trHeight w:val="181"/>
        </w:trPr>
        <w:tc>
          <w:tcPr>
            <w:tcW w:w="1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Clinical scoring system</w:t>
            </w: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Sensitivity (%)</w:t>
            </w:r>
          </w:p>
        </w:tc>
        <w:tc>
          <w:tcPr>
            <w:tcW w:w="1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Specificity (%)</w:t>
            </w:r>
          </w:p>
        </w:tc>
        <w:tc>
          <w:tcPr>
            <w:tcW w:w="10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Youden’s Index</w:t>
            </w:r>
          </w:p>
        </w:tc>
      </w:tr>
      <w:tr w:rsidR="00E90758" w:rsidRPr="006505D6" w:rsidTr="006B1215">
        <w:trPr>
          <w:trHeight w:val="155"/>
        </w:trPr>
        <w:tc>
          <w:tcPr>
            <w:tcW w:w="13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CIS physician (14.5)</w:t>
            </w: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0.27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62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0.36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4.5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79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0.36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5.5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89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0.28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CIS nurse (19.8)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0.18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ab/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47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80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0.27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4.5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0.27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5.5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81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0.26</w:t>
            </w:r>
          </w:p>
        </w:tc>
      </w:tr>
      <w:tr w:rsidR="00E90758" w:rsidRPr="006505D6" w:rsidTr="006B1215">
        <w:trPr>
          <w:trHeight w:val="155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6.5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91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0.19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NEWS (0)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1.5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0.15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0.18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ab/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76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0.20</w:t>
            </w:r>
          </w:p>
        </w:tc>
      </w:tr>
      <w:tr w:rsidR="00E90758" w:rsidRPr="006505D6" w:rsidTr="006B1215">
        <w:trPr>
          <w:trHeight w:val="155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4.5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85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0.19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5.5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91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0.17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SIRS (0)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0.5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0.02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1.5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40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0.14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79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0.12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0.02</w:t>
            </w:r>
          </w:p>
        </w:tc>
      </w:tr>
      <w:tr w:rsidR="00E90758" w:rsidRPr="006505D6" w:rsidTr="006B1215">
        <w:trPr>
          <w:trHeight w:val="155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qSOFA (0)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0.5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0.14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1.5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98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0.06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0.01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SOFA(0)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0.13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ab/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57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63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0.20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4.5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0.20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5.5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0.16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PIRO (0)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0.15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4.5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0.20</w:t>
            </w:r>
          </w:p>
        </w:tc>
      </w:tr>
      <w:tr w:rsidR="00E90758" w:rsidRPr="006505D6" w:rsidTr="006B1215">
        <w:trPr>
          <w:trHeight w:val="155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5.5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0.22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ab/>
              <w:t>6.5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67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0.23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7.5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73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0.23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8.5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79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0.21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MEDS (0)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155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2.5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0.19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3.5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75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0.22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4.5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0.22</w:t>
            </w:r>
          </w:p>
        </w:tc>
      </w:tr>
      <w:tr w:rsidR="00E90758" w:rsidRPr="006505D6" w:rsidTr="006B1215">
        <w:trPr>
          <w:trHeight w:val="148"/>
        </w:trPr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ab/>
              <w:t>5.5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0.18</w:t>
            </w:r>
          </w:p>
        </w:tc>
      </w:tr>
      <w:tr w:rsidR="00E90758" w:rsidRPr="006505D6" w:rsidTr="006B1215">
        <w:trPr>
          <w:trHeight w:val="256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Percentage of missing values per individual variable are shown in parentheses. </w:t>
            </w:r>
          </w:p>
        </w:tc>
      </w:tr>
    </w:tbl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tbl>
      <w:tblPr>
        <w:tblW w:w="76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"/>
        <w:gridCol w:w="4429"/>
        <w:gridCol w:w="1028"/>
        <w:gridCol w:w="1028"/>
        <w:gridCol w:w="1028"/>
      </w:tblGrid>
      <w:tr w:rsidR="00E90758" w:rsidRPr="006505D6" w:rsidTr="006B1215">
        <w:trPr>
          <w:cantSplit/>
        </w:trPr>
        <w:tc>
          <w:tcPr>
            <w:tcW w:w="76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lastRenderedPageBreak/>
              <w:t xml:space="preserve">Supplemental </w:t>
            </w:r>
            <w:r w:rsidRPr="006505D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nl-NL"/>
              </w:rPr>
              <w:t>table 3. Variables not in the equation.</w:t>
            </w:r>
          </w:p>
        </w:tc>
      </w:tr>
      <w:tr w:rsidR="00E90758" w:rsidRPr="006505D6" w:rsidTr="006B1215">
        <w:trPr>
          <w:cantSplit/>
        </w:trPr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Variable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Score</w:t>
            </w:r>
            <w:r w:rsidRPr="006505D6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nl-NL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Df</w:t>
            </w:r>
            <w:r w:rsidRPr="006505D6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nl-NL"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P-value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Gender (1)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.108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.742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Orange triage color (0)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2,329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.312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Yellow triage color(1)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.031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.859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Green triage color (2)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1,115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.291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Living in own home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.995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Educated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.029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.866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Smoker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2,753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.097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Alcohol user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.667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.414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Number of comorbidities (0)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10,648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.100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Number of comorbidities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.093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.760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Number of comorbidities (2)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.456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Number of comorbidities (3)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4.057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.044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Number of comorbidities (4)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5.712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.017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Number of comorbidities (5)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.332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.564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Number of comorbidities (6)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.844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Cardiac disease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.391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COPD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2.924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.087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Diabetes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.482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Chronic kidney disease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.507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Chronic liver disease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.525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Malignancy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.870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No comorbidities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.898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.343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MEDS Rapid progressive illness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.855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MEDS platelet count &lt;150x10</w:t>
            </w:r>
            <w:r w:rsidRPr="006505D6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nl-NL"/>
              </w:rPr>
              <w:t>9</w:t>
            </w: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/L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2.753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.097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val="en-US" w:eastAsia="nl-NL"/>
              </w:rPr>
              <w:t>Respiratory failure at ED admission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.163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.686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PIRO lactate&gt;4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.784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ind w:right="6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  <w:r w:rsidRPr="006505D6"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  <w:t>PIRO bandemia &gt;5%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.754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PIRO focus infection: soft tissue (0)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.754</w:t>
            </w:r>
          </w:p>
        </w:tc>
      </w:tr>
      <w:tr w:rsidR="00E90758" w:rsidRPr="006505D6" w:rsidTr="006B1215">
        <w:trPr>
          <w:cantSplit/>
        </w:trPr>
        <w:tc>
          <w:tcPr>
            <w:tcW w:w="142" w:type="dxa"/>
            <w:vMerge/>
            <w:tcBorders>
              <w:left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PIRO focus infection: other focus (0)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.499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PIRO focus infection: pneumonia (0)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.866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qSOFA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.196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.658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NEWS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.749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NEWS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.324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.569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pulse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.948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Pulse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.749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RRsys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.471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RRsys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2.426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.119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RRdia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.264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.607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RRdia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.358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.549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MAP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.733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MAP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1.754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.185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respiratory frequency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1.239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.266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Respiratory frequency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.405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.525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oxygen saturation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1.905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.167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Oxygen saturation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3.717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.054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temperature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.251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.617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Normalization of mental status (1)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.252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.616</w:t>
            </w:r>
          </w:p>
        </w:tc>
      </w:tr>
      <w:tr w:rsidR="00E90758" w:rsidRPr="006505D6" w:rsidTr="006B1215">
        <w:trPr>
          <w:cantSplit/>
          <w:trHeight w:val="22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nl-NL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right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Mental status stayed normal (1)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2.295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90758" w:rsidRPr="006505D6" w:rsidRDefault="00E90758" w:rsidP="006B1215">
            <w:pPr>
              <w:ind w:left="60" w:right="6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</w:rPr>
              <w:t>.130</w:t>
            </w:r>
          </w:p>
        </w:tc>
      </w:tr>
    </w:tbl>
    <w:p w:rsidR="00E90758" w:rsidRPr="006505D6" w:rsidRDefault="00E90758" w:rsidP="00E90758">
      <w:pPr>
        <w:spacing w:after="120" w:line="480" w:lineRule="auto"/>
        <w:rPr>
          <w:rFonts w:ascii="Times New Roman" w:hAnsi="Times New Roman"/>
          <w:sz w:val="20"/>
          <w:szCs w:val="20"/>
          <w:lang w:val="en-US"/>
        </w:rPr>
      </w:pPr>
      <w:r w:rsidRPr="006505D6">
        <w:rPr>
          <w:rFonts w:ascii="Times New Roman" w:hAnsi="Times New Roman"/>
          <w:sz w:val="20"/>
          <w:szCs w:val="20"/>
          <w:vertAlign w:val="superscript"/>
          <w:lang w:val="en-US"/>
        </w:rPr>
        <w:t>1</w:t>
      </w:r>
      <w:r w:rsidRPr="006505D6">
        <w:rPr>
          <w:rFonts w:ascii="Times New Roman" w:hAnsi="Times New Roman"/>
          <w:sz w:val="20"/>
          <w:szCs w:val="20"/>
          <w:lang w:val="en-US"/>
        </w:rPr>
        <w:t xml:space="preserve">Roa’s efficient score statistic </w:t>
      </w:r>
      <w:r w:rsidRPr="006505D6">
        <w:rPr>
          <w:rFonts w:ascii="Times New Roman" w:hAnsi="Times New Roman"/>
          <w:sz w:val="20"/>
          <w:szCs w:val="20"/>
          <w:vertAlign w:val="superscript"/>
          <w:lang w:val="en-US"/>
        </w:rPr>
        <w:t>2</w:t>
      </w:r>
      <w:r w:rsidRPr="006505D6">
        <w:rPr>
          <w:rFonts w:ascii="Times New Roman" w:hAnsi="Times New Roman"/>
          <w:sz w:val="20"/>
          <w:szCs w:val="20"/>
          <w:lang w:val="en-US"/>
        </w:rPr>
        <w:t>degrees of freedom</w:t>
      </w: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tbl>
      <w:tblPr>
        <w:tblW w:w="4189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1446"/>
        <w:gridCol w:w="1446"/>
        <w:gridCol w:w="1446"/>
        <w:gridCol w:w="1453"/>
      </w:tblGrid>
      <w:tr w:rsidR="00E90758" w:rsidRPr="006505D6" w:rsidTr="006B1215">
        <w:trPr>
          <w:trHeight w:val="306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lastRenderedPageBreak/>
              <w:t xml:space="preserve">Supplemental </w:t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table 4. Diagnostic performances of various cut-off values</w:t>
            </w:r>
          </w:p>
        </w:tc>
      </w:tr>
      <w:tr w:rsidR="00E90758" w:rsidRPr="006505D6" w:rsidTr="006B1215">
        <w:trPr>
          <w:trHeight w:val="423"/>
        </w:trPr>
        <w:tc>
          <w:tcPr>
            <w:tcW w:w="1191" w:type="pct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Cut-off point</w:t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(≥)</w:t>
            </w:r>
          </w:p>
        </w:tc>
        <w:tc>
          <w:tcPr>
            <w:tcW w:w="951" w:type="pct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Sens (%)</w:t>
            </w:r>
          </w:p>
        </w:tc>
        <w:tc>
          <w:tcPr>
            <w:tcW w:w="951" w:type="pct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Spec (%)</w:t>
            </w:r>
          </w:p>
        </w:tc>
        <w:tc>
          <w:tcPr>
            <w:tcW w:w="951" w:type="pct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PPV (%)</w:t>
            </w:r>
          </w:p>
        </w:tc>
        <w:tc>
          <w:tcPr>
            <w:tcW w:w="956" w:type="pct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D9D9D9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NPV (%)</w:t>
            </w:r>
          </w:p>
        </w:tc>
      </w:tr>
      <w:tr w:rsidR="00E90758" w:rsidRPr="006505D6" w:rsidTr="006B1215">
        <w:trPr>
          <w:trHeight w:val="231"/>
        </w:trPr>
        <w:tc>
          <w:tcPr>
            <w:tcW w:w="11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0.72</w:t>
            </w:r>
          </w:p>
        </w:tc>
        <w:tc>
          <w:tcPr>
            <w:tcW w:w="95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95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5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5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92.1</w:t>
            </w:r>
          </w:p>
        </w:tc>
      </w:tr>
      <w:tr w:rsidR="00E90758" w:rsidRPr="006505D6" w:rsidTr="006B1215">
        <w:trPr>
          <w:trHeight w:val="151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0.66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99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79.1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86.3</w:t>
            </w:r>
          </w:p>
        </w:tc>
      </w:tr>
      <w:tr w:rsidR="00E90758" w:rsidRPr="006505D6" w:rsidTr="006B1215">
        <w:trPr>
          <w:trHeight w:val="197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0.62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98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73.4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82</w:t>
            </w:r>
          </w:p>
        </w:tc>
      </w:tr>
      <w:tr w:rsidR="00E90758" w:rsidRPr="006505D6" w:rsidTr="006B1215">
        <w:trPr>
          <w:trHeight w:val="257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0.58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24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97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73.4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78.8</w:t>
            </w:r>
          </w:p>
        </w:tc>
      </w:tr>
      <w:tr w:rsidR="00E90758" w:rsidRPr="006505D6" w:rsidTr="006B1215">
        <w:trPr>
          <w:trHeight w:val="274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0.55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96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75.5</w:t>
            </w:r>
          </w:p>
        </w:tc>
      </w:tr>
      <w:tr w:rsidR="00E90758" w:rsidRPr="006505D6" w:rsidTr="006B1215">
        <w:trPr>
          <w:trHeight w:val="137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0.53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95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66.7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73</w:t>
            </w:r>
          </w:p>
        </w:tc>
      </w:tr>
      <w:tr w:rsidR="00E90758" w:rsidRPr="006505D6" w:rsidTr="006B1215">
        <w:trPr>
          <w:trHeight w:val="7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758" w:rsidRPr="006505D6" w:rsidRDefault="00E90758" w:rsidP="006B121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CI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Confidence interval,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Sens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Sensitivity,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Spec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Specificity,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PPV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Positive Predictive Value,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NPV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Negative predictive value.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vertAlign w:val="superscript"/>
                <w:lang w:val="en-US"/>
              </w:rPr>
              <w:t>1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Proposed point in the receiver operator characteristics curve to facilitate safe, early discharge.</w:t>
            </w:r>
          </w:p>
        </w:tc>
      </w:tr>
    </w:tbl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50"/>
        <w:gridCol w:w="2295"/>
        <w:gridCol w:w="2505"/>
        <w:gridCol w:w="1922"/>
      </w:tblGrid>
      <w:tr w:rsidR="00E90758" w:rsidRPr="006505D6" w:rsidTr="006B1215">
        <w:tc>
          <w:tcPr>
            <w:tcW w:w="928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lastRenderedPageBreak/>
              <w:t xml:space="preserve">Supplemental </w:t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able 5. Performance of the chosen cut-off value</w:t>
            </w:r>
          </w:p>
        </w:tc>
      </w:tr>
      <w:tr w:rsidR="00E90758" w:rsidRPr="006505D6" w:rsidTr="006B1215">
        <w:tc>
          <w:tcPr>
            <w:tcW w:w="2406" w:type="dxa"/>
            <w:tcBorders>
              <w:top w:val="single" w:sz="4" w:space="0" w:color="auto"/>
              <w:bottom w:val="single" w:sz="4" w:space="0" w:color="000000"/>
              <w:right w:val="single" w:sz="4" w:space="0" w:color="D9D9D9"/>
            </w:tcBorders>
            <w:shd w:val="clear" w:color="auto" w:fill="D9D9D9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D9D9D9"/>
              <w:bottom w:val="single" w:sz="4" w:space="0" w:color="000000"/>
              <w:right w:val="single" w:sz="4" w:space="0" w:color="D9D9D9"/>
            </w:tcBorders>
            <w:shd w:val="clear" w:color="auto" w:fill="D9D9D9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Actual safe, early discharge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D9D9D9"/>
              <w:bottom w:val="single" w:sz="4" w:space="0" w:color="000000"/>
              <w:right w:val="single" w:sz="4" w:space="0" w:color="D9D9D9"/>
            </w:tcBorders>
            <w:shd w:val="clear" w:color="auto" w:fill="D9D9D9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Prolonged hospitalization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D9D9D9"/>
              <w:bottom w:val="single" w:sz="4" w:space="0" w:color="000000"/>
            </w:tcBorders>
            <w:shd w:val="clear" w:color="auto" w:fill="D9D9D9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c>
          <w:tcPr>
            <w:tcW w:w="2406" w:type="dxa"/>
            <w:tcBorders>
              <w:top w:val="single" w:sz="4" w:space="0" w:color="000000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Score ≥0.58 </w:t>
            </w:r>
          </w:p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(test positive)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84 (TP)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31 (FP)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0.734 (PPV)</w:t>
            </w:r>
          </w:p>
        </w:tc>
      </w:tr>
      <w:tr w:rsidR="00E90758" w:rsidRPr="006505D6" w:rsidTr="006B1215">
        <w:tc>
          <w:tcPr>
            <w:tcW w:w="2406" w:type="dxa"/>
            <w:tcBorders>
              <w:top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Score&lt;0.58 </w:t>
            </w:r>
          </w:p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(test negative)</w:t>
            </w:r>
          </w:p>
        </w:tc>
        <w:tc>
          <w:tcPr>
            <w:tcW w:w="235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269 (FN)</w:t>
            </w:r>
          </w:p>
        </w:tc>
        <w:tc>
          <w:tcPr>
            <w:tcW w:w="255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997 (TN)</w:t>
            </w:r>
          </w:p>
        </w:tc>
        <w:tc>
          <w:tcPr>
            <w:tcW w:w="197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0.788 (NPV)</w:t>
            </w:r>
          </w:p>
        </w:tc>
      </w:tr>
      <w:tr w:rsidR="00E90758" w:rsidRPr="006505D6" w:rsidTr="006B1215">
        <w:tc>
          <w:tcPr>
            <w:tcW w:w="2406" w:type="dxa"/>
            <w:tcBorders>
              <w:top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53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0.24 (Sens)</w:t>
            </w:r>
          </w:p>
        </w:tc>
        <w:tc>
          <w:tcPr>
            <w:tcW w:w="2553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  <w:right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0.97 (Spec)</w:t>
            </w:r>
          </w:p>
        </w:tc>
        <w:tc>
          <w:tcPr>
            <w:tcW w:w="1976" w:type="dxa"/>
            <w:tcBorders>
              <w:top w:val="single" w:sz="4" w:space="0" w:color="D9D9D9"/>
              <w:left w:val="single" w:sz="4" w:space="0" w:color="D9D9D9"/>
              <w:bottom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c>
          <w:tcPr>
            <w:tcW w:w="928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TP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True Positive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 FP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False Positive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 FN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False Negative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 TN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True Negative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Sens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Sensitivity,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Spec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Specificity,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PPV 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Positive Predictive Value, </w:t>
            </w:r>
            <w:r w:rsidRPr="006505D6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NPV</w:t>
            </w:r>
            <w:r w:rsidRPr="006505D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Negative predictive value.</w:t>
            </w:r>
          </w:p>
        </w:tc>
      </w:tr>
    </w:tbl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p w:rsidR="00E90758" w:rsidRPr="006505D6" w:rsidRDefault="00E90758" w:rsidP="00E90758">
      <w:pPr>
        <w:spacing w:line="480" w:lineRule="auto"/>
        <w:rPr>
          <w:rFonts w:ascii="Times New Roman" w:hAnsi="Times New Roman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0"/>
        <w:gridCol w:w="2875"/>
      </w:tblGrid>
      <w:tr w:rsidR="00E90758" w:rsidRPr="006505D6" w:rsidTr="006B1215">
        <w:trPr>
          <w:trHeight w:val="282"/>
        </w:trPr>
        <w:tc>
          <w:tcPr>
            <w:tcW w:w="76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lastRenderedPageBreak/>
              <w:t xml:space="preserve">Supplemental </w:t>
            </w:r>
            <w:r w:rsidRPr="006505D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able 6. Characteristics of patients with a positive score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Specificity =97%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tcBorders>
              <w:top w:val="single" w:sz="4" w:space="0" w:color="auto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Patients with positive score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</w:t>
            </w:r>
            <w:r w:rsidRPr="006505D6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1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115 (8.3)</w:t>
            </w:r>
          </w:p>
        </w:tc>
      </w:tr>
      <w:tr w:rsidR="00E90758" w:rsidRPr="006505D6" w:rsidTr="006B1215">
        <w:trPr>
          <w:trHeight w:val="266"/>
        </w:trPr>
        <w:tc>
          <w:tcPr>
            <w:tcW w:w="4780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Patients with a false positive score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</w:t>
            </w:r>
            <w:r w:rsidRPr="006505D6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875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31 (27)</w:t>
            </w:r>
          </w:p>
        </w:tc>
      </w:tr>
      <w:tr w:rsidR="00E90758" w:rsidRPr="006505D6" w:rsidTr="006B1215">
        <w:trPr>
          <w:trHeight w:val="269"/>
        </w:trPr>
        <w:tc>
          <w:tcPr>
            <w:tcW w:w="4780" w:type="dxa"/>
            <w:tcBorders>
              <w:top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Died within 7 days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(%)]</w:t>
            </w:r>
          </w:p>
        </w:tc>
        <w:tc>
          <w:tcPr>
            <w:tcW w:w="2875" w:type="dxa"/>
            <w:tcBorders>
              <w:top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0 (0)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ED revisit within 7 days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(%)]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6 (19.4)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Length of stay &lt;24 hours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(%)]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5 (16.1)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Length of stay 25-48 hours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(%)]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 (22.5)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tcBorders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Length of stay &gt;48 hours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(%)]</w:t>
            </w:r>
          </w:p>
        </w:tc>
        <w:tc>
          <w:tcPr>
            <w:tcW w:w="2875" w:type="dxa"/>
            <w:tcBorders>
              <w:bottom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19 (61)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tcBorders>
              <w:top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Day of ED presentation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[n (%)]</w:t>
            </w:r>
          </w:p>
        </w:tc>
        <w:tc>
          <w:tcPr>
            <w:tcW w:w="2875" w:type="dxa"/>
            <w:tcBorders>
              <w:top w:val="single" w:sz="4" w:space="0" w:color="D9D9D9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Monday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4 (12.9)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Tuesday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 (9.7)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Wednesday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 (9.7)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Thursday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7 (22.6)</w:t>
            </w:r>
          </w:p>
        </w:tc>
      </w:tr>
      <w:tr w:rsidR="00E90758" w:rsidRPr="006505D6" w:rsidTr="006B1215">
        <w:trPr>
          <w:trHeight w:val="295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Friday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9 (29)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Saturday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2 (6.5)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Sunday</w:t>
            </w:r>
          </w:p>
        </w:tc>
        <w:tc>
          <w:tcPr>
            <w:tcW w:w="2875" w:type="dxa"/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 (9.7)</w:t>
            </w:r>
          </w:p>
        </w:tc>
      </w:tr>
      <w:tr w:rsidR="00E90758" w:rsidRPr="006505D6" w:rsidTr="006B1215">
        <w:trPr>
          <w:trHeight w:val="282"/>
        </w:trPr>
        <w:tc>
          <w:tcPr>
            <w:tcW w:w="4780" w:type="dxa"/>
            <w:tcBorders>
              <w:bottom w:val="single" w:sz="4" w:space="0" w:color="000000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Length of stay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(days)</w:t>
            </w:r>
            <w:r w:rsidRPr="006505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[median (IQR)]</w:t>
            </w:r>
          </w:p>
        </w:tc>
        <w:tc>
          <w:tcPr>
            <w:tcW w:w="2875" w:type="dxa"/>
            <w:tcBorders>
              <w:bottom w:val="single" w:sz="4" w:space="0" w:color="000000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3.8 (1.84; 5.77)</w:t>
            </w:r>
          </w:p>
        </w:tc>
      </w:tr>
      <w:tr w:rsidR="00E90758" w:rsidRPr="006505D6" w:rsidTr="006B1215">
        <w:trPr>
          <w:trHeight w:val="269"/>
        </w:trPr>
        <w:tc>
          <w:tcPr>
            <w:tcW w:w="7655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E90758" w:rsidRPr="006505D6" w:rsidRDefault="00E90758" w:rsidP="006B1215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05D6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1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Of all patients included in the analysis (1381). </w:t>
            </w:r>
            <w:r w:rsidRPr="006505D6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6505D6">
              <w:rPr>
                <w:rFonts w:ascii="Times New Roman" w:hAnsi="Times New Roman"/>
                <w:sz w:val="20"/>
                <w:szCs w:val="20"/>
                <w:lang w:val="en-US"/>
              </w:rPr>
              <w:t>Of patients with a positive score</w:t>
            </w:r>
          </w:p>
        </w:tc>
      </w:tr>
    </w:tbl>
    <w:p w:rsidR="000D54D0" w:rsidRDefault="000D54D0"/>
    <w:sectPr w:rsidR="000D54D0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1E30" w:rsidRDefault="00E90758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331E30" w:rsidRDefault="00E9075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58"/>
    <w:rsid w:val="000D54D0"/>
    <w:rsid w:val="00E9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DC974"/>
  <w15:chartTrackingRefBased/>
  <w15:docId w15:val="{021A6D38-47FE-4116-8996-BF78158B3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758"/>
    <w:pPr>
      <w:spacing w:after="0" w:line="240" w:lineRule="auto"/>
    </w:pPr>
    <w:rPr>
      <w:rFonts w:ascii="Calibri" w:eastAsia="Calibri" w:hAnsi="Calibri" w:cs="Times New Roman"/>
      <w:sz w:val="24"/>
      <w:szCs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90758"/>
    <w:pPr>
      <w:tabs>
        <w:tab w:val="center" w:pos="4536"/>
        <w:tab w:val="right" w:pos="9072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90758"/>
    <w:rPr>
      <w:rFonts w:ascii="Calibri" w:eastAsia="Calibri" w:hAnsi="Calibri" w:cs="Times New Roman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2020-08-25T10:51:00Z</dcterms:created>
  <dcterms:modified xsi:type="dcterms:W3CDTF">2020-08-25T10:52:00Z</dcterms:modified>
</cp:coreProperties>
</file>