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stTable2"/>
        <w:tblW w:w="12759" w:type="dxa"/>
        <w:tblLayout w:type="fixed"/>
        <w:tblLook w:val="04A0" w:firstRow="1" w:lastRow="0" w:firstColumn="1" w:lastColumn="0" w:noHBand="0" w:noVBand="1"/>
      </w:tblPr>
      <w:tblGrid>
        <w:gridCol w:w="1617"/>
        <w:gridCol w:w="1218"/>
        <w:gridCol w:w="133"/>
        <w:gridCol w:w="978"/>
        <w:gridCol w:w="11"/>
        <w:gridCol w:w="133"/>
        <w:gridCol w:w="1214"/>
        <w:gridCol w:w="133"/>
        <w:gridCol w:w="1171"/>
        <w:gridCol w:w="11"/>
        <w:gridCol w:w="133"/>
        <w:gridCol w:w="1230"/>
        <w:gridCol w:w="68"/>
        <w:gridCol w:w="1305"/>
        <w:gridCol w:w="11"/>
        <w:gridCol w:w="3393"/>
      </w:tblGrid>
      <w:tr w:rsidR="00E77FB8" w:rsidRPr="000065CE" w:rsidTr="002C5FCF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40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</w:tcBorders>
          </w:tcPr>
          <w:p w:rsidR="00E77FB8" w:rsidRDefault="00E77FB8" w:rsidP="002C5FCF">
            <w:pPr>
              <w:spacing w:line="276" w:lineRule="auto"/>
              <w:rPr>
                <w:rFonts w:ascii="Arial" w:hAnsi="Arial" w:cs="Arial"/>
                <w:b w:val="0"/>
                <w:bCs w:val="0"/>
                <w:lang w:val="en-GB"/>
              </w:rPr>
            </w:pPr>
          </w:p>
          <w:p w:rsidR="00E77FB8" w:rsidRPr="00FC65CF" w:rsidRDefault="00E77FB8" w:rsidP="002C5FCF">
            <w:pPr>
              <w:spacing w:line="276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2329" w:type="dxa"/>
            <w:gridSpan w:val="3"/>
            <w:tcBorders>
              <w:top w:val="nil"/>
              <w:right w:val="single" w:sz="4" w:space="0" w:color="auto"/>
            </w:tcBorders>
            <w:vAlign w:val="center"/>
          </w:tcPr>
          <w:p w:rsidR="00E77FB8" w:rsidRDefault="00E77FB8" w:rsidP="002C5FC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 xml:space="preserve">Control group </w:t>
            </w:r>
          </w:p>
          <w:p w:rsidR="00E77FB8" w:rsidRPr="00FC65CF" w:rsidRDefault="00E77FB8" w:rsidP="002C5FC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C65CF"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 xml:space="preserve">(n= 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11</w:t>
            </w:r>
            <w:r w:rsidRPr="00FC65CF"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2662" w:type="dxa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77FB8" w:rsidRDefault="00E77FB8" w:rsidP="002C5FC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801FCE">
              <w:rPr>
                <w:rFonts w:ascii="Arial" w:hAnsi="Arial" w:cs="Arial"/>
                <w:lang w:val="en-GB"/>
              </w:rPr>
              <w:t xml:space="preserve">24H </w:t>
            </w:r>
            <w:r>
              <w:rPr>
                <w:rFonts w:ascii="Arial" w:hAnsi="Arial" w:cs="Arial"/>
                <w:lang w:val="en-GB"/>
              </w:rPr>
              <w:t>o</w:t>
            </w:r>
            <w:r w:rsidRPr="00801FCE">
              <w:rPr>
                <w:rFonts w:ascii="Arial" w:hAnsi="Arial" w:cs="Arial"/>
                <w:lang w:val="en-GB"/>
              </w:rPr>
              <w:t>edema</w:t>
            </w:r>
          </w:p>
          <w:p w:rsidR="00E77FB8" w:rsidRPr="000065CE" w:rsidRDefault="00E77FB8" w:rsidP="002C5FC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FC65CF"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(n=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12</w:t>
            </w:r>
            <w:r w:rsidRPr="00FC65CF"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2747" w:type="dxa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77FB8" w:rsidRDefault="00E77FB8" w:rsidP="002C5FC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lang w:val="en-GB"/>
              </w:rPr>
            </w:pPr>
            <w:r w:rsidRPr="00801FCE">
              <w:rPr>
                <w:rFonts w:ascii="Arial" w:hAnsi="Arial" w:cs="Arial"/>
                <w:lang w:val="en-GB"/>
              </w:rPr>
              <w:t xml:space="preserve">48H </w:t>
            </w:r>
            <w:r>
              <w:rPr>
                <w:rFonts w:ascii="Arial" w:hAnsi="Arial" w:cs="Arial"/>
                <w:lang w:val="en-GB"/>
              </w:rPr>
              <w:t>o</w:t>
            </w:r>
            <w:r w:rsidRPr="00801FCE">
              <w:rPr>
                <w:rFonts w:ascii="Arial" w:hAnsi="Arial" w:cs="Arial"/>
                <w:lang w:val="en-GB"/>
              </w:rPr>
              <w:t>edema</w:t>
            </w:r>
          </w:p>
          <w:p w:rsidR="00E77FB8" w:rsidRPr="00FC65CF" w:rsidRDefault="00E77FB8" w:rsidP="002C5FC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(n=</w:t>
            </w:r>
            <w: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11</w:t>
            </w:r>
            <w:r w:rsidRPr="00FC65CF"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)</w:t>
            </w:r>
          </w:p>
        </w:tc>
      </w:tr>
      <w:tr w:rsidR="00E77FB8" w:rsidRPr="000065CE" w:rsidTr="002C5FC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93" w:type="dxa"/>
          <w:trHeight w:val="7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bottom w:val="nil"/>
            </w:tcBorders>
            <w:shd w:val="clear" w:color="auto" w:fill="D0CECE" w:themeFill="background2" w:themeFillShade="E6"/>
          </w:tcPr>
          <w:p w:rsidR="00E77FB8" w:rsidRPr="00FC65CF" w:rsidRDefault="00E77FB8" w:rsidP="002C5FCF">
            <w:pPr>
              <w:spacing w:line="276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1218" w:type="dxa"/>
            <w:tcBorders>
              <w:bottom w:val="nil"/>
            </w:tcBorders>
            <w:shd w:val="clear" w:color="auto" w:fill="D0CECE" w:themeFill="background2" w:themeFillShade="E6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Median</w:t>
            </w:r>
          </w:p>
        </w:tc>
        <w:tc>
          <w:tcPr>
            <w:tcW w:w="1122" w:type="dxa"/>
            <w:gridSpan w:val="3"/>
            <w:tcBorders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Std. dev.</w:t>
            </w:r>
          </w:p>
        </w:tc>
        <w:tc>
          <w:tcPr>
            <w:tcW w:w="1347" w:type="dxa"/>
            <w:gridSpan w:val="2"/>
            <w:tcBorders>
              <w:bottom w:val="nil"/>
            </w:tcBorders>
            <w:shd w:val="clear" w:color="auto" w:fill="D0CECE" w:themeFill="background2" w:themeFillShade="E6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Median</w:t>
            </w:r>
          </w:p>
        </w:tc>
        <w:tc>
          <w:tcPr>
            <w:tcW w:w="1315" w:type="dxa"/>
            <w:gridSpan w:val="3"/>
            <w:tcBorders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Std. dev.</w:t>
            </w:r>
          </w:p>
        </w:tc>
        <w:tc>
          <w:tcPr>
            <w:tcW w:w="1363" w:type="dxa"/>
            <w:gridSpan w:val="2"/>
            <w:tcBorders>
              <w:bottom w:val="nil"/>
            </w:tcBorders>
            <w:shd w:val="clear" w:color="auto" w:fill="D0CECE" w:themeFill="background2" w:themeFillShade="E6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Median</w:t>
            </w:r>
          </w:p>
        </w:tc>
        <w:tc>
          <w:tcPr>
            <w:tcW w:w="1384" w:type="dxa"/>
            <w:gridSpan w:val="3"/>
            <w:tcBorders>
              <w:bottom w:val="nil"/>
            </w:tcBorders>
            <w:shd w:val="clear" w:color="auto" w:fill="D0CECE" w:themeFill="background2" w:themeFillShade="E6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Std. dev.</w:t>
            </w:r>
          </w:p>
        </w:tc>
      </w:tr>
      <w:tr w:rsidR="00E77FB8" w:rsidRPr="000065CE" w:rsidTr="002C5FCF">
        <w:trPr>
          <w:gridAfter w:val="2"/>
          <w:wAfter w:w="3404" w:type="dxa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14"/>
            <w:tcBorders>
              <w:top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u w:val="single"/>
                <w:lang w:val="en-GB"/>
              </w:rPr>
              <w:t>Refractive index</w:t>
            </w:r>
          </w:p>
        </w:tc>
      </w:tr>
      <w:tr w:rsidR="00E77FB8" w:rsidRPr="000065CE" w:rsidTr="002C5FC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9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Pr="00AE3AE8" w:rsidRDefault="00E77FB8" w:rsidP="002C5FCF">
            <w:pPr>
              <w:spacing w:line="276" w:lineRule="auto"/>
              <w:ind w:right="-113"/>
              <w:rPr>
                <w:rFonts w:ascii="Arial" w:hAnsi="Arial" w:cs="Arial"/>
                <w:b w:val="0"/>
                <w:bCs w:val="0"/>
                <w:vertAlign w:val="subscript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n</w:t>
            </w:r>
            <w:r>
              <w:rPr>
                <w:rFonts w:ascii="Arial" w:hAnsi="Arial" w:cs="Arial"/>
                <w:b w:val="0"/>
                <w:bCs w:val="0"/>
                <w:vertAlign w:val="subscript"/>
                <w:lang w:val="en-GB"/>
              </w:rPr>
              <w:t>cornea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1.36475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0.0044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1.36025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0.0097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1.3485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0.0040</w:t>
            </w:r>
          </w:p>
        </w:tc>
      </w:tr>
      <w:tr w:rsidR="00E77FB8" w:rsidRPr="000065CE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9" w:type="dxa"/>
            <w:gridSpan w:val="16"/>
            <w:tcBorders>
              <w:top w:val="nil"/>
              <w:bottom w:val="nil"/>
            </w:tcBorders>
          </w:tcPr>
          <w:p w:rsidR="00E77FB8" w:rsidRPr="00FC65CF" w:rsidRDefault="00E77FB8" w:rsidP="002C5FCF">
            <w:pPr>
              <w:spacing w:line="276" w:lineRule="auto"/>
              <w:rPr>
                <w:rFonts w:ascii="Arial" w:hAnsi="Arial" w:cs="Arial"/>
                <w:u w:val="single"/>
                <w:lang w:val="en-GB"/>
              </w:rPr>
            </w:pPr>
            <w:r>
              <w:rPr>
                <w:rFonts w:ascii="Arial" w:hAnsi="Arial" w:cs="Arial"/>
                <w:u w:val="single"/>
                <w:lang w:val="en-GB"/>
              </w:rPr>
              <w:t>Corneal Layers</w:t>
            </w:r>
          </w:p>
        </w:tc>
      </w:tr>
      <w:tr w:rsidR="00E77FB8" w:rsidRPr="000065CE" w:rsidTr="002C5FC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9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Pr="00D908EC" w:rsidRDefault="00E77FB8" w:rsidP="002C5FCF">
            <w:pPr>
              <w:spacing w:line="276" w:lineRule="auto"/>
              <w:ind w:right="-113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Epithelium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56.314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13.280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71.164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12.101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80.422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23.613</w:t>
            </w:r>
          </w:p>
        </w:tc>
      </w:tr>
      <w:tr w:rsidR="00E77FB8" w:rsidRPr="000065CE" w:rsidTr="002C5FCF">
        <w:trPr>
          <w:gridAfter w:val="1"/>
          <w:wAfter w:w="339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Pr="00D908EC" w:rsidRDefault="00E77FB8" w:rsidP="002C5FCF">
            <w:pPr>
              <w:spacing w:line="276" w:lineRule="auto"/>
              <w:ind w:right="-113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Bowman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0.771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0.199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1.929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1.277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2.121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1.702</w:t>
            </w:r>
          </w:p>
        </w:tc>
      </w:tr>
      <w:tr w:rsidR="00E77FB8" w:rsidRPr="000065CE" w:rsidTr="002C5FC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9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Pr="00D908EC" w:rsidRDefault="00E77FB8" w:rsidP="002C5FCF">
            <w:pPr>
              <w:spacing w:line="276" w:lineRule="auto"/>
              <w:ind w:right="-113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Stroma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646.550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26.411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935.355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188.942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1193.300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67.014</w:t>
            </w:r>
          </w:p>
        </w:tc>
      </w:tr>
      <w:tr w:rsidR="00E77FB8" w:rsidRPr="000065CE" w:rsidTr="002C5FCF">
        <w:trPr>
          <w:gridAfter w:val="1"/>
          <w:wAfter w:w="339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E77FB8" w:rsidRDefault="00E77FB8" w:rsidP="002C5FCF">
            <w:pPr>
              <w:spacing w:line="276" w:lineRule="auto"/>
              <w:ind w:right="-113"/>
              <w:rPr>
                <w:rFonts w:ascii="Arial" w:hAnsi="Arial" w:cs="Arial"/>
                <w:b w:val="0"/>
                <w:bCs w:val="0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Descemet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5.207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0.645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5.207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0.824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6.075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1.126</w:t>
            </w:r>
          </w:p>
        </w:tc>
      </w:tr>
      <w:tr w:rsidR="00E77FB8" w:rsidRPr="000065CE" w:rsidTr="002C5FC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39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Default="00E77FB8" w:rsidP="002C5FCF">
            <w:pPr>
              <w:spacing w:line="276" w:lineRule="auto"/>
              <w:ind w:right="-113"/>
              <w:rPr>
                <w:rFonts w:ascii="Arial" w:hAnsi="Arial" w:cs="Arial"/>
                <w:b w:val="0"/>
                <w:bCs w:val="0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Endothelium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3.664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0.407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3.664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0.958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5.207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1.007</w:t>
            </w:r>
          </w:p>
        </w:tc>
      </w:tr>
      <w:tr w:rsidR="00E77FB8" w:rsidRPr="000065CE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9" w:type="dxa"/>
            <w:gridSpan w:val="16"/>
            <w:tcBorders>
              <w:top w:val="nil"/>
              <w:bottom w:val="nil"/>
            </w:tcBorders>
          </w:tcPr>
          <w:p w:rsidR="00E77FB8" w:rsidRPr="00FC65CF" w:rsidRDefault="00E77FB8" w:rsidP="002C5FCF">
            <w:pPr>
              <w:spacing w:line="276" w:lineRule="auto"/>
              <w:rPr>
                <w:rFonts w:ascii="Arial" w:hAnsi="Arial" w:cs="Arial"/>
                <w:u w:val="single"/>
                <w:lang w:val="en-GB"/>
              </w:rPr>
            </w:pPr>
            <w:r w:rsidRPr="00FC65CF">
              <w:rPr>
                <w:rFonts w:ascii="Arial" w:hAnsi="Arial" w:cs="Arial"/>
                <w:u w:val="single"/>
                <w:lang w:val="en-GB"/>
              </w:rPr>
              <w:t>Endothelial parameters</w:t>
            </w:r>
          </w:p>
        </w:tc>
      </w:tr>
      <w:tr w:rsidR="00E77FB8" w:rsidRPr="000065CE" w:rsidTr="002C5FCF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0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Pr="00FC65CF" w:rsidRDefault="00E77FB8" w:rsidP="002C5FCF">
            <w:pPr>
              <w:spacing w:line="276" w:lineRule="auto"/>
              <w:ind w:right="-113"/>
              <w:rPr>
                <w:rFonts w:ascii="Arial" w:hAnsi="Arial" w:cs="Arial"/>
                <w:b w:val="0"/>
                <w:bCs w:val="0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AVE (</w:t>
            </w:r>
            <w:r>
              <w:rPr>
                <w:rFonts w:ascii="Arial" w:hAnsi="Arial" w:cs="Arial"/>
                <w:b w:val="0"/>
                <w:bCs w:val="0"/>
                <w:lang w:val="en-GB"/>
              </w:rPr>
              <w:sym w:font="Symbol" w:char="F06D"/>
            </w:r>
            <w:r w:rsidRPr="00084527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m</w:t>
            </w:r>
            <w:r>
              <w:rPr>
                <w:rFonts w:ascii="Arial" w:hAnsi="Arial" w:cs="Arial"/>
                <w:b w:val="0"/>
                <w:bCs w:val="0"/>
                <w:sz w:val="22"/>
                <w:szCs w:val="22"/>
                <w:vertAlign w:val="superscript"/>
                <w:lang w:val="en-GB"/>
              </w:rPr>
              <w:t>2</w:t>
            </w:r>
            <w:r>
              <w:rPr>
                <w:rFonts w:ascii="Arial" w:hAnsi="Arial" w:cs="Arial"/>
                <w:b w:val="0"/>
                <w:bCs w:val="0"/>
                <w:lang w:val="en-GB"/>
              </w:rPr>
              <w:t>)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309.88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14.93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266.24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19.95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275.17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20.11</w:t>
            </w:r>
          </w:p>
        </w:tc>
      </w:tr>
      <w:tr w:rsidR="00E77FB8" w:rsidRPr="000065CE" w:rsidTr="002C5FCF">
        <w:trPr>
          <w:gridAfter w:val="2"/>
          <w:wAfter w:w="340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Pr="00FC65CF" w:rsidRDefault="00E77FB8" w:rsidP="002C5FCF">
            <w:pPr>
              <w:spacing w:line="276" w:lineRule="auto"/>
              <w:ind w:right="-113"/>
              <w:rPr>
                <w:rFonts w:ascii="Arial" w:hAnsi="Arial" w:cs="Arial"/>
                <w:b w:val="0"/>
                <w:bCs w:val="0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Area</w:t>
            </w:r>
            <w:r>
              <w:rPr>
                <w:rFonts w:ascii="Arial" w:hAnsi="Arial" w:cs="Arial"/>
                <w:b w:val="0"/>
                <w:bCs w:val="0"/>
                <w:vertAlign w:val="subscript"/>
                <w:lang w:val="en-GB"/>
              </w:rPr>
              <w:t>MAX</w:t>
            </w:r>
            <w:r>
              <w:rPr>
                <w:rFonts w:ascii="Arial" w:hAnsi="Arial" w:cs="Arial"/>
                <w:b w:val="0"/>
                <w:bCs w:val="0"/>
                <w:lang w:val="en-GB"/>
              </w:rPr>
              <w:t xml:space="preserve"> (</w:t>
            </w:r>
            <w:r>
              <w:rPr>
                <w:rFonts w:ascii="Arial" w:hAnsi="Arial" w:cs="Arial"/>
                <w:b w:val="0"/>
                <w:bCs w:val="0"/>
                <w:lang w:val="en-GB"/>
              </w:rPr>
              <w:sym w:font="Symbol" w:char="F06D"/>
            </w:r>
            <w:r w:rsidRPr="00084527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m</w:t>
            </w:r>
            <w:r>
              <w:rPr>
                <w:rFonts w:ascii="Arial" w:hAnsi="Arial" w:cs="Arial"/>
                <w:b w:val="0"/>
                <w:bCs w:val="0"/>
                <w:sz w:val="22"/>
                <w:szCs w:val="22"/>
                <w:vertAlign w:val="superscript"/>
                <w:lang w:val="en-GB"/>
              </w:rPr>
              <w:t>2</w:t>
            </w:r>
            <w:r>
              <w:rPr>
                <w:rFonts w:ascii="Arial" w:hAnsi="Arial" w:cs="Arial"/>
                <w:b w:val="0"/>
                <w:bCs w:val="0"/>
                <w:lang w:val="en-GB"/>
              </w:rPr>
              <w:t>)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600.13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24.21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499.74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47.91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559.33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67.31</w:t>
            </w:r>
          </w:p>
        </w:tc>
      </w:tr>
      <w:tr w:rsidR="00E77FB8" w:rsidRPr="000065CE" w:rsidTr="002C5FCF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0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Pr="00FC65CF" w:rsidRDefault="00E77FB8" w:rsidP="002C5FCF">
            <w:pPr>
              <w:spacing w:line="276" w:lineRule="auto"/>
              <w:ind w:right="-113"/>
              <w:rPr>
                <w:rFonts w:ascii="Arial" w:hAnsi="Arial" w:cs="Arial"/>
                <w:b w:val="0"/>
                <w:bCs w:val="0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Area</w:t>
            </w:r>
            <w:r>
              <w:rPr>
                <w:rFonts w:ascii="Arial" w:hAnsi="Arial" w:cs="Arial"/>
                <w:b w:val="0"/>
                <w:bCs w:val="0"/>
                <w:vertAlign w:val="subscript"/>
                <w:lang w:val="en-GB"/>
              </w:rPr>
              <w:t>min</w:t>
            </w:r>
            <w:r>
              <w:rPr>
                <w:rFonts w:ascii="Arial" w:hAnsi="Arial" w:cs="Arial"/>
                <w:b w:val="0"/>
                <w:bCs w:val="0"/>
                <w:lang w:val="en-GB"/>
              </w:rPr>
              <w:t xml:space="preserve"> (</w:t>
            </w:r>
            <w:r>
              <w:rPr>
                <w:rFonts w:ascii="Arial" w:hAnsi="Arial" w:cs="Arial"/>
                <w:b w:val="0"/>
                <w:bCs w:val="0"/>
                <w:lang w:val="en-GB"/>
              </w:rPr>
              <w:sym w:font="Symbol" w:char="F06D"/>
            </w:r>
            <w:r w:rsidRPr="00084527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m</w:t>
            </w:r>
            <w:r>
              <w:rPr>
                <w:rFonts w:ascii="Arial" w:hAnsi="Arial" w:cs="Arial"/>
                <w:b w:val="0"/>
                <w:bCs w:val="0"/>
                <w:sz w:val="22"/>
                <w:szCs w:val="22"/>
                <w:vertAlign w:val="superscript"/>
                <w:lang w:val="en-GB"/>
              </w:rPr>
              <w:t>2</w:t>
            </w:r>
            <w:r>
              <w:rPr>
                <w:rFonts w:ascii="Arial" w:hAnsi="Arial" w:cs="Arial"/>
                <w:b w:val="0"/>
                <w:bCs w:val="0"/>
                <w:lang w:val="en-GB"/>
              </w:rPr>
              <w:t>)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101.75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10.67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111.06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15.70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103.88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10.04</w:t>
            </w:r>
          </w:p>
        </w:tc>
      </w:tr>
      <w:tr w:rsidR="00E77FB8" w:rsidRPr="000065CE" w:rsidTr="002C5FCF">
        <w:trPr>
          <w:gridAfter w:val="2"/>
          <w:wAfter w:w="340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Pr="00FC65CF" w:rsidRDefault="00E77FB8" w:rsidP="002C5FCF">
            <w:pPr>
              <w:spacing w:line="276" w:lineRule="auto"/>
              <w:ind w:right="-113"/>
              <w:rPr>
                <w:rFonts w:ascii="Arial" w:hAnsi="Arial" w:cs="Arial"/>
                <w:b w:val="0"/>
                <w:bCs w:val="0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>ECD (</w:t>
            </w:r>
            <w:r w:rsidRPr="00207AB2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cells/m</w:t>
            </w:r>
            <w:r w:rsidRPr="00084527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m</w:t>
            </w:r>
            <w:r>
              <w:rPr>
                <w:rFonts w:ascii="Arial" w:hAnsi="Arial" w:cs="Arial"/>
                <w:b w:val="0"/>
                <w:bCs w:val="0"/>
                <w:sz w:val="22"/>
                <w:szCs w:val="22"/>
                <w:vertAlign w:val="superscript"/>
                <w:lang w:val="en-GB"/>
              </w:rPr>
              <w:t>2</w:t>
            </w:r>
            <w:r>
              <w:rPr>
                <w:rFonts w:ascii="Arial" w:hAnsi="Arial" w:cs="Arial"/>
                <w:b w:val="0"/>
                <w:bCs w:val="0"/>
                <w:lang w:val="en-GB"/>
              </w:rPr>
              <w:t>)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3237.00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160.58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3786.26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267.01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3650.83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276.95</w:t>
            </w:r>
          </w:p>
        </w:tc>
      </w:tr>
      <w:tr w:rsidR="00E77FB8" w:rsidRPr="000065CE" w:rsidTr="002C5FCF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0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nil"/>
              <w:right w:val="nil"/>
            </w:tcBorders>
          </w:tcPr>
          <w:p w:rsidR="00E77FB8" w:rsidRPr="00FC65CF" w:rsidRDefault="00E77FB8" w:rsidP="002C5FCF">
            <w:pPr>
              <w:spacing w:line="276" w:lineRule="auto"/>
              <w:ind w:right="-113"/>
              <w:rPr>
                <w:rFonts w:ascii="Arial" w:hAnsi="Arial" w:cs="Arial"/>
                <w:b w:val="0"/>
                <w:bCs w:val="0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 xml:space="preserve">CV </w:t>
            </w:r>
            <w:r w:rsidRPr="00207AB2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(%)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35.33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1.50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35.76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2.72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35.33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3.25</w:t>
            </w:r>
          </w:p>
        </w:tc>
      </w:tr>
      <w:tr w:rsidR="00E77FB8" w:rsidRPr="000065CE" w:rsidTr="002C5FCF">
        <w:trPr>
          <w:gridAfter w:val="2"/>
          <w:wAfter w:w="340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tcBorders>
              <w:top w:val="nil"/>
              <w:bottom w:val="single" w:sz="4" w:space="0" w:color="auto"/>
              <w:right w:val="nil"/>
            </w:tcBorders>
          </w:tcPr>
          <w:p w:rsidR="00E77FB8" w:rsidRPr="00FC65CF" w:rsidRDefault="00E77FB8" w:rsidP="002C5FCF">
            <w:pPr>
              <w:spacing w:line="276" w:lineRule="auto"/>
              <w:ind w:right="-113"/>
              <w:rPr>
                <w:rFonts w:ascii="Arial" w:hAnsi="Arial" w:cs="Arial"/>
                <w:b w:val="0"/>
                <w:bCs w:val="0"/>
                <w:lang w:val="en-GB"/>
              </w:rPr>
            </w:pPr>
            <w:r>
              <w:rPr>
                <w:rFonts w:ascii="Arial" w:hAnsi="Arial" w:cs="Arial"/>
                <w:b w:val="0"/>
                <w:bCs w:val="0"/>
                <w:lang w:val="en-GB"/>
              </w:rPr>
              <w:t xml:space="preserve">Hex </w:t>
            </w:r>
            <w:r w:rsidRPr="00207AB2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(%)</w:t>
            </w:r>
          </w:p>
        </w:tc>
        <w:tc>
          <w:tcPr>
            <w:tcW w:w="13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52.67</w:t>
            </w:r>
          </w:p>
        </w:tc>
        <w:tc>
          <w:tcPr>
            <w:tcW w:w="11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5.85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49.53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3.72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48.17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E77FB8" w:rsidRPr="00FC65CF" w:rsidRDefault="00E77FB8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FC65CF">
              <w:rPr>
                <w:rFonts w:ascii="Arial" w:hAnsi="Arial" w:cs="Arial"/>
                <w:lang w:val="en-GB"/>
              </w:rPr>
              <w:t>5.62</w:t>
            </w:r>
          </w:p>
        </w:tc>
      </w:tr>
    </w:tbl>
    <w:p w:rsidR="00E77FB8" w:rsidRDefault="00E77FB8"/>
    <w:p w:rsidR="00AF64FC" w:rsidRPr="00EC5E13" w:rsidRDefault="00AF64FC" w:rsidP="00AF64FC">
      <w:pPr>
        <w:spacing w:line="480" w:lineRule="auto"/>
        <w:rPr>
          <w:rFonts w:ascii="Arial" w:hAnsi="Arial" w:cs="Arial"/>
          <w:lang w:val="en-GB"/>
        </w:rPr>
      </w:pPr>
      <w:r w:rsidRPr="00EC5E13">
        <w:rPr>
          <w:rFonts w:ascii="Arial" w:hAnsi="Arial" w:cs="Arial"/>
          <w:lang w:val="en-GB"/>
        </w:rPr>
        <w:t>Table 1: Descriptive statistics for refractive index of the cornea (n</w:t>
      </w:r>
      <w:r w:rsidRPr="00EC5E13">
        <w:rPr>
          <w:rFonts w:ascii="Arial" w:hAnsi="Arial" w:cs="Arial"/>
          <w:vertAlign w:val="subscript"/>
          <w:lang w:val="en-GB"/>
        </w:rPr>
        <w:t>cornea</w:t>
      </w:r>
      <w:r w:rsidRPr="00EC5E13">
        <w:rPr>
          <w:rFonts w:ascii="Arial" w:hAnsi="Arial" w:cs="Arial"/>
          <w:lang w:val="en-GB"/>
        </w:rPr>
        <w:t>), corneal layer thicknesses (CLT), and endothelial parameters measured across the study groups (Control, 24H Oedema, and 48H Oedema). Data are presented as median ± standard deviation for each group. Endothelial parameters include mean cell area (AVE), maximum cell area (Area</w:t>
      </w:r>
      <w:r w:rsidRPr="00EC5E13">
        <w:rPr>
          <w:rFonts w:ascii="Arial" w:hAnsi="Arial" w:cs="Arial"/>
          <w:vertAlign w:val="subscript"/>
          <w:lang w:val="en-GB"/>
        </w:rPr>
        <w:t>MAX</w:t>
      </w:r>
      <w:r w:rsidRPr="00EC5E13">
        <w:rPr>
          <w:rFonts w:ascii="Arial" w:hAnsi="Arial" w:cs="Arial"/>
          <w:lang w:val="en-GB"/>
        </w:rPr>
        <w:t>), minimum cell area (Area</w:t>
      </w:r>
      <w:r w:rsidRPr="00EC5E13">
        <w:rPr>
          <w:rFonts w:ascii="Arial" w:hAnsi="Arial" w:cs="Arial"/>
          <w:vertAlign w:val="subscript"/>
          <w:lang w:val="en-GB"/>
        </w:rPr>
        <w:t>min</w:t>
      </w:r>
      <w:r w:rsidRPr="00EC5E13">
        <w:rPr>
          <w:rFonts w:ascii="Arial" w:hAnsi="Arial" w:cs="Arial"/>
          <w:lang w:val="en-GB"/>
        </w:rPr>
        <w:t>), endothelial cell density (ECD), coefficient of variation (CV), and hexagonality (Hex).</w:t>
      </w:r>
    </w:p>
    <w:p w:rsidR="00AF64FC" w:rsidRDefault="00AF64FC"/>
    <w:sectPr w:rsidR="00AF64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FB8"/>
    <w:rsid w:val="00AF64FC"/>
    <w:rsid w:val="00E7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70F458E"/>
  <w15:chartTrackingRefBased/>
  <w15:docId w15:val="{BD70F733-B446-0043-8A03-0F7590711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FB8"/>
    <w:rPr>
      <w:kern w:val="0"/>
      <w:lang w:val="es-ES_tradn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E77FB8"/>
    <w:rPr>
      <w:lang w:val="es-E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 Isabel Briceño López</dc:creator>
  <cp:keywords/>
  <dc:description/>
  <cp:lastModifiedBy>Celeste Isabel Briceño López</cp:lastModifiedBy>
  <cp:revision>2</cp:revision>
  <dcterms:created xsi:type="dcterms:W3CDTF">2024-12-17T10:16:00Z</dcterms:created>
  <dcterms:modified xsi:type="dcterms:W3CDTF">2025-02-13T08:51:00Z</dcterms:modified>
</cp:coreProperties>
</file>