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94" w:rsidRDefault="003F69A8">
      <w:pPr>
        <w:spacing w:after="120"/>
        <w:jc w:val="center"/>
        <w:rPr>
          <w:b/>
          <w:bCs/>
          <w:color w:val="000000" w:themeColor="text1"/>
          <w:sz w:val="40"/>
          <w:szCs w:val="44"/>
        </w:rPr>
      </w:pPr>
      <w:r>
        <w:rPr>
          <w:b/>
          <w:bCs/>
          <w:color w:val="000000" w:themeColor="text1"/>
          <w:sz w:val="40"/>
          <w:szCs w:val="44"/>
        </w:rPr>
        <w:t>Supporting information</w:t>
      </w:r>
    </w:p>
    <w:p w:rsidR="00300D94" w:rsidRDefault="00300D94">
      <w:pPr>
        <w:spacing w:after="120"/>
        <w:jc w:val="center"/>
        <w:rPr>
          <w:b/>
          <w:bCs/>
          <w:color w:val="000000" w:themeColor="text1"/>
          <w:sz w:val="32"/>
          <w:szCs w:val="36"/>
        </w:rPr>
      </w:pPr>
    </w:p>
    <w:p w:rsidR="00300D94" w:rsidRDefault="003F69A8">
      <w:pPr>
        <w:spacing w:after="120" w:line="480" w:lineRule="auto"/>
        <w:jc w:val="center"/>
        <w:rPr>
          <w:b/>
          <w:bCs/>
          <w:sz w:val="36"/>
          <w:szCs w:val="36"/>
        </w:rPr>
      </w:pPr>
      <w:r>
        <w:rPr>
          <w:b/>
          <w:bCs/>
          <w:sz w:val="36"/>
          <w:szCs w:val="36"/>
        </w:rPr>
        <w:t>Recovery of Au(III)</w:t>
      </w:r>
      <w:r>
        <w:rPr>
          <w:sz w:val="36"/>
          <w:szCs w:val="36"/>
        </w:rPr>
        <w:t xml:space="preserve"> </w:t>
      </w:r>
      <w:r>
        <w:rPr>
          <w:b/>
          <w:bCs/>
          <w:sz w:val="36"/>
          <w:szCs w:val="36"/>
        </w:rPr>
        <w:t>from electronic waste using solid phase extraction based on a magetic nanobiocomposite, OCBS@Fe</w:t>
      </w:r>
      <w:r>
        <w:rPr>
          <w:b/>
          <w:bCs/>
          <w:sz w:val="36"/>
          <w:szCs w:val="36"/>
          <w:vertAlign w:val="subscript"/>
        </w:rPr>
        <w:t>3</w:t>
      </w:r>
      <w:r>
        <w:rPr>
          <w:b/>
          <w:bCs/>
          <w:sz w:val="36"/>
          <w:szCs w:val="36"/>
        </w:rPr>
        <w:t>O</w:t>
      </w:r>
      <w:r>
        <w:rPr>
          <w:b/>
          <w:bCs/>
          <w:sz w:val="36"/>
          <w:szCs w:val="36"/>
          <w:vertAlign w:val="subscript"/>
        </w:rPr>
        <w:t>4</w:t>
      </w:r>
      <w:r>
        <w:rPr>
          <w:b/>
          <w:bCs/>
          <w:sz w:val="36"/>
          <w:szCs w:val="36"/>
        </w:rPr>
        <w:t>@UiO-66-SH</w:t>
      </w:r>
    </w:p>
    <w:p w:rsidR="00300D94" w:rsidRDefault="00300D94">
      <w:pPr>
        <w:spacing w:after="120"/>
        <w:jc w:val="center"/>
        <w:rPr>
          <w:b/>
          <w:bCs/>
        </w:rPr>
      </w:pPr>
    </w:p>
    <w:p w:rsidR="00300D94" w:rsidRDefault="003F69A8">
      <w:pPr>
        <w:autoSpaceDE w:val="0"/>
        <w:autoSpaceDN w:val="0"/>
        <w:adjustRightInd w:val="0"/>
        <w:spacing w:after="120"/>
        <w:jc w:val="left"/>
        <w:rPr>
          <w:rFonts w:asciiTheme="majorBidi" w:eastAsia="Calibri" w:hAnsiTheme="majorBidi" w:cstheme="majorBidi"/>
          <w:b/>
          <w:bCs/>
          <w:sz w:val="22"/>
          <w:szCs w:val="22"/>
          <w:vertAlign w:val="superscript"/>
        </w:rPr>
      </w:pPr>
      <w:r>
        <w:rPr>
          <w:b/>
          <w:bCs/>
        </w:rPr>
        <w:t>Parisa Poormoghadam</w:t>
      </w:r>
      <w:r>
        <w:rPr>
          <w:rFonts w:asciiTheme="majorBidi" w:eastAsia="Calibri" w:hAnsiTheme="majorBidi" w:cstheme="majorBidi"/>
          <w:b/>
          <w:bCs/>
          <w:sz w:val="22"/>
          <w:szCs w:val="22"/>
          <w:vertAlign w:val="superscript"/>
        </w:rPr>
        <w:t>1</w:t>
      </w:r>
      <w:r>
        <w:rPr>
          <w:rFonts w:asciiTheme="majorBidi" w:eastAsia="Calibri" w:hAnsiTheme="majorBidi" w:cstheme="majorBidi"/>
          <w:b/>
          <w:bCs/>
          <w:sz w:val="22"/>
          <w:szCs w:val="22"/>
        </w:rPr>
        <w:t>, Soleiman Bahar</w:t>
      </w:r>
      <w:r>
        <w:rPr>
          <w:rFonts w:asciiTheme="majorBidi" w:eastAsia="Calibri" w:hAnsiTheme="majorBidi" w:cstheme="majorBidi"/>
          <w:b/>
          <w:bCs/>
          <w:sz w:val="22"/>
          <w:szCs w:val="22"/>
          <w:vertAlign w:val="superscript"/>
        </w:rPr>
        <w:t>1*</w:t>
      </w:r>
      <w:r>
        <w:rPr>
          <w:rFonts w:asciiTheme="majorBidi" w:eastAsia="Calibri" w:hAnsiTheme="majorBidi" w:cstheme="majorBidi"/>
          <w:b/>
          <w:bCs/>
          <w:sz w:val="22"/>
          <w:szCs w:val="22"/>
        </w:rPr>
        <w:t>, Yunes Naghdi</w:t>
      </w:r>
      <w:r>
        <w:rPr>
          <w:rFonts w:asciiTheme="majorBidi" w:eastAsia="Calibri" w:hAnsiTheme="majorBidi" w:cstheme="majorBidi"/>
          <w:b/>
          <w:bCs/>
          <w:sz w:val="22"/>
          <w:szCs w:val="22"/>
          <w:vertAlign w:val="superscript"/>
        </w:rPr>
        <w:t>1</w:t>
      </w:r>
    </w:p>
    <w:p w:rsidR="00300D94" w:rsidRDefault="00300D94">
      <w:pPr>
        <w:autoSpaceDE w:val="0"/>
        <w:autoSpaceDN w:val="0"/>
        <w:adjustRightInd w:val="0"/>
        <w:spacing w:after="120"/>
        <w:jc w:val="left"/>
        <w:rPr>
          <w:rFonts w:asciiTheme="majorBidi" w:eastAsia="Calibri" w:hAnsiTheme="majorBidi" w:cstheme="majorBidi"/>
          <w:b/>
          <w:bCs/>
          <w:sz w:val="22"/>
          <w:szCs w:val="22"/>
          <w:vertAlign w:val="superscript"/>
        </w:rPr>
      </w:pPr>
    </w:p>
    <w:p w:rsidR="00300D94" w:rsidRDefault="003F69A8">
      <w:pPr>
        <w:autoSpaceDE w:val="0"/>
        <w:autoSpaceDN w:val="0"/>
        <w:adjustRightInd w:val="0"/>
        <w:spacing w:after="120"/>
        <w:jc w:val="left"/>
        <w:rPr>
          <w:rFonts w:eastAsia="SimSun" w:cs="Times New Roman"/>
          <w:szCs w:val="22"/>
          <w:lang w:val="tr-TR"/>
        </w:rPr>
      </w:pPr>
      <w:r>
        <w:rPr>
          <w:rFonts w:eastAsia="SimSun" w:cs="Times New Roman"/>
          <w:sz w:val="28"/>
          <w:vertAlign w:val="superscript"/>
          <w:lang w:val="tr-TR"/>
        </w:rPr>
        <w:t>1</w:t>
      </w:r>
      <w:r>
        <w:rPr>
          <w:rFonts w:eastAsia="SimSun" w:cs="Times New Roman"/>
          <w:lang w:val="tr-TR"/>
        </w:rPr>
        <w:t xml:space="preserve">Department of Chemistry, Faculty of Science, </w:t>
      </w:r>
      <w:r>
        <w:rPr>
          <w:rFonts w:eastAsia="SimSun" w:cs="Times New Roman"/>
          <w:lang w:val="tr-TR"/>
        </w:rPr>
        <w:t>University of Kurdistan, P.O. Box 416 Sanandaj, I.R. IRAN</w:t>
      </w:r>
    </w:p>
    <w:p w:rsidR="00300D94" w:rsidRDefault="00300D94">
      <w:pPr>
        <w:autoSpaceDE w:val="0"/>
        <w:autoSpaceDN w:val="0"/>
        <w:adjustRightInd w:val="0"/>
        <w:spacing w:after="120"/>
        <w:jc w:val="left"/>
        <w:rPr>
          <w:rFonts w:eastAsia="SimSun" w:cs="Times New Roman"/>
          <w:i/>
          <w:iCs/>
          <w:lang w:val="tr-TR"/>
        </w:rPr>
      </w:pPr>
    </w:p>
    <w:p w:rsidR="00300D94" w:rsidRDefault="003F69A8">
      <w:pPr>
        <w:spacing w:after="120"/>
        <w:ind w:left="567" w:hanging="567"/>
        <w:jc w:val="left"/>
        <w:rPr>
          <w:rFonts w:eastAsia="SimSun" w:cs="Times New Roman"/>
          <w:i/>
          <w:iCs/>
          <w:szCs w:val="24"/>
          <w:lang w:val="tr-TR"/>
        </w:rPr>
      </w:pPr>
      <w:r>
        <w:rPr>
          <w:rFonts w:ascii="Calibri" w:eastAsia="Calibri" w:hAnsi="Calibri" w:cs="Arial"/>
          <w:b/>
          <w:bCs/>
          <w:sz w:val="28"/>
          <w:vertAlign w:val="superscript"/>
        </w:rPr>
        <w:t>*</w:t>
      </w:r>
      <w:r>
        <w:rPr>
          <w:rFonts w:eastAsia="SimSun" w:cs="Times New Roman"/>
          <w:szCs w:val="24"/>
          <w:lang w:val="tr-TR"/>
        </w:rPr>
        <w:t>Corresponding author at</w:t>
      </w:r>
      <w:r>
        <w:rPr>
          <w:rFonts w:eastAsia="SimSun" w:cs="Times New Roman"/>
          <w:i/>
          <w:iCs/>
          <w:szCs w:val="24"/>
          <w:lang w:val="tr-TR"/>
        </w:rPr>
        <w:t xml:space="preserve"> </w:t>
      </w:r>
      <w:r>
        <w:rPr>
          <w:rFonts w:eastAsia="SimSun" w:cs="Times New Roman"/>
          <w:lang w:val="tr-TR"/>
        </w:rPr>
        <w:t>University of Kurdistan,</w:t>
      </w:r>
      <w:r>
        <w:rPr>
          <w:rFonts w:eastAsia="SimSun" w:cs="Times New Roman"/>
          <w:szCs w:val="24"/>
          <w:lang w:val="tr-TR"/>
        </w:rPr>
        <w:t xml:space="preserve"> Department of Chemistry, Sanandaj, Iran</w:t>
      </w:r>
      <w:r>
        <w:rPr>
          <w:rFonts w:eastAsia="SimSun" w:cs="Times New Roman"/>
          <w:i/>
          <w:iCs/>
          <w:szCs w:val="24"/>
          <w:lang w:val="tr-TR"/>
        </w:rPr>
        <w:t>.</w:t>
      </w:r>
    </w:p>
    <w:p w:rsidR="00300D94" w:rsidRDefault="003F69A8">
      <w:pPr>
        <w:spacing w:after="120"/>
        <w:jc w:val="left"/>
        <w:rPr>
          <w:rFonts w:eastAsia="SimSun" w:cs="Times New Roman"/>
          <w:szCs w:val="24"/>
          <w:lang w:val="tr-TR"/>
        </w:rPr>
      </w:pPr>
      <w:r>
        <w:rPr>
          <w:rFonts w:eastAsia="SimSun" w:cs="Times New Roman"/>
          <w:i/>
          <w:iCs/>
          <w:szCs w:val="24"/>
          <w:lang w:val="tr-TR"/>
        </w:rPr>
        <w:t>Tel</w:t>
      </w:r>
      <w:r>
        <w:rPr>
          <w:rFonts w:eastAsia="SimSun" w:cs="Times New Roman"/>
          <w:szCs w:val="24"/>
          <w:lang w:val="tr-TR"/>
        </w:rPr>
        <w:t>.:</w:t>
      </w:r>
      <w:r>
        <w:rPr>
          <w:rFonts w:eastAsia="SimSun" w:cs="Times New Roman"/>
          <w:i/>
          <w:iCs/>
          <w:szCs w:val="24"/>
          <w:lang w:val="tr-TR"/>
        </w:rPr>
        <w:t xml:space="preserve"> </w:t>
      </w:r>
      <w:r>
        <w:rPr>
          <w:rFonts w:eastAsia="SimSun" w:cs="Times New Roman"/>
          <w:szCs w:val="24"/>
          <w:lang w:val="tr-TR"/>
        </w:rPr>
        <w:t xml:space="preserve">+98 8733664600; </w:t>
      </w:r>
    </w:p>
    <w:p w:rsidR="00300D94" w:rsidRDefault="003F69A8">
      <w:pPr>
        <w:spacing w:after="120"/>
        <w:jc w:val="left"/>
        <w:rPr>
          <w:rFonts w:eastAsia="SimSun" w:cs="Times New Roman"/>
          <w:szCs w:val="24"/>
          <w:lang w:val="tr-TR"/>
        </w:rPr>
      </w:pPr>
      <w:r>
        <w:rPr>
          <w:rFonts w:eastAsia="SimSun" w:cs="Times New Roman"/>
          <w:i/>
          <w:iCs/>
          <w:szCs w:val="24"/>
          <w:lang w:val="tr-TR"/>
        </w:rPr>
        <w:t>Fax</w:t>
      </w:r>
      <w:r>
        <w:rPr>
          <w:rFonts w:eastAsia="SimSun" w:cs="Times New Roman"/>
          <w:szCs w:val="24"/>
          <w:lang w:val="tr-TR"/>
        </w:rPr>
        <w:t xml:space="preserve">: +98 8733664600; </w:t>
      </w:r>
    </w:p>
    <w:p w:rsidR="00300D94" w:rsidRDefault="003F69A8">
      <w:pPr>
        <w:spacing w:after="120"/>
        <w:jc w:val="left"/>
        <w:rPr>
          <w:rFonts w:ascii="Calibri" w:eastAsia="SimSun" w:hAnsi="Calibri" w:cs="Times New Roman"/>
          <w:sz w:val="22"/>
          <w:szCs w:val="22"/>
          <w:lang w:val="tr-TR"/>
        </w:rPr>
      </w:pPr>
      <w:r>
        <w:rPr>
          <w:rFonts w:eastAsia="SimSun" w:cs="Times New Roman"/>
          <w:i/>
          <w:iCs/>
          <w:szCs w:val="24"/>
          <w:lang w:val="tr-TR"/>
        </w:rPr>
        <w:t>E-mail</w:t>
      </w:r>
      <w:r>
        <w:rPr>
          <w:rFonts w:eastAsia="SimSun" w:cs="Times New Roman"/>
          <w:szCs w:val="24"/>
          <w:lang w:val="tr-TR"/>
        </w:rPr>
        <w:t xml:space="preserve"> address: </w:t>
      </w:r>
      <w:hyperlink r:id="rId8" w:history="1">
        <w:r>
          <w:rPr>
            <w:rStyle w:val="Hyperlink"/>
            <w:rFonts w:eastAsia="SimSun" w:cs="Times New Roman"/>
            <w:szCs w:val="24"/>
            <w:lang w:val="tr-TR"/>
          </w:rPr>
          <w:t>s.bahar@uok.ac.ir</w:t>
        </w:r>
      </w:hyperlink>
    </w:p>
    <w:p w:rsidR="00300D94" w:rsidRDefault="00300D94">
      <w:pPr>
        <w:spacing w:after="120"/>
        <w:jc w:val="center"/>
        <w:rPr>
          <w:b/>
          <w:bCs/>
          <w:color w:val="000000" w:themeColor="text1"/>
          <w:sz w:val="32"/>
          <w:szCs w:val="36"/>
        </w:rPr>
      </w:pPr>
    </w:p>
    <w:p w:rsidR="00300D94" w:rsidRDefault="00300D94">
      <w:pPr>
        <w:spacing w:after="120"/>
        <w:jc w:val="both"/>
        <w:rPr>
          <w:b/>
          <w:bCs/>
          <w:color w:val="000000" w:themeColor="text1"/>
        </w:rPr>
      </w:pPr>
    </w:p>
    <w:p w:rsidR="00300D94" w:rsidRDefault="00300D94">
      <w:pPr>
        <w:spacing w:after="120"/>
        <w:jc w:val="both"/>
        <w:rPr>
          <w:b/>
          <w:bCs/>
          <w:color w:val="000000" w:themeColor="text1"/>
        </w:rPr>
      </w:pPr>
    </w:p>
    <w:p w:rsidR="00300D94" w:rsidRDefault="00300D94">
      <w:pPr>
        <w:spacing w:after="120"/>
        <w:jc w:val="both"/>
        <w:rPr>
          <w:b/>
          <w:bCs/>
          <w:color w:val="000000" w:themeColor="text1"/>
        </w:rPr>
      </w:pPr>
    </w:p>
    <w:p w:rsidR="00300D94" w:rsidRDefault="00300D94">
      <w:pPr>
        <w:spacing w:after="120"/>
        <w:jc w:val="both"/>
        <w:rPr>
          <w:b/>
          <w:bCs/>
          <w:color w:val="000000" w:themeColor="text1"/>
        </w:rPr>
      </w:pPr>
    </w:p>
    <w:p w:rsidR="00300D94" w:rsidRDefault="00300D94">
      <w:pPr>
        <w:spacing w:after="120"/>
        <w:jc w:val="both"/>
        <w:rPr>
          <w:b/>
          <w:bCs/>
          <w:color w:val="000000" w:themeColor="text1"/>
        </w:rPr>
      </w:pPr>
    </w:p>
    <w:p w:rsidR="00300D94" w:rsidRDefault="00300D94">
      <w:pPr>
        <w:spacing w:after="120"/>
        <w:jc w:val="both"/>
        <w:rPr>
          <w:b/>
          <w:bCs/>
          <w:color w:val="000000" w:themeColor="text1"/>
        </w:rPr>
      </w:pPr>
    </w:p>
    <w:p w:rsidR="00300D94" w:rsidRDefault="003F69A8">
      <w:pPr>
        <w:spacing w:after="120"/>
        <w:jc w:val="center"/>
      </w:pPr>
      <w:r>
        <w:rPr>
          <w:noProof/>
        </w:rPr>
        <w:drawing>
          <wp:inline distT="0" distB="0" distL="0" distR="0">
            <wp:extent cx="3719195" cy="2641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301" cy="2649073"/>
                    </a:xfrm>
                    <a:prstGeom prst="rect">
                      <a:avLst/>
                    </a:prstGeom>
                    <a:noFill/>
                    <a:ln>
                      <a:noFill/>
                    </a:ln>
                  </pic:spPr>
                </pic:pic>
              </a:graphicData>
            </a:graphic>
          </wp:inline>
        </w:drawing>
      </w:r>
    </w:p>
    <w:p w:rsidR="00300D94" w:rsidRDefault="003F69A8">
      <w:pPr>
        <w:spacing w:after="120"/>
        <w:jc w:val="center"/>
        <w:rPr>
          <w:b/>
          <w:bCs/>
        </w:rPr>
      </w:pPr>
      <w:r>
        <w:rPr>
          <w:b/>
          <w:bCs/>
        </w:rPr>
        <w:t xml:space="preserve">Fig. S1 </w:t>
      </w:r>
      <w:r>
        <w:t>TGA plots of</w:t>
      </w:r>
      <w:r>
        <w:rPr>
          <w:b/>
          <w:bCs/>
        </w:rPr>
        <w:t xml:space="preserve"> </w:t>
      </w:r>
      <w:r>
        <w:rPr>
          <w:color w:val="000000" w:themeColor="text1"/>
        </w:rPr>
        <w:t>UiO-66-NH</w:t>
      </w:r>
      <w:r>
        <w:rPr>
          <w:color w:val="000000" w:themeColor="text1"/>
          <w:vertAlign w:val="subscript"/>
        </w:rPr>
        <w:t>2</w:t>
      </w:r>
      <w:r>
        <w:rPr>
          <w:color w:val="000000" w:themeColor="text1"/>
        </w:rPr>
        <w:t xml:space="preserve"> </w:t>
      </w:r>
      <w:r>
        <w:t>and OCBs@Fe</w:t>
      </w:r>
      <w:r>
        <w:rPr>
          <w:vertAlign w:val="subscript"/>
        </w:rPr>
        <w:t>3</w:t>
      </w:r>
      <w:r>
        <w:t>O</w:t>
      </w:r>
      <w:r>
        <w:rPr>
          <w:vertAlign w:val="subscript"/>
        </w:rPr>
        <w:t>4</w:t>
      </w:r>
      <w:r>
        <w:t>@UiO-66-SH</w:t>
      </w:r>
    </w:p>
    <w:p w:rsidR="00300D94" w:rsidRDefault="00300D94">
      <w:pPr>
        <w:spacing w:after="120"/>
        <w:jc w:val="both"/>
        <w:rPr>
          <w:b/>
          <w:bCs/>
          <w:color w:val="000000" w:themeColor="text1"/>
        </w:rPr>
      </w:pPr>
    </w:p>
    <w:p w:rsidR="00300D94" w:rsidRDefault="003F69A8">
      <w:pPr>
        <w:spacing w:after="120"/>
        <w:jc w:val="both"/>
        <w:rPr>
          <w:b/>
          <w:bCs/>
        </w:rPr>
      </w:pPr>
      <w:r>
        <w:rPr>
          <w:b/>
          <w:bCs/>
        </w:rPr>
        <w:t xml:space="preserve">Table S1 </w:t>
      </w:r>
      <w:r>
        <w:t xml:space="preserve">Comparison of adsorption capacity of adsorbents reported for Au(III) adsorption in the literature with the adsorption capacity of our adsorbent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1339"/>
        <w:gridCol w:w="2151"/>
        <w:gridCol w:w="1716"/>
        <w:gridCol w:w="1530"/>
      </w:tblGrid>
      <w:tr w:rsidR="00300D94">
        <w:trPr>
          <w:trHeight w:val="717"/>
          <w:jc w:val="center"/>
        </w:trPr>
        <w:tc>
          <w:tcPr>
            <w:tcW w:w="2624" w:type="dxa"/>
            <w:tcBorders>
              <w:top w:val="single" w:sz="4" w:space="0" w:color="auto"/>
              <w:bottom w:val="single" w:sz="4" w:space="0" w:color="auto"/>
            </w:tcBorders>
          </w:tcPr>
          <w:p w:rsidR="00300D94" w:rsidRDefault="003F69A8">
            <w:pPr>
              <w:spacing w:before="60" w:after="120"/>
              <w:jc w:val="left"/>
              <w:rPr>
                <w:rFonts w:asciiTheme="majorBidi" w:hAnsiTheme="majorBidi" w:cstheme="majorBidi"/>
                <w:b/>
                <w:bCs/>
                <w:kern w:val="0"/>
                <w:sz w:val="22"/>
                <w:szCs w:val="22"/>
              </w:rPr>
            </w:pPr>
            <w:r>
              <w:rPr>
                <w:rFonts w:asciiTheme="majorBidi" w:hAnsiTheme="majorBidi" w:cstheme="majorBidi"/>
                <w:b/>
                <w:bCs/>
                <w:kern w:val="0"/>
                <w:sz w:val="22"/>
                <w:szCs w:val="22"/>
              </w:rPr>
              <w:t xml:space="preserve">Adsorbents </w:t>
            </w:r>
          </w:p>
        </w:tc>
        <w:tc>
          <w:tcPr>
            <w:tcW w:w="1339" w:type="dxa"/>
            <w:tcBorders>
              <w:top w:val="single" w:sz="4" w:space="0" w:color="auto"/>
              <w:bottom w:val="single" w:sz="4" w:space="0" w:color="auto"/>
            </w:tcBorders>
          </w:tcPr>
          <w:p w:rsidR="00300D94" w:rsidRDefault="003F69A8">
            <w:pPr>
              <w:spacing w:before="60" w:after="120"/>
              <w:jc w:val="left"/>
              <w:rPr>
                <w:rFonts w:asciiTheme="majorBidi" w:hAnsiTheme="majorBidi" w:cstheme="majorBidi"/>
                <w:b/>
                <w:bCs/>
                <w:kern w:val="0"/>
                <w:sz w:val="22"/>
                <w:szCs w:val="22"/>
              </w:rPr>
            </w:pPr>
            <w:r>
              <w:rPr>
                <w:rFonts w:asciiTheme="majorBidi" w:hAnsiTheme="majorBidi" w:cstheme="majorBidi"/>
                <w:b/>
                <w:bCs/>
                <w:kern w:val="0"/>
                <w:sz w:val="22"/>
                <w:szCs w:val="22"/>
              </w:rPr>
              <w:t xml:space="preserve">Adsorption capacity </w:t>
            </w:r>
            <w:r>
              <w:rPr>
                <w:rStyle w:val="fontstyle01"/>
                <w:rFonts w:asciiTheme="majorBidi" w:hAnsiTheme="majorBidi" w:cstheme="majorBidi"/>
                <w:b/>
                <w:bCs/>
                <w:kern w:val="0"/>
                <w:sz w:val="22"/>
                <w:szCs w:val="22"/>
              </w:rPr>
              <w:t>(mg/g)</w:t>
            </w:r>
            <w:r>
              <w:rPr>
                <w:rFonts w:asciiTheme="majorBidi" w:hAnsiTheme="majorBidi" w:cstheme="majorBidi"/>
                <w:b/>
                <w:bCs/>
                <w:kern w:val="0"/>
                <w:sz w:val="22"/>
                <w:szCs w:val="22"/>
              </w:rPr>
              <w:t xml:space="preserve"> </w:t>
            </w:r>
          </w:p>
        </w:tc>
        <w:tc>
          <w:tcPr>
            <w:tcW w:w="2151" w:type="dxa"/>
            <w:tcBorders>
              <w:top w:val="single" w:sz="4" w:space="0" w:color="auto"/>
              <w:bottom w:val="single" w:sz="4" w:space="0" w:color="auto"/>
            </w:tcBorders>
          </w:tcPr>
          <w:p w:rsidR="00300D94" w:rsidRDefault="003F69A8">
            <w:pPr>
              <w:spacing w:before="60" w:after="120"/>
              <w:jc w:val="left"/>
              <w:rPr>
                <w:rFonts w:asciiTheme="majorBidi" w:hAnsiTheme="majorBidi" w:cstheme="majorBidi"/>
                <w:b/>
                <w:bCs/>
                <w:kern w:val="0"/>
                <w:sz w:val="22"/>
                <w:szCs w:val="22"/>
              </w:rPr>
            </w:pPr>
            <w:r>
              <w:rPr>
                <w:rFonts w:asciiTheme="majorBidi" w:hAnsiTheme="majorBidi" w:cstheme="majorBidi"/>
                <w:b/>
                <w:bCs/>
                <w:kern w:val="0"/>
                <w:sz w:val="22"/>
                <w:szCs w:val="22"/>
              </w:rPr>
              <w:t>Adsorption</w:t>
            </w:r>
            <w:r>
              <w:rPr>
                <w:rFonts w:asciiTheme="majorBidi" w:hAnsiTheme="majorBidi" w:cstheme="majorBidi"/>
                <w:b/>
                <w:bCs/>
                <w:kern w:val="0"/>
                <w:sz w:val="22"/>
                <w:szCs w:val="22"/>
              </w:rPr>
              <w:br/>
              <w:t xml:space="preserve">conditions </w:t>
            </w:r>
          </w:p>
        </w:tc>
        <w:tc>
          <w:tcPr>
            <w:tcW w:w="1716" w:type="dxa"/>
            <w:tcBorders>
              <w:top w:val="single" w:sz="4" w:space="0" w:color="auto"/>
              <w:bottom w:val="single" w:sz="4" w:space="0" w:color="auto"/>
            </w:tcBorders>
          </w:tcPr>
          <w:p w:rsidR="00300D94" w:rsidRDefault="003F69A8">
            <w:pPr>
              <w:spacing w:before="60" w:after="120"/>
              <w:jc w:val="left"/>
              <w:rPr>
                <w:rFonts w:asciiTheme="majorBidi" w:hAnsiTheme="majorBidi" w:cstheme="majorBidi"/>
                <w:b/>
                <w:bCs/>
                <w:kern w:val="0"/>
                <w:sz w:val="22"/>
                <w:szCs w:val="22"/>
              </w:rPr>
            </w:pPr>
            <w:r>
              <w:rPr>
                <w:rFonts w:asciiTheme="majorBidi" w:hAnsiTheme="majorBidi" w:cstheme="majorBidi"/>
                <w:b/>
                <w:bCs/>
                <w:kern w:val="0"/>
                <w:sz w:val="22"/>
                <w:szCs w:val="22"/>
              </w:rPr>
              <w:t xml:space="preserve">Eq time </w:t>
            </w:r>
          </w:p>
        </w:tc>
        <w:tc>
          <w:tcPr>
            <w:tcW w:w="1530" w:type="dxa"/>
            <w:tcBorders>
              <w:top w:val="single" w:sz="4" w:space="0" w:color="auto"/>
              <w:bottom w:val="single" w:sz="4" w:space="0" w:color="auto"/>
            </w:tcBorders>
          </w:tcPr>
          <w:p w:rsidR="00300D94" w:rsidRDefault="003F69A8">
            <w:pPr>
              <w:spacing w:before="60" w:after="120"/>
              <w:jc w:val="left"/>
              <w:rPr>
                <w:rFonts w:asciiTheme="majorBidi" w:hAnsiTheme="majorBidi" w:cstheme="majorBidi"/>
                <w:b/>
                <w:bCs/>
                <w:kern w:val="0"/>
                <w:sz w:val="22"/>
                <w:szCs w:val="22"/>
              </w:rPr>
            </w:pPr>
            <w:r>
              <w:rPr>
                <w:rFonts w:asciiTheme="majorBidi" w:hAnsiTheme="majorBidi" w:cstheme="majorBidi"/>
                <w:b/>
                <w:bCs/>
                <w:kern w:val="0"/>
                <w:sz w:val="22"/>
                <w:szCs w:val="22"/>
              </w:rPr>
              <w:t>Ref.</w:t>
            </w:r>
          </w:p>
        </w:tc>
      </w:tr>
      <w:tr w:rsidR="00300D94">
        <w:trPr>
          <w:trHeight w:val="639"/>
          <w:jc w:val="center"/>
        </w:trPr>
        <w:tc>
          <w:tcPr>
            <w:tcW w:w="2624" w:type="dxa"/>
            <w:tcBorders>
              <w:top w:val="single" w:sz="4" w:space="0" w:color="auto"/>
            </w:tcBorders>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N-containing polymer</w:t>
            </w:r>
            <w:r>
              <w:rPr>
                <w:rFonts w:asciiTheme="majorBidi" w:hAnsiTheme="majorBidi" w:cstheme="majorBidi" w:hint="cs"/>
                <w:kern w:val="0"/>
                <w:sz w:val="22"/>
                <w:szCs w:val="22"/>
                <w:rtl/>
              </w:rPr>
              <w:t xml:space="preserve"> </w:t>
            </w:r>
            <w:r>
              <w:rPr>
                <w:rFonts w:asciiTheme="majorBidi" w:hAnsiTheme="majorBidi" w:cstheme="majorBidi"/>
                <w:kern w:val="0"/>
                <w:sz w:val="22"/>
                <w:szCs w:val="22"/>
              </w:rPr>
              <w:t xml:space="preserve">(Zn based-MOP) </w:t>
            </w:r>
          </w:p>
        </w:tc>
        <w:tc>
          <w:tcPr>
            <w:tcW w:w="1339" w:type="dxa"/>
            <w:tcBorders>
              <w:top w:val="single" w:sz="4" w:space="0" w:color="auto"/>
            </w:tcBorders>
          </w:tcPr>
          <w:p w:rsidR="00300D94" w:rsidRDefault="003F69A8">
            <w:pPr>
              <w:spacing w:before="60" w:after="120"/>
              <w:jc w:val="left"/>
              <w:rPr>
                <w:rFonts w:asciiTheme="majorBidi" w:hAnsiTheme="majorBidi" w:cstheme="majorBidi"/>
                <w:kern w:val="0"/>
                <w:sz w:val="22"/>
                <w:szCs w:val="22"/>
              </w:rPr>
            </w:pPr>
            <w:r>
              <w:rPr>
                <w:rStyle w:val="fontstyle01"/>
                <w:rFonts w:asciiTheme="majorBidi" w:hAnsiTheme="majorBidi" w:cstheme="majorBidi"/>
                <w:kern w:val="0"/>
                <w:sz w:val="22"/>
                <w:szCs w:val="22"/>
              </w:rPr>
              <w:t xml:space="preserve"> 1073</w:t>
            </w:r>
            <w:r>
              <w:rPr>
                <w:rFonts w:asciiTheme="majorBidi" w:hAnsiTheme="majorBidi" w:cstheme="majorBidi"/>
                <w:kern w:val="0"/>
                <w:sz w:val="22"/>
                <w:szCs w:val="22"/>
              </w:rPr>
              <w:t xml:space="preserve">  </w:t>
            </w:r>
          </w:p>
        </w:tc>
        <w:tc>
          <w:tcPr>
            <w:tcW w:w="2151" w:type="dxa"/>
            <w:tcBorders>
              <w:top w:val="single" w:sz="4" w:space="0" w:color="auto"/>
            </w:tcBorders>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pH 3.23, 25 ◦C </w:t>
            </w:r>
          </w:p>
        </w:tc>
        <w:tc>
          <w:tcPr>
            <w:tcW w:w="1716" w:type="dxa"/>
            <w:tcBorders>
              <w:top w:val="single" w:sz="4" w:space="0" w:color="auto"/>
            </w:tcBorders>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350 min at</w:t>
            </w:r>
            <w:r>
              <w:rPr>
                <w:rFonts w:asciiTheme="majorBidi" w:hAnsiTheme="majorBidi" w:cstheme="majorBidi"/>
                <w:kern w:val="0"/>
                <w:sz w:val="22"/>
                <w:szCs w:val="22"/>
              </w:rPr>
              <w:br/>
              <w:t xml:space="preserve">279 mg/L </w:t>
            </w:r>
          </w:p>
        </w:tc>
        <w:tc>
          <w:tcPr>
            <w:tcW w:w="1530" w:type="dxa"/>
            <w:tcBorders>
              <w:top w:val="single" w:sz="4" w:space="0" w:color="auto"/>
            </w:tcBorders>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{"citationItems":[{"id":"ITEM-1","itemData":{"ISSN":"0045-6535","author":[{"dropping-particle":"","family":"Zhou","given":"Shuxian","non-dropping-particle":"","parse-names":false,"suffix":""},{"dropping-particle":"","family":"Xu","given"</w:instrText>
            </w:r>
            <w:r>
              <w:rPr>
                <w:rFonts w:asciiTheme="majorBidi" w:hAnsiTheme="majorBidi" w:cstheme="majorBidi"/>
                <w:kern w:val="0"/>
                <w:sz w:val="22"/>
                <w:szCs w:val="22"/>
              </w:rPr>
              <w:instrText>:"Weifeng","non-dropping-particle":"","parse-names":false,"suffix":""},{"dropping-particle":"","family":"Hu","given":"Chenghong","non-dropping-particle":"","parse-names":false,"suffix":""},{"dropping-particle":"","family":"Zhang","given":"Panliang","non-dr</w:instrText>
            </w:r>
            <w:r>
              <w:rPr>
                <w:rFonts w:asciiTheme="majorBidi" w:hAnsiTheme="majorBidi" w:cstheme="majorBidi"/>
                <w:kern w:val="0"/>
                <w:sz w:val="22"/>
                <w:szCs w:val="22"/>
              </w:rPr>
              <w:instrText>opping-particle":"","parse-names":false,"suffix":""},{"dropping-particle":"","family":"Tang","given":"Kewen","non-dropping-particle":"","parse-names":false,"suffix":""}],"container-title":"Chemosphere","id":"ITEM-1","issued":{"date-parts":[["2020"]]},"page</w:instrText>
            </w:r>
            <w:r>
              <w:rPr>
                <w:rFonts w:asciiTheme="majorBidi" w:hAnsiTheme="majorBidi" w:cstheme="majorBidi"/>
                <w:kern w:val="0"/>
                <w:sz w:val="22"/>
                <w:szCs w:val="22"/>
              </w:rPr>
              <w:instrText>":"127615","publisher":"Elsevier","title":"Fast and effective recovery of Au (III) from aqueous solution by a N-containing polymer","type":"article-journal","volume":"260"},"uris":["http://www.mendeley.com/documents/?uuid=d5716cd7-8ba1-452b-83de-8de9d111f4</w:instrText>
            </w:r>
            <w:r>
              <w:rPr>
                <w:rFonts w:asciiTheme="majorBidi" w:hAnsiTheme="majorBidi" w:cstheme="majorBidi"/>
                <w:kern w:val="0"/>
                <w:sz w:val="22"/>
                <w:szCs w:val="22"/>
              </w:rPr>
              <w:instrText>57"]}],"mendeley":{"formattedCitation":"[1]","plainTextFormattedCitation":"[1]","previouslyFormattedCitation":"[56]"},"properties":{"noteIndex":0},"schema":"https://github.com/citation-style-language/schema/raw/master/csl-citation.json"}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[1]</w:t>
            </w:r>
            <w:r>
              <w:rPr>
                <w:rFonts w:asciiTheme="majorBidi" w:hAnsiTheme="majorBidi" w:cstheme="majorBidi"/>
                <w:kern w:val="0"/>
                <w:sz w:val="22"/>
                <w:szCs w:val="22"/>
              </w:rPr>
              <w:fldChar w:fldCharType="end"/>
            </w:r>
          </w:p>
        </w:tc>
      </w:tr>
      <w:tr w:rsidR="00300D94">
        <w:trPr>
          <w:trHeight w:val="628"/>
          <w:jc w:val="center"/>
        </w:trPr>
        <w:tc>
          <w:tcPr>
            <w:tcW w:w="2624"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Metal-organic polymer</w:t>
            </w:r>
            <w:r>
              <w:rPr>
                <w:rFonts w:asciiTheme="majorBidi" w:hAnsiTheme="majorBidi" w:cstheme="majorBidi"/>
                <w:kern w:val="0"/>
                <w:sz w:val="22"/>
                <w:szCs w:val="22"/>
              </w:rPr>
              <w:br/>
              <w:t xml:space="preserve">(Cu-based-MOP) </w:t>
            </w:r>
          </w:p>
        </w:tc>
        <w:tc>
          <w:tcPr>
            <w:tcW w:w="1339" w:type="dxa"/>
          </w:tcPr>
          <w:p w:rsidR="00300D94" w:rsidRDefault="003F69A8">
            <w:pPr>
              <w:spacing w:before="60" w:after="120"/>
              <w:jc w:val="left"/>
              <w:rPr>
                <w:rStyle w:val="fontstyle01"/>
                <w:rFonts w:asciiTheme="majorBidi" w:hAnsiTheme="majorBidi" w:cstheme="majorBidi"/>
                <w:kern w:val="0"/>
                <w:sz w:val="22"/>
                <w:szCs w:val="22"/>
              </w:rPr>
            </w:pPr>
            <w:r>
              <w:rPr>
                <w:rFonts w:asciiTheme="majorBidi" w:hAnsiTheme="majorBidi" w:cstheme="majorBidi"/>
                <w:color w:val="000000"/>
                <w:kern w:val="0"/>
                <w:sz w:val="22"/>
                <w:szCs w:val="22"/>
              </w:rPr>
              <w:t xml:space="preserve">1317 </w:t>
            </w:r>
          </w:p>
        </w:tc>
        <w:tc>
          <w:tcPr>
            <w:tcW w:w="2151"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pH 4.48, 25 ◦C </w:t>
            </w:r>
          </w:p>
        </w:tc>
        <w:tc>
          <w:tcPr>
            <w:tcW w:w="1716"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400 min at</w:t>
            </w:r>
            <w:r>
              <w:rPr>
                <w:rFonts w:asciiTheme="majorBidi" w:hAnsiTheme="majorBidi" w:cstheme="majorBidi"/>
                <w:kern w:val="0"/>
                <w:sz w:val="22"/>
                <w:szCs w:val="22"/>
              </w:rPr>
              <w:br/>
              <w:t xml:space="preserve">53 mg/L </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{"citationItems":[{"id":"ITEM-1","itemData":{"ISSN":"0304-3894","author":[{"dropping-particle":"","family":"Xu","given":"Weifeng","non-dropping-particle":"",</w:instrText>
            </w:r>
            <w:r>
              <w:rPr>
                <w:rFonts w:asciiTheme="majorBidi" w:hAnsiTheme="majorBidi" w:cstheme="majorBidi"/>
                <w:kern w:val="0"/>
                <w:sz w:val="22"/>
                <w:szCs w:val="22"/>
              </w:rPr>
              <w:instrText>"parse-names":false,"suffix":""},{"dropping-particle":"","family":"Mo","given":"Xiaohui","non-dropping-particle":"","parse-names":false,"suffix":""},{"dropping-particle":"","family":"Zhou","given":"Shuxian","non-dropping-particle":"","parse-names":false,"s</w:instrText>
            </w:r>
            <w:r>
              <w:rPr>
                <w:rFonts w:asciiTheme="majorBidi" w:hAnsiTheme="majorBidi" w:cstheme="majorBidi"/>
                <w:kern w:val="0"/>
                <w:sz w:val="22"/>
                <w:szCs w:val="22"/>
              </w:rPr>
              <w:instrText>uffix":""},{"dropping-particle":"","family":"Zhang","given":"Panliang","non-dropping-particle":"","parse-names":false,"suffix":""},{"dropping-particle":"","family":"Xiong","given":"Biquan","non-dropping-particle":"","parse-names":false,"suffix":""},{"dropp</w:instrText>
            </w:r>
            <w:r>
              <w:rPr>
                <w:rFonts w:asciiTheme="majorBidi" w:hAnsiTheme="majorBidi" w:cstheme="majorBidi"/>
                <w:kern w:val="0"/>
                <w:sz w:val="22"/>
                <w:szCs w:val="22"/>
              </w:rPr>
              <w:instrText>ing-particle":"","family":"Liu","given":"Yu","non-dropping-particle":"","parse-names":false,"suffix":""},{"dropping-particle":"","family":"Huang","given":"Yan","non-dropping-particle":"","parse-names":false,"suffix":""},{"dropping-particle":"","family":"Li</w:instrText>
            </w:r>
            <w:r>
              <w:rPr>
                <w:rFonts w:asciiTheme="majorBidi" w:hAnsiTheme="majorBidi" w:cstheme="majorBidi"/>
                <w:kern w:val="0"/>
                <w:sz w:val="22"/>
                <w:szCs w:val="22"/>
              </w:rPr>
              <w:instrText>","given":"Hua","non-dropping-particle":"","parse-names":false,"suffix":""},{"dropping-particle":"","family":"Tang","given":"Kewen","non-dropping-particle":"","parse-names":false,"suffix":""}],"container-title":"Journal of hazardous materials","id":"ITEM-1</w:instrText>
            </w:r>
            <w:r>
              <w:rPr>
                <w:rFonts w:asciiTheme="majorBidi" w:hAnsiTheme="majorBidi" w:cstheme="majorBidi"/>
                <w:kern w:val="0"/>
                <w:sz w:val="22"/>
                <w:szCs w:val="22"/>
              </w:rPr>
              <w:instrText>","issued":{"date-parts":[["2019"]]},"page":"120844","publisher":"Elsevier","title":"Highly efficient and selective recovery of Au (III) by a new metal-organic polymer","type":"article-journal","volume":"380"},"uris":["http://www.mendeley.com/documents/?uu</w:instrText>
            </w:r>
            <w:r>
              <w:rPr>
                <w:rFonts w:asciiTheme="majorBidi" w:hAnsiTheme="majorBidi" w:cstheme="majorBidi"/>
                <w:kern w:val="0"/>
                <w:sz w:val="22"/>
                <w:szCs w:val="22"/>
              </w:rPr>
              <w:instrText>id=dd2067bc-8b58-4154-9f58-66be7fef292a"]}],"mendeley":{"formattedCitation":"[2]","plainTextFormattedCitation":"[2]","previouslyFormattedCitation":"[86]"},"properties":{"noteIndex":0},"schema":"https://github.com/citation-style-language/schema/raw/master/c</w:instrText>
            </w:r>
            <w:r>
              <w:rPr>
                <w:rFonts w:asciiTheme="majorBidi" w:hAnsiTheme="majorBidi" w:cstheme="majorBidi"/>
                <w:kern w:val="0"/>
                <w:sz w:val="22"/>
                <w:szCs w:val="22"/>
              </w:rPr>
              <w:instrText>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[2]</w:t>
            </w:r>
            <w:r>
              <w:rPr>
                <w:rFonts w:asciiTheme="majorBidi" w:hAnsiTheme="majorBidi" w:cstheme="majorBidi"/>
                <w:kern w:val="0"/>
                <w:sz w:val="22"/>
                <w:szCs w:val="22"/>
              </w:rPr>
              <w:fldChar w:fldCharType="end"/>
            </w:r>
          </w:p>
        </w:tc>
      </w:tr>
      <w:tr w:rsidR="00300D94">
        <w:trPr>
          <w:trHeight w:val="374"/>
          <w:jc w:val="center"/>
        </w:trPr>
        <w:tc>
          <w:tcPr>
            <w:tcW w:w="2624" w:type="dxa"/>
          </w:tcPr>
          <w:p w:rsidR="00300D94" w:rsidRDefault="003F69A8">
            <w:pPr>
              <w:spacing w:before="60" w:after="120"/>
              <w:jc w:val="left"/>
              <w:rPr>
                <w:rFonts w:asciiTheme="majorBidi" w:hAnsiTheme="majorBidi" w:cstheme="majorBidi"/>
                <w:kern w:val="0"/>
                <w:sz w:val="22"/>
                <w:szCs w:val="22"/>
                <w:rtl/>
                <w:lang w:bidi="fa-IR"/>
              </w:rPr>
            </w:pPr>
            <w:r>
              <w:rPr>
                <w:rFonts w:asciiTheme="majorBidi" w:hAnsiTheme="majorBidi" w:cstheme="majorBidi"/>
                <w:kern w:val="0"/>
                <w:sz w:val="22"/>
                <w:szCs w:val="22"/>
              </w:rPr>
              <w:t>2,5-TP (Zn-MOF)</w:t>
            </w:r>
          </w:p>
        </w:tc>
        <w:tc>
          <w:tcPr>
            <w:tcW w:w="1339" w:type="dxa"/>
          </w:tcPr>
          <w:p w:rsidR="00300D94" w:rsidRDefault="003F69A8">
            <w:pPr>
              <w:spacing w:before="60" w:after="12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 xml:space="preserve">1253 </w:t>
            </w:r>
          </w:p>
        </w:tc>
        <w:tc>
          <w:tcPr>
            <w:tcW w:w="2151"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pH 7, 25 ◦C </w:t>
            </w:r>
          </w:p>
        </w:tc>
        <w:tc>
          <w:tcPr>
            <w:tcW w:w="1716"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16 h at 300 mg/L </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{"citationItems":[{"id":"ITEM-1","itemData":{"ISSN":"0888-5885","author":[{"dropping-particle":"","family":"Hu","given":"Chenghong","non-dropping-particle":"","parse-names":false,"suffix":""},{"dropping-particle":"","family":"Xu","given"</w:instrText>
            </w:r>
            <w:r>
              <w:rPr>
                <w:rFonts w:asciiTheme="majorBidi" w:hAnsiTheme="majorBidi" w:cstheme="majorBidi"/>
                <w:kern w:val="0"/>
                <w:sz w:val="22"/>
                <w:szCs w:val="22"/>
              </w:rPr>
              <w:instrText>:"Weifeng","non-dropping-particle":"","parse-names":false,"suffix":""},{"dropping-particle":"","family":"Li","given":"Hua","non-dropping-particle":"","parse-names":false,"suffix":""},{"dropping-particle":"","family":"Zhou","given":"Shuxian","non-dropping-p</w:instrText>
            </w:r>
            <w:r>
              <w:rPr>
                <w:rFonts w:asciiTheme="majorBidi" w:hAnsiTheme="majorBidi" w:cstheme="majorBidi"/>
                <w:kern w:val="0"/>
                <w:sz w:val="22"/>
                <w:szCs w:val="22"/>
              </w:rPr>
              <w:instrText>article":"","parse-names":false,"suffix":""},{"dropping-particle":"","family":"Mo","given":"Xiaohui","non-dropping-particle":"","parse-names":false,"suffix":""},{"dropping-particle":"","family":"Zhang","given":"Panliang","non-dropping-particle":"","parse-n</w:instrText>
            </w:r>
            <w:r>
              <w:rPr>
                <w:rFonts w:asciiTheme="majorBidi" w:hAnsiTheme="majorBidi" w:cstheme="majorBidi"/>
                <w:kern w:val="0"/>
                <w:sz w:val="22"/>
                <w:szCs w:val="22"/>
              </w:rPr>
              <w:instrText>ames":false,"suffix":""},{"dropping-particle":"","family":"Tang","given":"Kewen","non-dropping-particle":"","parse-names":false,"suffix":""}],"container-title":"Industrial &amp; Engineering Chemistry Research","id":"ITEM-1","issue":"38","issued":{"date-parts":</w:instrText>
            </w:r>
            <w:r>
              <w:rPr>
                <w:rFonts w:asciiTheme="majorBidi" w:hAnsiTheme="majorBidi" w:cstheme="majorBidi"/>
                <w:kern w:val="0"/>
                <w:sz w:val="22"/>
                <w:szCs w:val="22"/>
              </w:rPr>
              <w:instrText>[["2019"]]},"page":"17972-17979","publisher":"ACS Publications","title":"Highly efficient adsorption of Au (III) from water by a novel metal–organic framework constructed with sulfur-containing ligands and Zn (II)","type":"article-journal","volume":"58"},"</w:instrText>
            </w:r>
            <w:r>
              <w:rPr>
                <w:rFonts w:asciiTheme="majorBidi" w:hAnsiTheme="majorBidi" w:cstheme="majorBidi"/>
                <w:kern w:val="0"/>
                <w:sz w:val="22"/>
                <w:szCs w:val="22"/>
              </w:rPr>
              <w:instrText>uris":["http://www.mendeley.com/documents/?uuid=dfabd52f-11fd-44d3-ad43-9a74606c78b4"]}],"mendeley":{"formattedCitation":"[3]","plainTextFormattedCitation":"[3]","previouslyFormattedCitation":"[87]"},"properties":{"noteIndex":0},"schema":"https://github.co</w:instrText>
            </w:r>
            <w:r>
              <w:rPr>
                <w:rFonts w:asciiTheme="majorBidi" w:hAnsiTheme="majorBidi" w:cstheme="majorBidi"/>
                <w:kern w:val="0"/>
                <w:sz w:val="22"/>
                <w:szCs w:val="22"/>
              </w:rPr>
              <w:instrText>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[3]</w:t>
            </w:r>
            <w:r>
              <w:rPr>
                <w:rFonts w:asciiTheme="majorBidi" w:hAnsiTheme="majorBidi" w:cstheme="majorBidi"/>
                <w:kern w:val="0"/>
                <w:sz w:val="22"/>
                <w:szCs w:val="22"/>
              </w:rPr>
              <w:fldChar w:fldCharType="end"/>
            </w:r>
          </w:p>
        </w:tc>
      </w:tr>
      <w:tr w:rsidR="00300D94">
        <w:trPr>
          <w:trHeight w:val="526"/>
          <w:jc w:val="center"/>
        </w:trPr>
        <w:tc>
          <w:tcPr>
            <w:tcW w:w="2624"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S,N-rich MOF</w:t>
            </w:r>
            <w:r>
              <w:rPr>
                <w:rFonts w:asciiTheme="majorBidi" w:hAnsiTheme="majorBidi" w:cstheme="majorBidi"/>
                <w:kern w:val="0"/>
                <w:sz w:val="22"/>
                <w:szCs w:val="22"/>
                <w:vertAlign w:val="superscript"/>
              </w:rPr>
              <w:t>1</w:t>
            </w:r>
          </w:p>
        </w:tc>
        <w:tc>
          <w:tcPr>
            <w:tcW w:w="1339" w:type="dxa"/>
          </w:tcPr>
          <w:p w:rsidR="00300D94" w:rsidRDefault="003F69A8">
            <w:pPr>
              <w:spacing w:before="60" w:after="12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1891</w:t>
            </w:r>
          </w:p>
          <w:p w:rsidR="00300D94" w:rsidRDefault="003F69A8">
            <w:pPr>
              <w:spacing w:before="60" w:after="120"/>
              <w:jc w:val="left"/>
              <w:rPr>
                <w:rFonts w:asciiTheme="majorBidi" w:hAnsiTheme="majorBidi" w:cstheme="majorBidi"/>
                <w:color w:val="000000"/>
                <w:kern w:val="0"/>
                <w:sz w:val="22"/>
                <w:szCs w:val="22"/>
              </w:rPr>
            </w:pPr>
            <w:r>
              <w:rPr>
                <w:rStyle w:val="fontstyle01"/>
                <w:rFonts w:asciiTheme="majorBidi" w:hAnsiTheme="majorBidi" w:cstheme="majorBidi"/>
                <w:kern w:val="0"/>
                <w:sz w:val="22"/>
                <w:szCs w:val="22"/>
              </w:rPr>
              <w:t>3680</w:t>
            </w:r>
            <w:r>
              <w:rPr>
                <w:rFonts w:asciiTheme="majorBidi" w:hAnsiTheme="majorBidi" w:cstheme="majorBidi"/>
                <w:kern w:val="0"/>
                <w:sz w:val="22"/>
                <w:szCs w:val="22"/>
              </w:rPr>
              <w:t xml:space="preserve"> </w:t>
            </w:r>
          </w:p>
        </w:tc>
        <w:tc>
          <w:tcPr>
            <w:tcW w:w="2151"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pH 2.57, 25</w:t>
            </w:r>
            <w:r>
              <w:rPr>
                <w:rFonts w:asciiTheme="majorBidi" w:hAnsiTheme="majorBidi" w:cstheme="majorBidi"/>
                <w:i/>
                <w:iCs/>
                <w:kern w:val="0"/>
                <w:sz w:val="22"/>
                <w:szCs w:val="22"/>
              </w:rPr>
              <w:t xml:space="preserve"> ◦C</w:t>
            </w:r>
            <w:r>
              <w:rPr>
                <w:rFonts w:asciiTheme="majorBidi" w:hAnsiTheme="majorBidi" w:cstheme="majorBidi"/>
                <w:kern w:val="0"/>
                <w:sz w:val="22"/>
                <w:szCs w:val="22"/>
              </w:rPr>
              <w:br/>
              <w:t xml:space="preserve">pH 2.57, 55 ◦C </w:t>
            </w:r>
          </w:p>
        </w:tc>
        <w:tc>
          <w:tcPr>
            <w:tcW w:w="1716"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8 min at 9.6 mg/L</w:t>
            </w:r>
            <w:r>
              <w:rPr>
                <w:rFonts w:asciiTheme="majorBidi" w:hAnsiTheme="majorBidi" w:cstheme="majorBidi"/>
                <w:kern w:val="0"/>
                <w:sz w:val="22"/>
                <w:szCs w:val="22"/>
              </w:rPr>
              <w:br/>
              <w:t xml:space="preserve">180 min at 93 mg/L </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{"citationItems":[{"id":"ITEM-1","itemData":{"ISSN":"0304-3894","author":[{"dropping-particle":"","family":"Wang","given":"Baihui","non-dropping-particle":"","parse-names":false,"suffix":""},{"dropping-particle":"","family":"Ma","given":</w:instrText>
            </w:r>
            <w:r>
              <w:rPr>
                <w:rFonts w:asciiTheme="majorBidi" w:hAnsiTheme="majorBidi" w:cstheme="majorBidi"/>
                <w:kern w:val="0"/>
                <w:sz w:val="22"/>
                <w:szCs w:val="22"/>
              </w:rPr>
              <w:instrText>"Yingnan","non-dropping-particle":"","parse-names":false,"suffix":""},{"dropping-particle":"","family":"Xu","given":"Weifeng","non-dropping-particle":"","parse-names":false,"suffix":""},{"dropping-particle":"","family":"Tang","given":"Kewen","non-dropping-</w:instrText>
            </w:r>
            <w:r>
              <w:rPr>
                <w:rFonts w:asciiTheme="majorBidi" w:hAnsiTheme="majorBidi" w:cstheme="majorBidi"/>
                <w:kern w:val="0"/>
                <w:sz w:val="22"/>
                <w:szCs w:val="22"/>
              </w:rPr>
              <w:instrText>particle":"","parse-names":false,"suffix":""}],"container-title":"Journal of hazardous materials","id":"ITEM-1","issued":{"date-parts":[["2023"]]},"page":"131051","publisher":"Elsevier","title":"A novel S, N-rich MOF for efficient recovery of Au (III): Per</w:instrText>
            </w:r>
            <w:r>
              <w:rPr>
                <w:rFonts w:asciiTheme="majorBidi" w:hAnsiTheme="majorBidi" w:cstheme="majorBidi"/>
                <w:kern w:val="0"/>
                <w:sz w:val="22"/>
                <w:szCs w:val="22"/>
              </w:rPr>
              <w:instrText>formance and mechanism","type":"article-journal","volume":"451"},"uris":["http://www.mendeley.com/documents/?uuid=755c90ee-4f4d-4a6c-9f59-152553e2d8da"]}],"mendeley":{"formattedCitation":"[4]","plainTextFormattedCitation":"[4]","previouslyFormattedCitation</w:instrText>
            </w:r>
            <w:r>
              <w:rPr>
                <w:rFonts w:asciiTheme="majorBidi" w:hAnsiTheme="majorBidi" w:cstheme="majorBidi"/>
                <w:kern w:val="0"/>
                <w:sz w:val="22"/>
                <w:szCs w:val="22"/>
              </w:rPr>
              <w:instrText>":"[88]"},"properties":{"noteIndex":0},"schema":"https://github.com/citation-style-language/schema/raw/master/csl-citation.json"}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[4]</w:t>
            </w:r>
            <w:r>
              <w:rPr>
                <w:rFonts w:asciiTheme="majorBidi" w:hAnsiTheme="majorBidi" w:cstheme="majorBidi"/>
                <w:kern w:val="0"/>
                <w:sz w:val="22"/>
                <w:szCs w:val="22"/>
              </w:rPr>
              <w:fldChar w:fldCharType="end"/>
            </w:r>
          </w:p>
        </w:tc>
      </w:tr>
      <w:tr w:rsidR="00300D94">
        <w:trPr>
          <w:trHeight w:val="374"/>
          <w:jc w:val="center"/>
        </w:trPr>
        <w:tc>
          <w:tcPr>
            <w:tcW w:w="2624"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color w:val="000000"/>
                <w:kern w:val="0"/>
                <w:sz w:val="22"/>
                <w:szCs w:val="22"/>
              </w:rPr>
              <w:lastRenderedPageBreak/>
              <w:t>CoFe</w:t>
            </w:r>
            <w:r>
              <w:rPr>
                <w:rFonts w:asciiTheme="majorBidi" w:hAnsiTheme="majorBidi" w:cstheme="majorBidi"/>
                <w:color w:val="000000"/>
                <w:kern w:val="0"/>
                <w:sz w:val="22"/>
                <w:szCs w:val="22"/>
                <w:vertAlign w:val="subscript"/>
              </w:rPr>
              <w:t>2</w:t>
            </w:r>
            <w:r>
              <w:rPr>
                <w:rFonts w:asciiTheme="majorBidi" w:hAnsiTheme="majorBidi" w:cstheme="majorBidi"/>
                <w:color w:val="000000"/>
                <w:kern w:val="0"/>
                <w:sz w:val="22"/>
                <w:szCs w:val="22"/>
              </w:rPr>
              <w:t>O</w:t>
            </w:r>
            <w:r>
              <w:rPr>
                <w:rFonts w:asciiTheme="majorBidi" w:hAnsiTheme="majorBidi" w:cstheme="majorBidi"/>
                <w:color w:val="000000"/>
                <w:kern w:val="0"/>
                <w:sz w:val="22"/>
                <w:szCs w:val="22"/>
                <w:vertAlign w:val="subscript"/>
              </w:rPr>
              <w:t>4</w:t>
            </w:r>
            <w:r>
              <w:rPr>
                <w:rFonts w:asciiTheme="majorBidi" w:hAnsiTheme="majorBidi" w:cstheme="majorBidi"/>
                <w:color w:val="000000"/>
                <w:kern w:val="0"/>
                <w:sz w:val="22"/>
                <w:szCs w:val="22"/>
              </w:rPr>
              <w:t>@S–CoWO</w:t>
            </w:r>
            <w:r>
              <w:rPr>
                <w:rFonts w:asciiTheme="majorBidi" w:hAnsiTheme="majorBidi" w:cstheme="majorBidi"/>
                <w:color w:val="000000"/>
                <w:kern w:val="0"/>
                <w:sz w:val="22"/>
                <w:szCs w:val="22"/>
                <w:vertAlign w:val="subscript"/>
              </w:rPr>
              <w:t>4</w:t>
            </w:r>
          </w:p>
        </w:tc>
        <w:tc>
          <w:tcPr>
            <w:tcW w:w="1339" w:type="dxa"/>
          </w:tcPr>
          <w:p w:rsidR="00300D94" w:rsidRDefault="003F69A8">
            <w:pPr>
              <w:spacing w:before="60" w:after="12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 xml:space="preserve">1049 </w:t>
            </w:r>
          </w:p>
        </w:tc>
        <w:tc>
          <w:tcPr>
            <w:tcW w:w="2151"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pH 3, 25 ◦C </w:t>
            </w:r>
          </w:p>
        </w:tc>
        <w:tc>
          <w:tcPr>
            <w:tcW w:w="1716"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10 h at 100 mg/L</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w:instrText>
            </w:r>
            <w:r>
              <w:rPr>
                <w:rFonts w:asciiTheme="majorBidi" w:hAnsiTheme="majorBidi" w:cstheme="majorBidi"/>
                <w:kern w:val="0"/>
                <w:sz w:val="22"/>
                <w:szCs w:val="22"/>
              </w:rPr>
              <w:instrText>SN":"2688-4062","author":[{"dropping-particle":"","family":"Zhao","given":"Minghu","non-dropping-particle":"","parse-names":false,"suffix":""},{"dropping-particle":"","family":"Zhang","given":"Yuefeng","non-dropping-particle":"","parse-names":false,"suffix</w:instrText>
            </w:r>
            <w:r>
              <w:rPr>
                <w:rFonts w:asciiTheme="majorBidi" w:hAnsiTheme="majorBidi" w:cstheme="majorBidi"/>
                <w:kern w:val="0"/>
                <w:sz w:val="22"/>
                <w:szCs w:val="22"/>
              </w:rPr>
              <w:instrText>":""},{"dropping-particle":"","family":"Yang","given":"Ruijie","non-dropping-particle":"","parse-names":false,"suffix":""},{"dropping-particle":"","family":"Wang","given":"Chen","non-dropping-particle":"","parse-names":false,"suffix":""},{"dropping-particl</w:instrText>
            </w:r>
            <w:r>
              <w:rPr>
                <w:rFonts w:asciiTheme="majorBidi" w:hAnsiTheme="majorBidi" w:cstheme="majorBidi"/>
                <w:kern w:val="0"/>
                <w:sz w:val="22"/>
                <w:szCs w:val="22"/>
              </w:rPr>
              <w:instrText>e":"","family":"Xiong","given":"Chao","non-dropping-particle":"","parse-names":false,"suffix":""},{"dropping-particle":"","family":"Li","given":"Hao","non-dropping-particle":"","parse-names":false,"suffix":""},{"dropping-particle":"","family":"Zhu","given"</w:instrText>
            </w:r>
            <w:r>
              <w:rPr>
                <w:rFonts w:asciiTheme="majorBidi" w:hAnsiTheme="majorBidi" w:cstheme="majorBidi"/>
                <w:kern w:val="0"/>
                <w:sz w:val="22"/>
                <w:szCs w:val="22"/>
              </w:rPr>
              <w:instrText>:"Rongshu","non-dropping-particle":"","parse-names":false,"suffix":""},{"dropping-particle":"","family":"Wang","given":"Shixing","non-dropping-particle":"","parse-names":false,"suffix":""},{"dropping-particle":"","family":"Zeng","given":"Zhiyuan","non-drop</w:instrText>
            </w:r>
            <w:r>
              <w:rPr>
                <w:rFonts w:asciiTheme="majorBidi" w:hAnsiTheme="majorBidi" w:cstheme="majorBidi"/>
                <w:kern w:val="0"/>
                <w:sz w:val="22"/>
                <w:szCs w:val="22"/>
              </w:rPr>
              <w:instrText>ping-particle":"","parse-names":false,"suffix":""}],"container-title":"Small Structures","id":"ITEM-1","issue":"10","issued":{"date-parts":[["2023"]]},"page":"2300039","publisher":"Wiley Online Library","title":"Construction of Magnetic S‐Doped CoWO4 Compo</w:instrText>
            </w:r>
            <w:r>
              <w:rPr>
                <w:rFonts w:asciiTheme="majorBidi" w:hAnsiTheme="majorBidi" w:cstheme="majorBidi"/>
                <w:kern w:val="0"/>
                <w:sz w:val="22"/>
                <w:szCs w:val="22"/>
              </w:rPr>
              <w:instrText>site for Efficient and Selective Recovery of Gold from Wastewater via Adsorption–Reduction Pathway","type":"article-journal","volume":"4"},"uris":["http://www.mendeley.com/documents/?uuid=dd5d158d-b599-4e7c-89d8-9ec658a4d9ba"]}],"mendeley":{"formattedCitat</w:instrText>
            </w:r>
            <w:r>
              <w:rPr>
                <w:rFonts w:asciiTheme="majorBidi" w:hAnsiTheme="majorBidi" w:cstheme="majorBidi"/>
                <w:kern w:val="0"/>
                <w:sz w:val="22"/>
                <w:szCs w:val="22"/>
              </w:rPr>
              <w:instrText>ion":"[5]","plainTextFormattedCitation":"[5]","previouslyFormattedCitation":"[89]"},"properties":{"noteIndex":0},"schema":"https://github.com/citation-style-language/schema/raw/master/csl-citation.json"}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[5]</w:t>
            </w:r>
            <w:r>
              <w:rPr>
                <w:rFonts w:asciiTheme="majorBidi" w:hAnsiTheme="majorBidi" w:cstheme="majorBidi"/>
                <w:kern w:val="0"/>
                <w:sz w:val="22"/>
                <w:szCs w:val="22"/>
              </w:rPr>
              <w:fldChar w:fldCharType="end"/>
            </w:r>
          </w:p>
        </w:tc>
      </w:tr>
      <w:tr w:rsidR="00300D94">
        <w:trPr>
          <w:trHeight w:val="385"/>
          <w:jc w:val="center"/>
        </w:trPr>
        <w:tc>
          <w:tcPr>
            <w:tcW w:w="2624" w:type="dxa"/>
          </w:tcPr>
          <w:p w:rsidR="00300D94" w:rsidRDefault="003F69A8">
            <w:pPr>
              <w:spacing w:before="60" w:after="120"/>
              <w:jc w:val="left"/>
              <w:rPr>
                <w:rFonts w:asciiTheme="majorBidi" w:hAnsiTheme="majorBidi" w:cstheme="majorBidi"/>
                <w:color w:val="000000"/>
                <w:kern w:val="0"/>
                <w:sz w:val="22"/>
                <w:szCs w:val="22"/>
                <w:vertAlign w:val="superscript"/>
              </w:rPr>
            </w:pPr>
            <w:r>
              <w:rPr>
                <w:rFonts w:asciiTheme="majorBidi" w:hAnsiTheme="majorBidi" w:cstheme="majorBidi"/>
                <w:color w:val="000000"/>
                <w:kern w:val="0"/>
                <w:sz w:val="22"/>
                <w:szCs w:val="22"/>
              </w:rPr>
              <w:t>M-Cu- BDC- NH</w:t>
            </w:r>
            <w:r>
              <w:rPr>
                <w:rFonts w:asciiTheme="majorBidi" w:hAnsiTheme="majorBidi" w:cstheme="majorBidi"/>
                <w:color w:val="000000"/>
                <w:kern w:val="0"/>
                <w:sz w:val="22"/>
                <w:szCs w:val="22"/>
                <w:vertAlign w:val="subscript"/>
              </w:rPr>
              <w:t xml:space="preserve">2 </w:t>
            </w:r>
            <w:r>
              <w:rPr>
                <w:rFonts w:asciiTheme="majorBidi" w:hAnsiTheme="majorBidi" w:cstheme="majorBidi"/>
                <w:color w:val="000000"/>
                <w:kern w:val="0"/>
                <w:sz w:val="22"/>
                <w:szCs w:val="22"/>
                <w:vertAlign w:val="superscript"/>
              </w:rPr>
              <w:t>2</w:t>
            </w:r>
          </w:p>
        </w:tc>
        <w:tc>
          <w:tcPr>
            <w:tcW w:w="1339" w:type="dxa"/>
          </w:tcPr>
          <w:p w:rsidR="00300D94" w:rsidRDefault="003F69A8">
            <w:pPr>
              <w:spacing w:before="60" w:after="12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 xml:space="preserve">1184   </w:t>
            </w:r>
          </w:p>
        </w:tc>
        <w:tc>
          <w:tcPr>
            <w:tcW w:w="2151"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pH 3, 25 ◦C </w:t>
            </w:r>
          </w:p>
        </w:tc>
        <w:tc>
          <w:tcPr>
            <w:tcW w:w="1716"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 xml:space="preserve">5 min </w:t>
            </w:r>
            <w:r>
              <w:rPr>
                <w:rFonts w:asciiTheme="majorBidi" w:hAnsiTheme="majorBidi" w:cstheme="majorBidi"/>
                <w:kern w:val="0"/>
                <w:sz w:val="22"/>
                <w:szCs w:val="22"/>
              </w:rPr>
              <w:t>at100 mg/L</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{"citationItems":[{"id":"ITEM-1","itemData":{"ISSN":"1383-5866","author":[{"dropping-particle":"","family":"Xiang","given":"Yong","non-dropping-particle":"","parse-names":false,"suffix":""},{"dropping-particle":"","family":"Ch</w:instrText>
            </w:r>
            <w:r>
              <w:rPr>
                <w:rFonts w:asciiTheme="majorBidi" w:hAnsiTheme="majorBidi" w:cstheme="majorBidi"/>
                <w:kern w:val="0"/>
                <w:sz w:val="22"/>
                <w:szCs w:val="22"/>
              </w:rPr>
              <w:instrText>eng","given":"Chang-Yuan","non-dropping-particle":"","parse-names":false,"suffix":""},{"dropping-particle":"","family":"Liu","given":"Meng-Hao","non-dropping-particle":"","parse-names":false,"suffix":""},{"dropping-particle":"","family":"Bai","given":"Wen-</w:instrText>
            </w:r>
            <w:r>
              <w:rPr>
                <w:rFonts w:asciiTheme="majorBidi" w:hAnsiTheme="majorBidi" w:cstheme="majorBidi"/>
                <w:kern w:val="0"/>
                <w:sz w:val="22"/>
                <w:szCs w:val="22"/>
              </w:rPr>
              <w:instrText>Cai","non-dropping-particle":"","parse-names":false,"suffix":""},{"dropping-particle":"","family":"Zang","given":"Zhou-Xuan","non-dropping-particle":"","parse-names":false,"suffix":""},{"dropping-particle":"","family":"Xu","given":"Li","non-dropping-partic</w:instrText>
            </w:r>
            <w:r>
              <w:rPr>
                <w:rFonts w:asciiTheme="majorBidi" w:hAnsiTheme="majorBidi" w:cstheme="majorBidi"/>
                <w:kern w:val="0"/>
                <w:sz w:val="22"/>
                <w:szCs w:val="22"/>
              </w:rPr>
              <w:instrText>le":"","parse-names":false,"suffix":""},{"dropping-particle":"","family":"Yu","given":"Yi","non-dropping-particle":"","parse-names":false,"suffix":""},{"dropping-particle":"","family":"Liu","given":"Guo-Ji","non-dropping-particle":"","parse-names":false,"s</w:instrText>
            </w:r>
            <w:r>
              <w:rPr>
                <w:rFonts w:asciiTheme="majorBidi" w:hAnsiTheme="majorBidi" w:cstheme="majorBidi"/>
                <w:kern w:val="0"/>
                <w:sz w:val="22"/>
                <w:szCs w:val="22"/>
              </w:rPr>
              <w:instrText>uffix":""}],"container-title":"Separation and Purification Technology","id":"ITEM-1","issued":{"date-parts":[["2024"]]},"page":"126131","publisher":"Elsevier","title":"Efficient recovery of gold using Macroporous Metal-Organic framework prepared by the'MOF</w:instrText>
            </w:r>
            <w:r>
              <w:rPr>
                <w:rFonts w:asciiTheme="majorBidi" w:hAnsiTheme="majorBidi" w:cstheme="majorBidi"/>
                <w:kern w:val="0"/>
                <w:sz w:val="22"/>
                <w:szCs w:val="22"/>
              </w:rPr>
              <w:instrText xml:space="preserve"> in MOF'method","type":"article-journal","volume":"335"},"uris":["http://www.mendeley.com/documents/?uuid=0522fafa-e80d-477b-8675-03af2fb7e241"]}],"mendeley":{"formattedCitation":"[6]","plainTextFormattedCitation":"[6]","previouslyFormattedCitation":"[90]"</w:instrText>
            </w:r>
            <w:r>
              <w:rPr>
                <w:rFonts w:asciiTheme="majorBidi" w:hAnsiTheme="majorBidi" w:cstheme="majorBidi"/>
                <w:kern w:val="0"/>
                <w:sz w:val="22"/>
                <w:szCs w:val="22"/>
              </w:rPr>
              <w:instrText>},"properties":{"noteIndex":0},"schema":"https://github.com/citation-style-language/schema/raw/master/csl-citation.json"}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[6]</w:t>
            </w:r>
            <w:r>
              <w:rPr>
                <w:rFonts w:asciiTheme="majorBidi" w:hAnsiTheme="majorBidi" w:cstheme="majorBidi"/>
                <w:kern w:val="0"/>
                <w:sz w:val="22"/>
                <w:szCs w:val="22"/>
              </w:rPr>
              <w:fldChar w:fldCharType="end"/>
            </w:r>
          </w:p>
        </w:tc>
      </w:tr>
      <w:tr w:rsidR="00300D94">
        <w:trPr>
          <w:trHeight w:val="374"/>
          <w:jc w:val="center"/>
        </w:trPr>
        <w:tc>
          <w:tcPr>
            <w:tcW w:w="2624"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t>DB18C6-HCP</w:t>
            </w:r>
            <w:r>
              <w:rPr>
                <w:rFonts w:asciiTheme="majorBidi" w:hAnsiTheme="majorBidi" w:cstheme="majorBidi"/>
                <w:kern w:val="0"/>
                <w:sz w:val="22"/>
                <w:szCs w:val="22"/>
                <w:vertAlign w:val="superscript"/>
              </w:rPr>
              <w:t xml:space="preserve">3 </w:t>
            </w:r>
          </w:p>
        </w:tc>
        <w:tc>
          <w:tcPr>
            <w:tcW w:w="1339" w:type="dxa"/>
          </w:tcPr>
          <w:p w:rsidR="00300D94" w:rsidRDefault="003F69A8">
            <w:pPr>
              <w:spacing w:before="60" w:after="12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 xml:space="preserve">1667 </w:t>
            </w:r>
          </w:p>
        </w:tc>
        <w:tc>
          <w:tcPr>
            <w:tcW w:w="2151" w:type="dxa"/>
          </w:tcPr>
          <w:p w:rsidR="00300D94" w:rsidRDefault="003F69A8">
            <w:pPr>
              <w:spacing w:before="60" w:after="120"/>
              <w:jc w:val="left"/>
              <w:rPr>
                <w:rFonts w:asciiTheme="majorBidi" w:hAnsiTheme="majorBidi" w:cstheme="majorBidi"/>
                <w:kern w:val="0"/>
                <w:sz w:val="22"/>
                <w:szCs w:val="22"/>
                <w:lang w:bidi="fa-IR"/>
              </w:rPr>
            </w:pPr>
            <w:r>
              <w:rPr>
                <w:rFonts w:asciiTheme="majorBidi" w:hAnsiTheme="majorBidi" w:cstheme="majorBidi"/>
                <w:kern w:val="0"/>
                <w:sz w:val="22"/>
                <w:szCs w:val="22"/>
              </w:rPr>
              <w:t xml:space="preserve">pH = 11, 25 ◦C </w:t>
            </w:r>
          </w:p>
        </w:tc>
        <w:tc>
          <w:tcPr>
            <w:tcW w:w="1716" w:type="dxa"/>
          </w:tcPr>
          <w:p w:rsidR="00300D94" w:rsidRDefault="003F69A8">
            <w:pPr>
              <w:spacing w:before="60" w:after="120"/>
              <w:jc w:val="left"/>
              <w:rPr>
                <w:rFonts w:asciiTheme="majorBidi" w:hAnsiTheme="majorBidi" w:cstheme="majorBidi"/>
                <w:kern w:val="0"/>
                <w:sz w:val="22"/>
                <w:szCs w:val="22"/>
                <w:rtl/>
                <w:lang w:bidi="fa-IR"/>
              </w:rPr>
            </w:pPr>
            <w:r>
              <w:rPr>
                <w:rFonts w:asciiTheme="majorBidi" w:hAnsiTheme="majorBidi" w:cstheme="majorBidi"/>
                <w:kern w:val="0"/>
                <w:sz w:val="22"/>
                <w:szCs w:val="22"/>
              </w:rPr>
              <w:t xml:space="preserve">40 min   </w:t>
            </w:r>
          </w:p>
        </w:tc>
        <w:tc>
          <w:tcPr>
            <w:tcW w:w="1530" w:type="dxa"/>
          </w:tcPr>
          <w:p w:rsidR="00300D94" w:rsidRDefault="003F69A8">
            <w:pPr>
              <w:spacing w:before="60" w:after="120"/>
              <w:jc w:val="left"/>
              <w:rPr>
                <w:rFonts w:asciiTheme="majorBidi" w:hAnsiTheme="majorBidi" w:cstheme="majorBidi"/>
                <w:kern w:val="0"/>
                <w:sz w:val="22"/>
                <w:szCs w:val="22"/>
              </w:rPr>
            </w:pPr>
            <w:r>
              <w:rPr>
                <w:rFonts w:asciiTheme="majorBidi" w:hAnsiTheme="majorBidi" w:cstheme="majorBidi"/>
                <w:kern w:val="0"/>
                <w:sz w:val="22"/>
                <w:szCs w:val="22"/>
              </w:rPr>
              <w:fldChar w:fldCharType="begin" w:fldLock="1"/>
            </w:r>
            <w:r>
              <w:rPr>
                <w:rFonts w:asciiTheme="majorBidi" w:hAnsiTheme="majorBidi" w:cstheme="majorBidi"/>
                <w:kern w:val="0"/>
                <w:sz w:val="22"/>
                <w:szCs w:val="22"/>
              </w:rPr>
              <w:instrText>ADDIN CSL_CITATION {"citationItems":[{"id":"ITEM-1","itemData":{"ISSN":"1383-5866","author":[{"dropping-particle":"","family":"Kong","given":"Hui-Yuan","non-dropping-particle":"","parse-names":false,"suffix":""},{"dropping-particle":"","family":"Wang","giv</w:instrText>
            </w:r>
            <w:r>
              <w:rPr>
                <w:rFonts w:asciiTheme="majorBidi" w:hAnsiTheme="majorBidi" w:cstheme="majorBidi"/>
                <w:kern w:val="0"/>
                <w:sz w:val="22"/>
                <w:szCs w:val="22"/>
              </w:rPr>
              <w:instrText>en":"Tian-Xiong","non-dropping-particle":"","parse-names":false,"suffix":""},{"dropping-particle":"","family":"Tao","given":"You","non-dropping-particle":"","parse-names":false,"suffix":""},{"dropping-particle":"","family":"Ding","given":"Xuesong","non-dro</w:instrText>
            </w:r>
            <w:r>
              <w:rPr>
                <w:rFonts w:asciiTheme="majorBidi" w:hAnsiTheme="majorBidi" w:cstheme="majorBidi"/>
                <w:kern w:val="0"/>
                <w:sz w:val="22"/>
                <w:szCs w:val="22"/>
              </w:rPr>
              <w:instrText>pping-particle":"","parse-names":false,"suffix":""},{"dropping-particle":"","family":"Han","given":"Bao-Hang","non-dropping-particle":"","parse-names":false,"suffix":""}],"container-title":"Separation and Purification Technology","id":"ITEM-1","issued":{"d</w:instrText>
            </w:r>
            <w:r>
              <w:rPr>
                <w:rFonts w:asciiTheme="majorBidi" w:hAnsiTheme="majorBidi" w:cstheme="majorBidi"/>
                <w:kern w:val="0"/>
                <w:sz w:val="22"/>
                <w:szCs w:val="22"/>
              </w:rPr>
              <w:instrText>ate-parts":[["2022"]]},"page":"120805","publisher":"Elsevier","title":"Crown ether-based hypercrosslinked porous polymers for gold adsorption","type":"article-journal","volume":"290"},"uris":["http://www.mendeley.com/documents/?uuid=342c5ae0-9bc0-4d35-8175</w:instrText>
            </w:r>
            <w:r>
              <w:rPr>
                <w:rFonts w:asciiTheme="majorBidi" w:hAnsiTheme="majorBidi" w:cstheme="majorBidi"/>
                <w:kern w:val="0"/>
                <w:sz w:val="22"/>
                <w:szCs w:val="22"/>
              </w:rPr>
              <w:instrText>-463f3db1af2b"]}],"mendeley":{"formattedCitation":"[7]","plainTextFormattedCitation":"[7]","previouslyFormattedCitation":"[91]"},"properties":{"noteIndex":0},"schema":"https://github.com/citation-style-language/schema/raw/master/csl-citation.json"}</w:instrText>
            </w:r>
            <w:r>
              <w:rPr>
                <w:rFonts w:asciiTheme="majorBidi" w:hAnsiTheme="majorBidi" w:cstheme="majorBidi"/>
                <w:kern w:val="0"/>
                <w:sz w:val="22"/>
                <w:szCs w:val="22"/>
              </w:rPr>
              <w:fldChar w:fldCharType="separate"/>
            </w:r>
            <w:r>
              <w:rPr>
                <w:rFonts w:asciiTheme="majorBidi" w:hAnsiTheme="majorBidi" w:cstheme="majorBidi"/>
                <w:kern w:val="0"/>
                <w:sz w:val="22"/>
                <w:szCs w:val="22"/>
              </w:rPr>
              <w:t>[7]</w:t>
            </w:r>
            <w:r>
              <w:rPr>
                <w:rFonts w:asciiTheme="majorBidi" w:hAnsiTheme="majorBidi" w:cstheme="majorBidi"/>
                <w:kern w:val="0"/>
                <w:sz w:val="22"/>
                <w:szCs w:val="22"/>
              </w:rPr>
              <w:fldChar w:fldCharType="end"/>
            </w:r>
          </w:p>
        </w:tc>
      </w:tr>
      <w:tr w:rsidR="00300D94">
        <w:trPr>
          <w:trHeight w:val="1440"/>
          <w:jc w:val="center"/>
        </w:trPr>
        <w:tc>
          <w:tcPr>
            <w:tcW w:w="2624" w:type="dxa"/>
            <w:tcBorders>
              <w:bottom w:val="single" w:sz="4" w:space="0" w:color="auto"/>
            </w:tcBorders>
          </w:tcPr>
          <w:p w:rsidR="00300D94" w:rsidRDefault="003F69A8">
            <w:pPr>
              <w:spacing w:before="60"/>
              <w:jc w:val="left"/>
              <w:rPr>
                <w:rFonts w:asciiTheme="majorBidi" w:hAnsiTheme="majorBidi" w:cstheme="majorBidi"/>
                <w:kern w:val="0"/>
                <w:sz w:val="22"/>
                <w:szCs w:val="22"/>
              </w:rPr>
            </w:pPr>
            <w:r>
              <w:rPr>
                <w:kern w:val="0"/>
                <w:sz w:val="22"/>
                <w:szCs w:val="26"/>
              </w:rPr>
              <w:t>OCBS@Fe</w:t>
            </w:r>
            <w:r>
              <w:rPr>
                <w:kern w:val="0"/>
                <w:sz w:val="22"/>
                <w:szCs w:val="26"/>
                <w:vertAlign w:val="subscript"/>
              </w:rPr>
              <w:t>3</w:t>
            </w:r>
            <w:r>
              <w:rPr>
                <w:kern w:val="0"/>
                <w:sz w:val="22"/>
                <w:szCs w:val="26"/>
              </w:rPr>
              <w:t>O</w:t>
            </w:r>
            <w:r>
              <w:rPr>
                <w:kern w:val="0"/>
                <w:sz w:val="22"/>
                <w:szCs w:val="26"/>
                <w:vertAlign w:val="subscript"/>
              </w:rPr>
              <w:t>4</w:t>
            </w:r>
            <w:r>
              <w:rPr>
                <w:kern w:val="0"/>
                <w:sz w:val="22"/>
                <w:szCs w:val="26"/>
              </w:rPr>
              <w:t>@UiO-66-SH</w:t>
            </w:r>
          </w:p>
        </w:tc>
        <w:tc>
          <w:tcPr>
            <w:tcW w:w="1339" w:type="dxa"/>
            <w:tcBorders>
              <w:bottom w:val="single" w:sz="4" w:space="0" w:color="auto"/>
            </w:tcBorders>
          </w:tcPr>
          <w:p w:rsidR="00300D94" w:rsidRDefault="003F69A8">
            <w:pPr>
              <w:spacing w:before="60"/>
              <w:jc w:val="left"/>
              <w:rPr>
                <w:rFonts w:asciiTheme="majorBidi" w:hAnsiTheme="majorBidi" w:cstheme="majorBidi"/>
                <w:color w:val="000000"/>
                <w:kern w:val="0"/>
                <w:sz w:val="22"/>
                <w:szCs w:val="22"/>
              </w:rPr>
            </w:pPr>
            <w:r>
              <w:rPr>
                <w:rFonts w:asciiTheme="majorBidi" w:hAnsiTheme="majorBidi" w:cstheme="majorBidi"/>
                <w:color w:val="000000"/>
                <w:kern w:val="0"/>
                <w:sz w:val="22"/>
                <w:szCs w:val="22"/>
              </w:rPr>
              <w:t>1587</w:t>
            </w:r>
          </w:p>
        </w:tc>
        <w:tc>
          <w:tcPr>
            <w:tcW w:w="2151" w:type="dxa"/>
            <w:tcBorders>
              <w:bottom w:val="single" w:sz="4" w:space="0" w:color="auto"/>
            </w:tcBorders>
          </w:tcPr>
          <w:p w:rsidR="00300D94" w:rsidRDefault="003F69A8">
            <w:pPr>
              <w:spacing w:before="60"/>
              <w:jc w:val="left"/>
              <w:rPr>
                <w:rFonts w:asciiTheme="majorBidi" w:hAnsiTheme="majorBidi" w:cstheme="majorBidi"/>
                <w:kern w:val="0"/>
                <w:sz w:val="22"/>
                <w:szCs w:val="22"/>
              </w:rPr>
            </w:pPr>
            <w:r>
              <w:rPr>
                <w:kern w:val="0"/>
                <w:sz w:val="22"/>
                <w:szCs w:val="22"/>
              </w:rPr>
              <w:t xml:space="preserve">adsorbent dose = 10 mg; solution volume= 30 mL, pH= 6 at 50 </w:t>
            </w:r>
            <m:oMath>
              <m:r>
                <w:rPr>
                  <w:rFonts w:ascii="Cambria Math" w:hAnsi="Cambria Math"/>
                  <w:kern w:val="0"/>
                  <w:sz w:val="22"/>
                  <w:szCs w:val="22"/>
                </w:rPr>
                <m:t xml:space="preserve">℃ </m:t>
              </m:r>
            </m:oMath>
            <w:r>
              <w:rPr>
                <w:kern w:val="0"/>
                <w:sz w:val="22"/>
                <w:szCs w:val="22"/>
              </w:rPr>
              <w:t xml:space="preserve"> </w:t>
            </w:r>
          </w:p>
        </w:tc>
        <w:tc>
          <w:tcPr>
            <w:tcW w:w="1716" w:type="dxa"/>
            <w:tcBorders>
              <w:bottom w:val="single" w:sz="4" w:space="0" w:color="auto"/>
            </w:tcBorders>
          </w:tcPr>
          <w:p w:rsidR="00300D94" w:rsidRDefault="003F69A8">
            <w:pPr>
              <w:spacing w:before="60"/>
              <w:jc w:val="left"/>
              <w:rPr>
                <w:rFonts w:asciiTheme="majorBidi" w:hAnsiTheme="majorBidi" w:cstheme="majorBidi"/>
                <w:kern w:val="0"/>
                <w:sz w:val="22"/>
                <w:szCs w:val="22"/>
              </w:rPr>
            </w:pPr>
            <w:r>
              <w:rPr>
                <w:kern w:val="0"/>
                <w:sz w:val="22"/>
                <w:szCs w:val="22"/>
              </w:rPr>
              <w:t xml:space="preserve">40 min  </w:t>
            </w:r>
            <w:r>
              <w:rPr>
                <w:rFonts w:hint="cs"/>
                <w:kern w:val="0"/>
                <w:sz w:val="22"/>
                <w:szCs w:val="22"/>
                <w:rtl/>
              </w:rPr>
              <w:t xml:space="preserve"> </w:t>
            </w:r>
            <w:r>
              <w:rPr>
                <w:kern w:val="0"/>
                <w:sz w:val="22"/>
                <w:szCs w:val="22"/>
              </w:rPr>
              <w:t xml:space="preserve">   </w:t>
            </w:r>
          </w:p>
        </w:tc>
        <w:tc>
          <w:tcPr>
            <w:tcW w:w="1530" w:type="dxa"/>
            <w:tcBorders>
              <w:bottom w:val="single" w:sz="4" w:space="0" w:color="auto"/>
            </w:tcBorders>
          </w:tcPr>
          <w:p w:rsidR="00300D94" w:rsidRDefault="003F69A8">
            <w:pPr>
              <w:spacing w:before="60"/>
              <w:jc w:val="left"/>
              <w:rPr>
                <w:rFonts w:asciiTheme="majorBidi" w:hAnsiTheme="majorBidi" w:cstheme="majorBidi"/>
                <w:kern w:val="0"/>
                <w:sz w:val="22"/>
                <w:szCs w:val="22"/>
                <w:rtl/>
                <w:lang w:bidi="fa-IR"/>
              </w:rPr>
            </w:pPr>
            <w:r>
              <w:rPr>
                <w:rFonts w:asciiTheme="majorBidi" w:hAnsiTheme="majorBidi" w:cstheme="majorBidi"/>
                <w:kern w:val="0"/>
                <w:sz w:val="22"/>
                <w:szCs w:val="22"/>
              </w:rPr>
              <w:t>present work</w:t>
            </w:r>
          </w:p>
        </w:tc>
      </w:tr>
    </w:tbl>
    <w:p w:rsidR="00300D94" w:rsidRDefault="003F69A8">
      <w:pPr>
        <w:spacing w:after="120" w:line="240" w:lineRule="auto"/>
        <w:ind w:firstLine="446"/>
        <w:jc w:val="left"/>
        <w:rPr>
          <w:rFonts w:asciiTheme="majorBidi" w:hAnsiTheme="majorBidi" w:cstheme="majorBidi"/>
          <w:color w:val="000000"/>
          <w:sz w:val="18"/>
          <w:szCs w:val="18"/>
        </w:rPr>
      </w:pPr>
      <w:r>
        <w:rPr>
          <w:rFonts w:asciiTheme="majorBidi" w:hAnsiTheme="majorBidi" w:cstheme="majorBidi"/>
          <w:color w:val="000000"/>
          <w:sz w:val="18"/>
          <w:szCs w:val="18"/>
          <w:vertAlign w:val="superscript"/>
        </w:rPr>
        <w:t xml:space="preserve">1 </w:t>
      </w:r>
      <w:r>
        <w:rPr>
          <w:rFonts w:asciiTheme="majorBidi" w:hAnsiTheme="majorBidi" w:cstheme="majorBidi"/>
          <w:color w:val="000000"/>
          <w:sz w:val="18"/>
          <w:szCs w:val="18"/>
        </w:rPr>
        <w:t xml:space="preserve">Cr-based MOF with adenine and 4,4′-thiodiphenol as organic ligands </w:t>
      </w:r>
    </w:p>
    <w:p w:rsidR="00300D94" w:rsidRDefault="003F69A8">
      <w:pPr>
        <w:spacing w:after="120" w:line="240" w:lineRule="auto"/>
        <w:ind w:firstLine="446"/>
        <w:jc w:val="left"/>
        <w:rPr>
          <w:rFonts w:asciiTheme="majorBidi" w:hAnsiTheme="majorBidi" w:cstheme="majorBidi"/>
          <w:color w:val="000000"/>
          <w:sz w:val="18"/>
          <w:szCs w:val="18"/>
        </w:rPr>
      </w:pPr>
      <w:r>
        <w:rPr>
          <w:rFonts w:asciiTheme="majorBidi" w:hAnsiTheme="majorBidi" w:cstheme="majorBidi"/>
          <w:color w:val="000000"/>
          <w:sz w:val="18"/>
          <w:szCs w:val="18"/>
          <w:vertAlign w:val="superscript"/>
        </w:rPr>
        <w:t xml:space="preserve">2 </w:t>
      </w:r>
      <w:r>
        <w:rPr>
          <w:rFonts w:asciiTheme="majorBidi" w:hAnsiTheme="majorBidi" w:cstheme="majorBidi"/>
          <w:color w:val="000000"/>
          <w:sz w:val="18"/>
          <w:szCs w:val="18"/>
        </w:rPr>
        <w:t>BDC-NH</w:t>
      </w:r>
      <w:r>
        <w:rPr>
          <w:rFonts w:asciiTheme="majorBidi" w:hAnsiTheme="majorBidi" w:cstheme="majorBidi"/>
          <w:color w:val="000000"/>
          <w:sz w:val="18"/>
          <w:szCs w:val="18"/>
          <w:vertAlign w:val="subscript"/>
        </w:rPr>
        <w:t>2</w:t>
      </w:r>
      <w:r>
        <w:rPr>
          <w:rFonts w:asciiTheme="majorBidi" w:hAnsiTheme="majorBidi" w:cstheme="majorBidi"/>
          <w:color w:val="000000"/>
          <w:sz w:val="18"/>
          <w:szCs w:val="18"/>
        </w:rPr>
        <w:t xml:space="preserve">: 2-amino-1,4-benzenedicarboxylic acid </w:t>
      </w:r>
    </w:p>
    <w:p w:rsidR="00300D94" w:rsidRDefault="003F69A8">
      <w:pPr>
        <w:spacing w:after="120" w:line="240" w:lineRule="auto"/>
        <w:ind w:firstLine="446"/>
        <w:jc w:val="left"/>
        <w:rPr>
          <w:rFonts w:asciiTheme="majorBidi" w:hAnsiTheme="majorBidi" w:cstheme="majorBidi"/>
          <w:color w:val="000000"/>
          <w:sz w:val="18"/>
          <w:szCs w:val="18"/>
        </w:rPr>
      </w:pPr>
      <w:r>
        <w:rPr>
          <w:rFonts w:asciiTheme="majorBidi" w:hAnsiTheme="majorBidi" w:cstheme="majorBidi"/>
          <w:color w:val="000000"/>
          <w:sz w:val="18"/>
          <w:szCs w:val="18"/>
          <w:vertAlign w:val="superscript"/>
        </w:rPr>
        <w:t xml:space="preserve">3 </w:t>
      </w:r>
      <w:r>
        <w:rPr>
          <w:rFonts w:asciiTheme="majorBidi" w:hAnsiTheme="majorBidi" w:cstheme="majorBidi"/>
          <w:color w:val="000000"/>
          <w:sz w:val="18"/>
          <w:szCs w:val="18"/>
        </w:rPr>
        <w:t>Cross-linked</w:t>
      </w:r>
      <w:r>
        <w:rPr>
          <w:rFonts w:asciiTheme="majorBidi" w:hAnsiTheme="majorBidi" w:cstheme="majorBidi"/>
          <w:sz w:val="18"/>
          <w:szCs w:val="18"/>
        </w:rPr>
        <w:t xml:space="preserve"> </w:t>
      </w:r>
      <w:r>
        <w:rPr>
          <w:rFonts w:asciiTheme="majorBidi" w:hAnsiTheme="majorBidi" w:cstheme="majorBidi"/>
          <w:color w:val="000000"/>
          <w:sz w:val="18"/>
          <w:szCs w:val="18"/>
        </w:rPr>
        <w:t xml:space="preserve">dibenzo-18-crown-6 (DB18C6) and dibenzo-24-crown-8 (DB24C8)   </w:t>
      </w:r>
    </w:p>
    <w:p w:rsidR="00300D94" w:rsidRDefault="00300D94">
      <w:pPr>
        <w:spacing w:after="120"/>
        <w:jc w:val="center"/>
        <w:rPr>
          <w:b/>
          <w:bCs/>
        </w:rPr>
      </w:pPr>
    </w:p>
    <w:p w:rsidR="00300D94" w:rsidRDefault="003F69A8">
      <w:pPr>
        <w:spacing w:after="120"/>
        <w:jc w:val="both"/>
        <w:rPr>
          <w:b/>
          <w:bCs/>
        </w:rPr>
      </w:pPr>
      <w:r>
        <w:rPr>
          <w:b/>
          <w:bCs/>
          <w:color w:val="FF0000"/>
        </w:rPr>
        <w:t xml:space="preserve"> </w:t>
      </w:r>
      <w:r>
        <w:rPr>
          <w:b/>
          <w:bCs/>
        </w:rPr>
        <w:t>Adsorption equilibrium isotherms</w:t>
      </w:r>
    </w:p>
    <w:p w:rsidR="00300D94" w:rsidRDefault="003F69A8">
      <w:pPr>
        <w:spacing w:after="120"/>
        <w:jc w:val="both"/>
      </w:pPr>
      <w:r>
        <w:t>Different models are available to describe the adsorption process, including the Langmuir isotherm, which assumes that only one layer is formed on the adsorbe</w:t>
      </w:r>
      <w:r>
        <w:t>nt surface and no further adsorption occurs after the formation of this layer. Furthermore, this model assumes that the adsorbed molecules do not move across the surface and that the adsorption occurs on a homogeneous surface with a finite number of identi</w:t>
      </w:r>
      <w:r>
        <w:t xml:space="preserve">cal sites with constant adsorption energy </w:t>
      </w:r>
      <w:r>
        <w:fldChar w:fldCharType="begin" w:fldLock="1"/>
      </w:r>
      <w:r>
        <w:instrText xml:space="preserve">ADDIN CSL_CITATION {"citationItems":[{"id":"ITEM-1","itemData":{"DOI":"10.1016/j.marpolbul.2013.04.001","ISSN":"0025326X","abstract":"The removal of tributyltin (TBT) from artificial seawater using nZnO, activated </w:instrText>
      </w:r>
      <w:r>
        <w:instrText>carbon and nZnO/activated carbon composite was systematically studied. The equilibrium and kinetics of adsorption were investigated in a batch adsorption system. Equilibrium adsorption data were analyzed using Langmuir, Freundlich, Temkin and Dubinin-Radus</w:instrText>
      </w:r>
      <w:r>
        <w:instrText>hkevich (D-R) isotherm models. Pseudo first- and second-order, Elovich, fractional power and intraparticle diffusion models were applied to test the kinetic data. Thermodynamic parameters such as δ. G°, δ. S° and δ. H° were also calculated to understand th</w:instrText>
      </w:r>
      <w:r>
        <w:instrText>e mechanisms of adsorption. Optimal conditions for the adsorption of TBT from artificial seawater were then applied to TBT removal from natural seawater. A higher removal efficiency of TBT (&gt;99%) was obtained for the nZnO/activated carbon composite materia</w:instrText>
      </w:r>
      <w:r>
        <w:instrText>l and for activated carbon but not for nZnO. © 2013 Elsevier Ltd.","author":[{"dropping-particle":"","family":"Ayanda","given":"Olushola S.","non-dropping-particle":"","parse-names":false,"suffix":""},{"dropping-particle":"","family":"Fatoki","given":"Olal</w:instrText>
      </w:r>
      <w:r>
        <w:instrText>ekan S.","non-dropping-particle":"","parse-names":false,"suffix":""},{"dropping-particle":"","family":"Adekola","given":"Folahan A.","non-dropping-particle":"","parse-names":false,"suffix":""},{"dropping-particle":"","family":"Ximba","given":"Bhekumusa J."</w:instrText>
      </w:r>
      <w:r>
        <w:instrText>,"non-dropping-particle":"","parse-names":false,"suffix":""}],"container-title":"Marine Pollution Bulletin","id":"ITEM-1","issue":"1","issued":{"date-parts":[["2013"]]},"title":"Kinetics and equilibrium models for the sorption of tributyltin to nZnO, activ</w:instrText>
      </w:r>
      <w:r>
        <w:instrText>ated carbon and nZnO/activated carbon composite in artificial seawater","type":"article-journal","volume":"72"},"uris":["http://www.mendeley.com/documents/?uuid=54d7ebe6-5461-34db-8a40-4368c674314c"]},{"id":"ITEM-2","itemData":{"DOI":"10.1016/j.jhazmat.200</w:instrText>
      </w:r>
      <w:r>
        <w:instrText>5.08.022","ISSN":"03043894","abstract":"Equilibrium sorption experiments were carried out at 305 K with four different basic dyes basic red 9 (BR9), basic violet 3 (BV3), basic brown 1 (BB1) and basic violet 10 (BV10) onto activated carbon. The isotherm pa</w:instrText>
      </w:r>
      <w:r>
        <w:instrText>rameters were estimated linear and non-linear regression analysis. Non-linear method was found to be more appropriate method for estimating the isotherm parameters. The sorption capacity of activated carbon to uptake cationic dye ions in the increasing ord</w:instrText>
      </w:r>
      <w:r>
        <w:instrText>er was given by: BR9 (131 mg/g) &lt; BV3 (247 mg/) &lt; BV10 (259 mg/) &lt; BB1 (404 mg/g). © 2005 Elsevier B.V. All rights reserved.","author":[{"dropping-particle":"","family":"Kumar","given":"K. Vasanth","non-dropping-particle":"","parse-names":false,"suffix":""</w:instrText>
      </w:r>
      <w:r>
        <w:instrText>},{"dropping-particle":"","family":"Sivanesan","given":"S.","non-dropping-particle":"","parse-names":false,"suffix":""}],"container-title":"Journal of Hazardous Materials","id":"ITEM-2","issue":"1-3","issued":{"date-parts":[["2006"]]},"title":"Isotherm par</w:instrText>
      </w:r>
      <w:r>
        <w:instrText>ameters for basic dyes onto activated carbon: Comparison of linear and non-linear method","type":"article-journal","volume":"129"},"uris":["http://www.mendeley.com/documents/?uuid=1a0a29b5-507d-32b5-b3a1-9bee2d854847"]},{"id":"ITEM-3","itemData":{"DOI":"10</w:instrText>
      </w:r>
      <w:r>
        <w:instrText>.1155/2013/842425","ISSN":"16877985","abstract":"Investigation of the sorption potential of rice husk, an agricultural waste, as an adsorbent was carried out. The rice husk was modified with orthophosphoric acid and was used for adsorption of lead (II) ion</w:instrText>
      </w:r>
      <w:r>
        <w:instrText>s (Pb 2+) from aqueous solution. Physicochemical properties of the modified rice husk were determined. Equilibrium sorption data were confirmed with Langmuir, Freundlich and Temkin adsorption isotherms. On the basis of adsorption isotherm graphs, R2 values</w:instrText>
      </w:r>
      <w:r>
        <w:instrText xml:space="preserve"> were determined to be 0.995, 0.916, and 0.797 for Langmuir, Temkin, and Freundlich isotherms, respectively, indicating that the data fitted well into the adsorption isotherms, but Langmuir isotherm is a better model. The maximum monolayer coverage from La</w:instrText>
      </w:r>
      <w:r>
        <w:instrText>ngmuir studies, Qmax=138.89 mg/g, Langmuir isotherm constant, KL=0.699 L/mg, and the separation factor, RL=1.41×10-2 at 100 mg/L of lead(II) ions indicating that the sorption process, was favourable. The suitability of modified rice husk as an adsorbent fo</w:instrText>
      </w:r>
      <w:r>
        <w:instrText>r the removal of lead ions from aqueous solution and its potential for pollution control is established. © 2013 A. O. Dada et al.","author":[{"dropping-particle":"","family":"Dada","given":"A. O.","non-dropping-particle":"","parse-names":false,"suffix":""}</w:instrText>
      </w:r>
      <w:r>
        <w:instrText>,{"dropping-particle":"","family":"Ojediran","given":"J. O.","non-dropping-particle":"","parse-names":false,"suffix":""},{"dropping-particle":"","family":"Olalekan","given":"Abiodun Paul","non-dropping-particle":"","parse-names":false,"suffix":""}],"contai</w:instrText>
      </w:r>
      <w:r>
        <w:instrText>ner-title":"Advances in Physical Chemistry","id":"ITEM-3","issued":{"date-parts":[["2013"]]},"title":"Sorption of Pb2+ from aqueous solution unto modified rice husk: Isotherms studies","type":"article-journal","volume":"2013"},"uris":["http://www.mendeley.</w:instrText>
      </w:r>
      <w:r>
        <w:instrText>com/documents/?uuid=572ddc86-fd36-3469-9f2e-6d1079631a65"]}],"mendeley":{"formattedCitation":"[8–10]","plainTextFormattedCitation":"[8–10]","previouslyFormattedCitation":"[92–94]"},"properties":{"noteIndex":0},"schema":"https://github.com/citation-style-la</w:instrText>
      </w:r>
      <w:r>
        <w:instrText>nguage/schema/raw/master/csl-citation.json"}</w:instrText>
      </w:r>
      <w:r>
        <w:fldChar w:fldCharType="separate"/>
      </w:r>
      <w:r>
        <w:t>[8–10]</w:t>
      </w:r>
      <w:r>
        <w:fldChar w:fldCharType="end"/>
      </w:r>
      <w:r>
        <w:t>. The Langmuir isotherm is presented as following equation</w:t>
      </w:r>
      <w:r>
        <w:rPr>
          <w:rFonts w:eastAsia="Times New Roman" w:cs="Times New Roman"/>
          <w:kern w:val="0"/>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568"/>
      </w:tblGrid>
      <w:tr w:rsidR="00300D94">
        <w:trPr>
          <w:trHeight w:val="778"/>
          <w:jc w:val="center"/>
        </w:trPr>
        <w:tc>
          <w:tcPr>
            <w:tcW w:w="4446" w:type="dxa"/>
            <w:vAlign w:val="center"/>
          </w:tcPr>
          <w:p w:rsidR="00300D94" w:rsidRDefault="003F69A8">
            <w:pPr>
              <w:spacing w:before="120" w:after="120"/>
              <w:jc w:val="center"/>
              <w:rPr>
                <w:rFonts w:eastAsiaTheme="minorEastAsia"/>
                <w:kern w:val="0"/>
                <w:sz w:val="20"/>
                <w:szCs w:val="20"/>
                <w:lang w:bidi="fa-IR"/>
              </w:rPr>
            </w:pPr>
            <m:oMathPara>
              <m:oMath>
                <m:f>
                  <m:fPr>
                    <m:ctrlPr>
                      <w:rPr>
                        <w:rFonts w:ascii="Cambria Math" w:hAnsi="Cambria Math"/>
                        <w:i/>
                        <w:kern w:val="0"/>
                        <w:sz w:val="20"/>
                        <w:szCs w:val="20"/>
                        <w:lang w:bidi="fa-IR"/>
                      </w:rPr>
                    </m:ctrlPr>
                  </m:fPr>
                  <m:num>
                    <m:r>
                      <w:rPr>
                        <w:rFonts w:ascii="Cambria Math" w:hAnsi="Cambria Math"/>
                        <w:kern w:val="0"/>
                        <w:sz w:val="20"/>
                        <w:szCs w:val="20"/>
                        <w:lang w:bidi="fa-IR"/>
                      </w:rPr>
                      <m:t>1</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den>
                </m:f>
                <m:r>
                  <w:rPr>
                    <w:rFonts w:ascii="Cambria Math" w:hAnsi="Cambria Math"/>
                    <w:kern w:val="0"/>
                    <w:sz w:val="20"/>
                    <w:szCs w:val="20"/>
                    <w:lang w:bidi="fa-IR"/>
                  </w:rPr>
                  <m:t>=</m:t>
                </m:r>
                <m:f>
                  <m:fPr>
                    <m:ctrlPr>
                      <w:rPr>
                        <w:rFonts w:ascii="Cambria Math" w:hAnsi="Cambria Math"/>
                        <w:i/>
                        <w:kern w:val="0"/>
                        <w:sz w:val="20"/>
                        <w:szCs w:val="20"/>
                        <w:lang w:bidi="fa-IR"/>
                      </w:rPr>
                    </m:ctrlPr>
                  </m:fPr>
                  <m:num>
                    <m:r>
                      <w:rPr>
                        <w:rFonts w:ascii="Cambria Math" w:hAnsi="Cambria Math"/>
                        <w:kern w:val="0"/>
                        <w:sz w:val="20"/>
                        <w:szCs w:val="20"/>
                        <w:lang w:bidi="fa-IR"/>
                      </w:rPr>
                      <m:t>1</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m</m:t>
                        </m:r>
                      </m:sub>
                    </m:sSub>
                    <m:r>
                      <w:rPr>
                        <w:rFonts w:ascii="Cambria Math" w:hAnsi="Cambria Math"/>
                        <w:kern w:val="0"/>
                        <w:sz w:val="20"/>
                        <w:szCs w:val="20"/>
                        <w:lang w:bidi="fa-IR"/>
                      </w:rPr>
                      <m:t xml:space="preserve"> </m:t>
                    </m:r>
                    <m:sSub>
                      <m:sSubPr>
                        <m:ctrlPr>
                          <w:rPr>
                            <w:rFonts w:ascii="Cambria Math" w:eastAsia="Times New Roman" w:hAnsi="Cambria Math" w:cs="Times New Roman"/>
                            <w:kern w:val="0"/>
                            <w:sz w:val="20"/>
                            <w:szCs w:val="24"/>
                            <w:vertAlign w:val="subscript"/>
                          </w:rPr>
                        </m:ctrlPr>
                      </m:sSubPr>
                      <m:e>
                        <m:r>
                          <w:rPr>
                            <w:rFonts w:ascii="Cambria Math" w:eastAsia="Times New Roman" w:hAnsi="Cambria Math" w:cs="Times New Roman"/>
                            <w:kern w:val="0"/>
                            <w:sz w:val="20"/>
                            <w:szCs w:val="24"/>
                            <w:vertAlign w:val="subscript"/>
                          </w:rPr>
                          <m:t>K</m:t>
                        </m:r>
                      </m:e>
                      <m:sub>
                        <m:r>
                          <w:rPr>
                            <w:rFonts w:ascii="Cambria Math" w:eastAsia="Times New Roman" w:hAnsi="Cambria Math" w:cs="Times New Roman"/>
                            <w:kern w:val="0"/>
                            <w:sz w:val="20"/>
                            <w:szCs w:val="24"/>
                            <w:vertAlign w:val="subscript"/>
                          </w:rPr>
                          <m:t>L</m:t>
                        </m:r>
                        <m:r>
                          <w:rPr>
                            <w:rFonts w:ascii="Cambria Math" w:eastAsia="Times New Roman" w:hAnsi="Cambria Math" w:cs="Times New Roman"/>
                            <w:kern w:val="0"/>
                            <w:sz w:val="20"/>
                            <w:szCs w:val="24"/>
                            <w:vertAlign w:val="subscript"/>
                          </w:rPr>
                          <m:t xml:space="preserve"> </m:t>
                        </m:r>
                      </m:sub>
                    </m:sSub>
                    <m:sSub>
                      <m:sSubPr>
                        <m:ctrlPr>
                          <w:rPr>
                            <w:rFonts w:ascii="Cambria Math" w:hAnsi="Cambria Math"/>
                            <w:i/>
                            <w:kern w:val="0"/>
                            <w:sz w:val="20"/>
                            <w:szCs w:val="20"/>
                            <w:lang w:bidi="fa-IR"/>
                          </w:rPr>
                        </m:ctrlPr>
                      </m:sSubPr>
                      <m:e>
                        <m:r>
                          <w:rPr>
                            <w:rFonts w:ascii="Cambria Math" w:hAnsi="Cambria Math"/>
                            <w:kern w:val="0"/>
                            <w:sz w:val="20"/>
                            <w:szCs w:val="20"/>
                            <w:lang w:bidi="fa-IR"/>
                          </w:rPr>
                          <m:t>C</m:t>
                        </m:r>
                      </m:e>
                      <m:sub>
                        <m:r>
                          <w:rPr>
                            <w:rFonts w:ascii="Cambria Math" w:hAnsi="Cambria Math"/>
                            <w:kern w:val="0"/>
                            <w:sz w:val="20"/>
                            <w:szCs w:val="20"/>
                            <w:lang w:bidi="fa-IR"/>
                          </w:rPr>
                          <m:t>e</m:t>
                        </m:r>
                      </m:sub>
                    </m:sSub>
                  </m:den>
                </m:f>
                <m:r>
                  <w:rPr>
                    <w:rFonts w:ascii="Cambria Math" w:hAnsi="Cambria Math"/>
                    <w:kern w:val="0"/>
                    <w:sz w:val="20"/>
                    <w:szCs w:val="20"/>
                    <w:lang w:bidi="fa-IR"/>
                  </w:rPr>
                  <m:t>+</m:t>
                </m:r>
                <m:f>
                  <m:fPr>
                    <m:ctrlPr>
                      <w:rPr>
                        <w:rFonts w:ascii="Cambria Math" w:hAnsi="Cambria Math"/>
                        <w:i/>
                        <w:kern w:val="0"/>
                        <w:sz w:val="20"/>
                        <w:szCs w:val="20"/>
                        <w:lang w:bidi="fa-IR"/>
                      </w:rPr>
                    </m:ctrlPr>
                  </m:fPr>
                  <m:num>
                    <m:r>
                      <w:rPr>
                        <w:rFonts w:ascii="Cambria Math" w:hAnsi="Cambria Math"/>
                        <w:kern w:val="0"/>
                        <w:sz w:val="20"/>
                        <w:szCs w:val="20"/>
                        <w:lang w:bidi="fa-IR"/>
                      </w:rPr>
                      <m:t>1</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m</m:t>
                        </m:r>
                      </m:sub>
                    </m:sSub>
                  </m:den>
                </m:f>
              </m:oMath>
            </m:oMathPara>
          </w:p>
        </w:tc>
        <w:tc>
          <w:tcPr>
            <w:tcW w:w="2568" w:type="dxa"/>
            <w:vAlign w:val="center"/>
          </w:tcPr>
          <w:p w:rsidR="00300D94" w:rsidRDefault="003F69A8">
            <w:pPr>
              <w:spacing w:before="120" w:after="120"/>
              <w:jc w:val="center"/>
              <w:rPr>
                <w:kern w:val="0"/>
                <w:sz w:val="20"/>
                <w:szCs w:val="20"/>
              </w:rPr>
            </w:pPr>
            <w:r>
              <w:rPr>
                <w:kern w:val="0"/>
                <w:sz w:val="20"/>
                <w:szCs w:val="20"/>
              </w:rPr>
              <w:t>(1)</w:t>
            </w:r>
          </w:p>
        </w:tc>
      </w:tr>
    </w:tbl>
    <w:p w:rsidR="00300D94" w:rsidRDefault="003F69A8">
      <w:pPr>
        <w:spacing w:after="120"/>
        <w:jc w:val="both"/>
        <w:rPr>
          <w:rFonts w:eastAsia="Times New Roman" w:cs="Times New Roman"/>
          <w:kern w:val="0"/>
          <w:szCs w:val="24"/>
        </w:rPr>
      </w:pPr>
      <w:r>
        <w:t xml:space="preserve">Symbols </w:t>
      </w:r>
      <w:r>
        <w:rPr>
          <w:i/>
          <w:iCs/>
        </w:rPr>
        <w:t>q</w:t>
      </w:r>
      <w:r>
        <w:rPr>
          <w:vertAlign w:val="subscript"/>
        </w:rPr>
        <w:t>m</w:t>
      </w:r>
      <w:r>
        <w:t xml:space="preserve"> (mg/g), </w:t>
      </w:r>
      <w:r>
        <w:rPr>
          <w:i/>
          <w:iCs/>
        </w:rPr>
        <w:t>K</w:t>
      </w:r>
      <w:r>
        <w:rPr>
          <w:vertAlign w:val="subscript"/>
        </w:rPr>
        <w:t>L</w:t>
      </w:r>
      <w:r>
        <w:t xml:space="preserve"> (L/mg), </w:t>
      </w:r>
      <w:r>
        <w:rPr>
          <w:i/>
          <w:iCs/>
        </w:rPr>
        <w:t>C</w:t>
      </w:r>
      <w:r>
        <w:rPr>
          <w:vertAlign w:val="subscript"/>
        </w:rPr>
        <w:t>e</w:t>
      </w:r>
      <w:r>
        <w:t xml:space="preserve"> (mg/L), and </w:t>
      </w:r>
      <w:r>
        <w:rPr>
          <w:i/>
          <w:iCs/>
        </w:rPr>
        <w:t>q</w:t>
      </w:r>
      <w:r>
        <w:rPr>
          <w:vertAlign w:val="subscript"/>
        </w:rPr>
        <w:t>e</w:t>
      </w:r>
      <w:r>
        <w:t xml:space="preserve"> (mg/g) represent the maximum adsorption capacity, Langmuir constant, equilibrium concentration, and adsorbed solute quantity, respectively </w:t>
      </w:r>
      <w:r>
        <w:fldChar w:fldCharType="begin" w:fldLock="1"/>
      </w:r>
      <w:r>
        <w:instrText xml:space="preserve">ADDIN CSL_CITATION {"citationItems":[{"id":"ITEM-1","itemData":{"DOI":"10.9734/csji/2018/44087","abstract":"In this </w:instrText>
      </w:r>
      <w:r>
        <w:instrText>work, an isothermal investigation of the adsorption of sulfadimethoxine from aqueous solution onto clay mineral (kaolinite) using batch equilibration method is reported. The equilibrium data were modelled using five linear forms of Langmuir equation, linea</w:instrText>
      </w:r>
      <w:r>
        <w:instrText>r Freundlich and Temkin isotherm models and their corresponding non-linear equations. It is demonstrated that the linear Langmuir equations underestimated the maximum adsorption capacity of the sorbent. Linearization of adsorption isotherms is shown to ind</w:instrText>
      </w:r>
      <w:r>
        <w:instrText>uce errors that may lead to unreliable conclusions. The equilibrium data was best modeled by the non-linear Langmuir equation with a maximum adsorption capacity of 4.59 mg/g.","author":[{"dropping-particle":"","family":"Shikuku","given":"Victor O.","non-dr</w:instrText>
      </w:r>
      <w:r>
        <w:instrText>opping-particle":"","parse-names":false,"suffix":""},{"dropping-particle":"","family":"Kowenje","given":"Chrispin O.","non-dropping-particle":"","parse-names":false,"suffix":""},{"dropping-particle":"","family":"Kengara","given":"Fredrick O.","non-dropping</w:instrText>
      </w:r>
      <w:r>
        <w:instrText>-particle":"","parse-names":false,"suffix":""}],"container-title":"Chemical Science International Journal","id":"ITEM-1","issue":"4","issued":{"date-parts":[["2018"]]},"title":"Errors in Parameters Estimation Using Linearized Adsorption Isotherms: Sulfadim</w:instrText>
      </w:r>
      <w:r>
        <w:instrText>ethoxine Adsorption onto Kaolinite Clay","type":"article-journal","volume":"23"},"uris":["http://www.mendeley.com/documents/?uuid=8fc20f0b-577c-31ad-9dae-d38cb25444e3"]}],"mendeley":{"formattedCitation":"[11]","plainTextFormattedCitation":"[11]","previousl</w:instrText>
      </w:r>
      <w:r>
        <w:instrText>yFormattedCitation":"[95]"},"properties":{"noteIndex":0},"schema":"https://github.com/citation-style-language/schema/raw/master/csl-citation.json"}</w:instrText>
      </w:r>
      <w:r>
        <w:fldChar w:fldCharType="separate"/>
      </w:r>
      <w:r>
        <w:t>[11]</w:t>
      </w:r>
      <w:r>
        <w:fldChar w:fldCharType="end"/>
      </w:r>
      <w:r>
        <w:t xml:space="preserve">. </w:t>
      </w:r>
      <w:r>
        <w:rPr>
          <w:rFonts w:eastAsia="Times New Roman" w:cs="Times New Roman"/>
          <w:kern w:val="0"/>
          <w:szCs w:val="24"/>
        </w:rPr>
        <w:t xml:space="preserve">The graph’s slope and intercept can help calculate </w:t>
      </w:r>
      <w:r>
        <w:rPr>
          <w:rFonts w:eastAsia="Times New Roman" w:cs="Times New Roman"/>
          <w:i/>
          <w:iCs/>
          <w:kern w:val="0"/>
          <w:szCs w:val="24"/>
        </w:rPr>
        <w:t>q</w:t>
      </w:r>
      <w:r>
        <w:rPr>
          <w:rFonts w:eastAsia="Times New Roman" w:cs="Times New Roman"/>
          <w:kern w:val="0"/>
          <w:szCs w:val="24"/>
          <w:vertAlign w:val="subscript"/>
        </w:rPr>
        <w:t>m</w:t>
      </w:r>
      <w:r>
        <w:rPr>
          <w:rFonts w:eastAsia="Times New Roman" w:cs="Times New Roman"/>
          <w:kern w:val="0"/>
          <w:szCs w:val="24"/>
        </w:rPr>
        <w:t xml:space="preserve"> and </w:t>
      </w:r>
      <w:r>
        <w:rPr>
          <w:rFonts w:eastAsia="Times New Roman" w:cs="Times New Roman"/>
          <w:i/>
          <w:iCs/>
          <w:kern w:val="0"/>
          <w:szCs w:val="24"/>
        </w:rPr>
        <w:t>K</w:t>
      </w:r>
      <w:r>
        <w:rPr>
          <w:rFonts w:eastAsia="Times New Roman" w:cs="Times New Roman"/>
          <w:kern w:val="0"/>
          <w:szCs w:val="24"/>
          <w:vertAlign w:val="subscript"/>
        </w:rPr>
        <w:t>L</w:t>
      </w:r>
      <w:r>
        <w:rPr>
          <w:rFonts w:eastAsia="Times New Roman" w:cs="Times New Roman"/>
          <w:kern w:val="0"/>
          <w:szCs w:val="24"/>
        </w:rPr>
        <w:t xml:space="preserve"> by plotting 1/</w:t>
      </w:r>
      <w:r>
        <w:rPr>
          <w:rFonts w:eastAsia="Times New Roman" w:cs="Times New Roman"/>
          <w:i/>
          <w:iCs/>
          <w:kern w:val="0"/>
          <w:szCs w:val="24"/>
        </w:rPr>
        <w:t>q</w:t>
      </w:r>
      <w:r>
        <w:rPr>
          <w:rFonts w:eastAsia="Times New Roman" w:cs="Times New Roman"/>
          <w:kern w:val="0"/>
          <w:szCs w:val="24"/>
          <w:vertAlign w:val="subscript"/>
        </w:rPr>
        <w:t>e</w:t>
      </w:r>
      <w:r>
        <w:rPr>
          <w:rFonts w:eastAsia="Times New Roman" w:cs="Times New Roman"/>
          <w:kern w:val="0"/>
          <w:szCs w:val="24"/>
        </w:rPr>
        <w:t xml:space="preserve"> against 1/</w:t>
      </w:r>
      <w:r>
        <w:rPr>
          <w:rFonts w:eastAsia="Times New Roman" w:cs="Times New Roman"/>
          <w:i/>
          <w:iCs/>
          <w:kern w:val="0"/>
          <w:szCs w:val="24"/>
        </w:rPr>
        <w:t>C</w:t>
      </w:r>
      <w:r>
        <w:rPr>
          <w:rFonts w:eastAsia="Times New Roman" w:cs="Times New Roman"/>
          <w:kern w:val="0"/>
          <w:szCs w:val="24"/>
          <w:vertAlign w:val="subscript"/>
        </w:rPr>
        <w:t xml:space="preserve">e </w:t>
      </w:r>
      <w:r>
        <w:rPr>
          <w:rFonts w:eastAsia="Times New Roman" w:cs="Times New Roman"/>
          <w:kern w:val="0"/>
          <w:szCs w:val="24"/>
        </w:rPr>
        <w:t>and analy</w:t>
      </w:r>
      <w:r>
        <w:rPr>
          <w:rFonts w:eastAsia="Times New Roman" w:cs="Times New Roman"/>
          <w:kern w:val="0"/>
          <w:szCs w:val="24"/>
        </w:rPr>
        <w:t>zing the outcomes.</w:t>
      </w:r>
    </w:p>
    <w:p w:rsidR="00300D94" w:rsidRDefault="003F69A8">
      <w:pPr>
        <w:spacing w:after="120"/>
        <w:jc w:val="both"/>
        <w:rPr>
          <w:rtl/>
          <w:lang w:bidi="fa-IR"/>
        </w:rPr>
      </w:pPr>
      <w:bookmarkStart w:id="0" w:name="_Hlk170197636"/>
      <w:r>
        <w:rPr>
          <w:rFonts w:eastAsia="Times New Roman" w:cs="Times New Roman"/>
          <w:kern w:val="0"/>
          <w:szCs w:val="24"/>
        </w:rPr>
        <w:t xml:space="preserve">Freundlich adsorption isotherm </w:t>
      </w:r>
      <w:bookmarkEnd w:id="0"/>
      <w:r>
        <w:rPr>
          <w:rFonts w:eastAsia="Times New Roman" w:cs="Times New Roman"/>
          <w:kern w:val="0"/>
          <w:szCs w:val="24"/>
        </w:rPr>
        <w:t xml:space="preserve">is another model for adsorption, in which it is assumed that the surface is heterogeneous and there are sites with different energies (exponential distribution). Its linear form is expressed as </w:t>
      </w:r>
      <w:r>
        <w:fldChar w:fldCharType="begin" w:fldLock="1"/>
      </w:r>
      <w:r>
        <w:instrText>ADDIN CSL_CI</w:instrText>
      </w:r>
      <w:r>
        <w:instrText xml:space="preserve">TATION {"citationItems":[{"id":"ITEM-1","itemData":{"DOI":"10.1080/19443994.2013.789405","ISSN":"19443986","abstract":"The objectives of this work were to investigate the adsorption of Reactive Blue 21(RB21) onto clay(C), activated clay (AC), and modified </w:instrText>
      </w:r>
      <w:r>
        <w:instrText>clay (MC). The adsorbents were characterized by FTIR, XRD, TGA, and BET. Batch studies were carried out to evaluate parameters affecting adsorption such as contact time, pH, sorbent dose, and temperature. Among the kinetic models tested, the adsorption kin</w:instrText>
      </w:r>
      <w:r>
        <w:instrText xml:space="preserve">etics was best described by the pseudo-second-order equation. The data fitted well with Freundlich, Langmuir, Temkin, and Halsey isotherms. The reusability of the adsorbents using 1 N NaOH for over three cycles indicates the economic significance of these </w:instrText>
      </w:r>
      <w:r>
        <w:instrText>materials as adsorbents. © 2013 © 2013 Balaban Desalination Publications. All rights reserved.","author":[{"dropping-particle":"","family":"Vanaamudan","given":"Ageetha","non-dropping-particle":"","parse-names":false,"suffix":""},{"dropping-particle":"","f</w:instrText>
      </w:r>
      <w:r>
        <w:instrText>amily":"Pathan","given":"Naznin","non-dropping-particle":"","parse-names":false,"suffix":""},{"dropping-particle":"","family":"Pamidimukkala","given":"Padmaja","non-dropping-particle":"","parse-names":false,"suffix":""}],"container-title":"Desalination and</w:instrText>
      </w:r>
      <w:r>
        <w:instrText xml:space="preserve"> Water Treatment","id":"ITEM-1","issue":"7-9","issued":{"date-parts":[["2014"]]},"title":"Adsorption of Reactive Blue 21 from aqueous solutions onto clay, activated clay, and modified clay","type":"article-journal","volume":"52"},"uris":["http://www.mendel</w:instrText>
      </w:r>
      <w:r>
        <w:instrText>ey.com/documents/?uuid=a7181f7f-ba08-3eb2-9c14-cb50b86dfe9a"]}],"mendeley":{"formattedCitation":"[12]","plainTextFormattedCitation":"[12]","previouslyFormattedCitation":"[96]"},"properties":{"noteIndex":0},"schema":"https://github.com/citation-style-langua</w:instrText>
      </w:r>
      <w:r>
        <w:instrText>ge/schema/raw/master/csl-citation.json"}</w:instrText>
      </w:r>
      <w:r>
        <w:fldChar w:fldCharType="separate"/>
      </w:r>
      <w:r>
        <w:t>[12]</w:t>
      </w:r>
      <w:r>
        <w:fldChar w:fldCharType="end"/>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2713"/>
      </w:tblGrid>
      <w:tr w:rsidR="00300D94">
        <w:trPr>
          <w:trHeight w:val="735"/>
          <w:jc w:val="center"/>
        </w:trPr>
        <w:tc>
          <w:tcPr>
            <w:tcW w:w="4699" w:type="dxa"/>
          </w:tcPr>
          <w:p w:rsidR="00300D94" w:rsidRDefault="003F69A8">
            <w:pPr>
              <w:spacing w:after="120"/>
              <w:jc w:val="both"/>
              <w:rPr>
                <w:rFonts w:eastAsiaTheme="minorEastAsia"/>
                <w:kern w:val="0"/>
                <w:sz w:val="20"/>
                <w:szCs w:val="20"/>
                <w:lang w:bidi="fa-IR"/>
              </w:rPr>
            </w:pPr>
            <m:oMathPara>
              <m:oMath>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log</m:t>
                    </m:r>
                  </m:fName>
                  <m:e>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e>
                </m:func>
                <m:r>
                  <w:rPr>
                    <w:rFonts w:ascii="Cambria Math" w:hAnsi="Cambria Math"/>
                    <w:kern w:val="0"/>
                    <w:sz w:val="20"/>
                    <w:szCs w:val="20"/>
                    <w:lang w:bidi="fa-IR"/>
                  </w:rPr>
                  <m:t>=</m:t>
                </m:r>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log</m:t>
                    </m:r>
                  </m:fName>
                  <m:e>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F</m:t>
                        </m:r>
                      </m:sub>
                    </m:sSub>
                  </m:e>
                </m:func>
                <m:r>
                  <w:rPr>
                    <w:rFonts w:ascii="Cambria Math" w:hAnsi="Cambria Math"/>
                    <w:kern w:val="0"/>
                    <w:sz w:val="20"/>
                    <w:szCs w:val="20"/>
                    <w:lang w:bidi="fa-IR"/>
                  </w:rPr>
                  <m:t>+</m:t>
                </m:r>
                <m:f>
                  <m:fPr>
                    <m:ctrlPr>
                      <w:rPr>
                        <w:rFonts w:ascii="Cambria Math" w:hAnsi="Cambria Math"/>
                        <w:i/>
                        <w:kern w:val="0"/>
                        <w:sz w:val="20"/>
                        <w:szCs w:val="20"/>
                        <w:lang w:bidi="fa-IR"/>
                      </w:rPr>
                    </m:ctrlPr>
                  </m:fPr>
                  <m:num>
                    <m:r>
                      <w:rPr>
                        <w:rFonts w:ascii="Cambria Math" w:hAnsi="Cambria Math"/>
                        <w:kern w:val="0"/>
                        <w:sz w:val="20"/>
                        <w:szCs w:val="20"/>
                        <w:lang w:bidi="fa-IR"/>
                      </w:rPr>
                      <m:t>1</m:t>
                    </m:r>
                  </m:num>
                  <m:den>
                    <m:r>
                      <w:rPr>
                        <w:rFonts w:ascii="Cambria Math" w:hAnsi="Cambria Math"/>
                        <w:kern w:val="0"/>
                        <w:sz w:val="20"/>
                        <w:szCs w:val="20"/>
                        <w:lang w:bidi="fa-IR"/>
                      </w:rPr>
                      <m:t>n</m:t>
                    </m:r>
                  </m:den>
                </m:f>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log</m:t>
                    </m:r>
                  </m:fName>
                  <m:e>
                    <m:sSub>
                      <m:sSubPr>
                        <m:ctrlPr>
                          <w:rPr>
                            <w:rFonts w:ascii="Cambria Math" w:hAnsi="Cambria Math"/>
                            <w:i/>
                            <w:kern w:val="0"/>
                            <w:sz w:val="20"/>
                            <w:szCs w:val="20"/>
                            <w:lang w:bidi="fa-IR"/>
                          </w:rPr>
                        </m:ctrlPr>
                      </m:sSubPr>
                      <m:e>
                        <m:r>
                          <w:rPr>
                            <w:rFonts w:ascii="Cambria Math" w:hAnsi="Cambria Math"/>
                            <w:kern w:val="0"/>
                            <w:sz w:val="20"/>
                            <w:szCs w:val="20"/>
                            <w:lang w:bidi="fa-IR"/>
                          </w:rPr>
                          <m:t>C</m:t>
                        </m:r>
                      </m:e>
                      <m:sub>
                        <m:r>
                          <w:rPr>
                            <w:rFonts w:ascii="Cambria Math" w:hAnsi="Cambria Math"/>
                            <w:kern w:val="0"/>
                            <w:sz w:val="20"/>
                            <w:szCs w:val="20"/>
                            <w:lang w:bidi="fa-IR"/>
                          </w:rPr>
                          <m:t>e</m:t>
                        </m:r>
                      </m:sub>
                    </m:sSub>
                  </m:e>
                </m:func>
              </m:oMath>
            </m:oMathPara>
          </w:p>
        </w:tc>
        <w:tc>
          <w:tcPr>
            <w:tcW w:w="2713" w:type="dxa"/>
          </w:tcPr>
          <w:p w:rsidR="00300D94" w:rsidRDefault="003F69A8">
            <w:pPr>
              <w:spacing w:after="120"/>
              <w:jc w:val="center"/>
              <w:rPr>
                <w:kern w:val="0"/>
                <w:sz w:val="20"/>
                <w:szCs w:val="20"/>
              </w:rPr>
            </w:pPr>
            <w:r>
              <w:rPr>
                <w:kern w:val="0"/>
                <w:sz w:val="20"/>
                <w:szCs w:val="20"/>
              </w:rPr>
              <w:t>(2)</w:t>
            </w:r>
          </w:p>
        </w:tc>
      </w:tr>
    </w:tbl>
    <w:p w:rsidR="00300D94" w:rsidRDefault="003F69A8">
      <w:pPr>
        <w:tabs>
          <w:tab w:val="left" w:pos="432"/>
        </w:tabs>
        <w:spacing w:after="120"/>
        <w:jc w:val="both"/>
        <w:rPr>
          <w:rtl/>
        </w:rPr>
      </w:pPr>
      <w:r>
        <w:rPr>
          <w:rFonts w:eastAsia="Times New Roman" w:cs="Times New Roman"/>
          <w:kern w:val="0"/>
          <w:szCs w:val="24"/>
        </w:rPr>
        <w:t xml:space="preserve">In this regard, </w:t>
      </w:r>
      <w:r>
        <w:rPr>
          <w:rFonts w:eastAsia="Times New Roman" w:cs="Times New Roman"/>
          <w:i/>
          <w:iCs/>
          <w:kern w:val="0"/>
          <w:szCs w:val="24"/>
        </w:rPr>
        <w:t>K</w:t>
      </w:r>
      <w:r>
        <w:rPr>
          <w:rFonts w:eastAsia="Times New Roman" w:cs="Times New Roman"/>
          <w:kern w:val="0"/>
          <w:szCs w:val="24"/>
          <w:vertAlign w:val="subscript"/>
        </w:rPr>
        <w:t>F</w:t>
      </w:r>
      <w:r>
        <w:rPr>
          <w:rFonts w:eastAsia="Times New Roman" w:cs="Times New Roman"/>
          <w:kern w:val="0"/>
          <w:szCs w:val="24"/>
        </w:rPr>
        <w:t xml:space="preserve"> is the Freundlich constant and shows the maximum amount of material that can be adsorbed on the unit mass of the adsorbent. Freundlich exponent (</w:t>
      </w:r>
      <w:r>
        <w:rPr>
          <w:rFonts w:eastAsia="Times New Roman" w:cs="Times New Roman"/>
          <w:i/>
          <w:iCs/>
          <w:kern w:val="0"/>
          <w:szCs w:val="24"/>
        </w:rPr>
        <w:t>n</w:t>
      </w:r>
      <w:r>
        <w:rPr>
          <w:rFonts w:eastAsia="Times New Roman" w:cs="Times New Roman"/>
          <w:kern w:val="0"/>
          <w:szCs w:val="24"/>
        </w:rPr>
        <w:t xml:space="preserve">) shows the intensity of the absorption process, values higher than 1 indicate strong absorption, and </w:t>
      </w:r>
      <w:r>
        <w:rPr>
          <w:rFonts w:eastAsia="Times New Roman" w:cs="Times New Roman"/>
          <w:i/>
          <w:iCs/>
          <w:kern w:val="0"/>
          <w:szCs w:val="24"/>
        </w:rPr>
        <w:t>n</w:t>
      </w:r>
      <w:r>
        <w:rPr>
          <w:rFonts w:eastAsia="Times New Roman" w:cs="Times New Roman"/>
          <w:kern w:val="0"/>
          <w:szCs w:val="24"/>
        </w:rPr>
        <w:t xml:space="preserve"> between 0 and 1 indicates weak absorption. At </w:t>
      </w:r>
      <w:r>
        <w:rPr>
          <w:rFonts w:eastAsia="Times New Roman" w:cs="Times New Roman"/>
          <w:i/>
          <w:iCs/>
          <w:kern w:val="0"/>
          <w:szCs w:val="24"/>
        </w:rPr>
        <w:t>n</w:t>
      </w:r>
      <w:r>
        <w:rPr>
          <w:rFonts w:eastAsia="Times New Roman" w:cs="Times New Roman"/>
          <w:kern w:val="0"/>
          <w:szCs w:val="24"/>
        </w:rPr>
        <w:t xml:space="preserve"> &gt; 1, the absorption increases rapidly with increasing adsorbent concentration, suggesting the presence o</w:t>
      </w:r>
      <w:r>
        <w:rPr>
          <w:rFonts w:eastAsia="Times New Roman" w:cs="Times New Roman"/>
          <w:kern w:val="0"/>
          <w:szCs w:val="24"/>
        </w:rPr>
        <w:t xml:space="preserve">f pores or gaps in the adsorbent surface that can accommodate several adsorbent molecules </w:t>
      </w:r>
      <w:r>
        <w:fldChar w:fldCharType="begin" w:fldLock="1"/>
      </w:r>
      <w:r>
        <w:instrText>ADDIN CSL_CITATION {"citationItems":[{"id":"ITEM-1","itemData":{"DOI":"10.3233/AJW-160016","ISSN":"18758568","abstract":"The removal of nickel ions by adsorption proc</w:instrText>
      </w:r>
      <w:r>
        <w:instrText>ess using fly ash was investigated in this study. Nickel removal capacity of fly ash was performed by batch mode adsorption experiment using Atomic Absorption Spectroscopy (AAS) technique. The results obtained were fitted to Brunauer-Emmett-Teller (BET), L</w:instrText>
      </w:r>
      <w:r>
        <w:instrText>angmuir and Freundlich adsorption isotherms using least square fit method. The best fit among the isotherm models is assessed by the linear coefficient of regression (R2) and by non-linear Chi-square test. The theoretical value of qe calculated from the be</w:instrText>
      </w:r>
      <w:r>
        <w:instrText>st fit linear equation of each adsorption isotherm and the experimental values of qe are plotted against Ce, to compare the experimental and theoretical value of qe. It was observed by linear and non-linear method that BET adsorption isotherm is best fit f</w:instrText>
      </w:r>
      <w:r>
        <w:instrText>or the present investigation.","author":[{"dropping-particle":"","family":"Agarwal","given":"Ajay K.","non-dropping-particle":"","parse-names":false,"suffix":""},{"dropping-particle":"","family":"Kadu","given":"Mahendra S.","non-dropping-particle":"","pars</w:instrText>
      </w:r>
      <w:r>
        <w:instrText>e-names":false,"suffix":""},{"dropping-particle":"","family":"Pandhurnekar","given":"Chandrashekhar P.","non-dropping-particle":"","parse-names":false,"suffix":""},{"dropping-particle":"","family":"Muthreja","given":"Ishwerdas L.","non-dropping-particle":"</w:instrText>
      </w:r>
      <w:r>
        <w:instrText>","parse-names":false,"suffix":""}],"container-title":"Asian Journal of Water, Environment and Pollution","id":"ITEM-1","issue":"2","issued":{"date-parts":[["2016"]]},"title":"Brunauer-Emmett-Teller (B.E.T.), Langmuir and Freundlich Isotherm Studies for th</w:instrText>
      </w:r>
      <w:r>
        <w:instrText>e Adsorption of Nickel Ions onto Coal Fly Ash","type":"article-journal","volume":"13"},"uris":["http://www.mendeley.com/documents/?uuid=7b0b817f-0cf9-39f5-9f6b-03eda66ddbdb"]},{"id":"ITEM-2","itemData":{"DOI":"10.5267/j.ccl.2023.8.009","ISSN":"1927730X","a</w:instrText>
      </w:r>
      <w:r>
        <w:instrText>bstract":"The efficiency of different sorbents (bulk soil, sand, silt, clay and humic acid-HA) for chlorantraniliprole (CAP), dinotefuran (DNF), bispyribac-sodium (BPS), and metribuzin (MBZ) adsorption was described and compared. The adsorption of CAP, DNF</w:instrText>
      </w:r>
      <w:r>
        <w:instrText>, BPS and MBZ were significantly greater on clay and HA fractions than the bulk soils. Also, the tested pesticides sorption was greater on HA fraction compared to clay fraction except in the case of BPS. The mass unit of bulk soil adsorbed of CAP, DNF, BPS</w:instrText>
      </w:r>
      <w:r>
        <w:instrText xml:space="preserve"> and MBZ approximately 15, 20, 10 and 5 % of the same of HA and 40, 60, 95 and 35 % of that of clay fraction, respectively. The actual amounts adsorbed on bulk soil ranged from (88.63 to 93.93 %) of the calculated amounts adsorbed on all soil components in</w:instrText>
      </w:r>
      <w:r>
        <w:instrText>dicating high efficiency of the tested soils to adsorb tested pesticides. All adsorption data fitted well to the linear Freundlich equation. The adsorption of tested pesticides in soil and their different constituents is S-type according to 1/n (except som</w:instrText>
      </w:r>
      <w:r>
        <w:instrText>e cases).","author":[{"dropping-particle":"","family":"Fouad","given":"Mohamed R.","non-dropping-particle":"","parse-names":false,"suffix":""},{"dropping-particle":"","family":"Aly","given":"Maher I.","non-dropping-particle":"","parse-names":false,"suffix"</w:instrText>
      </w:r>
      <w:r>
        <w:instrText>:""},{"dropping-particle":"","family":"El-Aswad","given":"Ahmed F.","non-dropping-particle":"","parse-names":false,"suffix":""},{"dropping-particle":"","family":"Badawy","given":"Mohamed E.I.","non-dropping-particle":"","parse-names":false,"suffix":""}],"c</w:instrText>
      </w:r>
      <w:r>
        <w:instrText>ontainer-title":"Current Chemistry Letters","id":"ITEM-2","issue":"1","issued":{"date-parts":[["2024"]]},"title":"Effect of particles size on adsorption isotherm of chlorantraniliprole, dinotefuran, bispyribac-sodium, and metribuzin into sandy loam soil","</w:instrText>
      </w:r>
      <w:r>
        <w:instrText xml:space="preserve">type":"article-journal","volume":"13"},"uris":["http://www.mendeley.com/documents/?uuid=514cb019-7e0e-3f86-9054-289a4b45d0cb"]},{"id":"ITEM-3","itemData":{"DOI":"10.1016/j.jhazmat.2005.08.022","ISSN":"03043894","abstract":"Equilibrium sorption experiments </w:instrText>
      </w:r>
      <w:r>
        <w:instrText>were carried out at 305 K with four different basic dyes basic red 9 (BR9), basic violet 3 (BV3), basic brown 1 (BB1) and basic violet 10 (BV10) onto activated carbon. The isotherm parameters were estimated linear and non-linear regression analysis. Non-li</w:instrText>
      </w:r>
      <w:r>
        <w:instrText>near method was found to be more appropriate method for estimating the isotherm parameters. The sorption capacity of activated carbon to uptake cationic dye ions in the increasing order was given by: BR9 (131 mg/g) &lt; BV3 (247 mg/) &lt; BV10 (259 mg/) &lt; BB1 (4</w:instrText>
      </w:r>
      <w:r>
        <w:instrText>04 mg/g). © 2005 Elsevier B.V. All rights reserved.","author":[{"dropping-particle":"","family":"Kumar","given":"K. Vasanth","non-dropping-particle":"","parse-names":false,"suffix":""},{"dropping-particle":"","family":"Sivanesan","given":"S.","non-dropping</w:instrText>
      </w:r>
      <w:r>
        <w:instrText>-particle":"","parse-names":false,"suffix":""}],"container-title":"Journal of Hazardous Materials","id":"ITEM-3","issue":"1-3","issued":{"date-parts":[["2006"]]},"title":"Isotherm parameters for basic dyes onto activated carbon: Comparison of linear and no</w:instrText>
      </w:r>
      <w:r>
        <w:instrText>n-linear method","type":"article-journal","volume":"129"},"uris":["http://www.mendeley.com/documents/?uuid=1a0a29b5-507d-32b5-b3a1-9bee2d854847"]}],"mendeley":{"formattedCitation":"[9, 13, 14]","plainTextFormattedCitation":"[9, 13, 14]","previouslyFormatte</w:instrText>
      </w:r>
      <w:r>
        <w:instrText>dCitation":"[93,97,98]"},"properties":{"noteIndex":0},"schema":"https://github.com/citation-style-language/schema/raw/master/csl-citation.json"}</w:instrText>
      </w:r>
      <w:r>
        <w:fldChar w:fldCharType="separate"/>
      </w:r>
      <w:r>
        <w:t>[9, 13, 14]</w:t>
      </w:r>
      <w:r>
        <w:fldChar w:fldCharType="end"/>
      </w:r>
      <w:r>
        <w:t xml:space="preserve">. </w:t>
      </w:r>
    </w:p>
    <w:p w:rsidR="00300D94" w:rsidRDefault="003F69A8">
      <w:pPr>
        <w:tabs>
          <w:tab w:val="left" w:pos="432"/>
        </w:tabs>
        <w:spacing w:after="120"/>
        <w:jc w:val="both"/>
      </w:pPr>
      <w:r>
        <w:t>The Temkin isotherm is another mathematical model that takes into account the interactions between adsorbate molecules. According to this model, the heat of adsorption decreases linearly with increasing surface coverage due to adsorbate-adsorbate interacti</w:t>
      </w:r>
      <w:r>
        <w:t xml:space="preserve">ons decreasing the adsorption energy </w:t>
      </w:r>
      <w:r>
        <w:fldChar w:fldCharType="begin" w:fldLock="1"/>
      </w:r>
      <w:r>
        <w:instrText xml:space="preserve">ADDIN CSL_CITATION {"citationItems":[{"id":"ITEM-1","itemData":{"DOI":"10.1155/2013/842425","ISSN":"16877985","abstract":"Investigation of the sorption potential of rice husk, an agricultural waste, as an adsorbent was </w:instrText>
      </w:r>
      <w:r>
        <w:instrText>carried out. The rice husk was modified with orthophosphoric acid and was used for adsorption of lead (II) ions (Pb 2+) from aqueous solution. Physicochemical properties of the modified rice husk were determined. Equilibrium sorption data were confirmed wi</w:instrText>
      </w:r>
      <w:r>
        <w:instrText xml:space="preserve">th Langmuir, Freundlich and Temkin adsorption isotherms. On the basis of adsorption isotherm graphs, R2 values were determined to be 0.995, 0.916, and 0.797 for Langmuir, Temkin, and Freundlich isotherms, respectively, indicating that the data fitted well </w:instrText>
      </w:r>
      <w:r>
        <w:instrText xml:space="preserve">into the adsorption isotherms, but Langmuir isotherm is a better model. The maximum monolayer coverage from Langmuir studies, Qmax=138.89 mg/g, Langmuir isotherm constant, KL=0.699 L/mg, and the separation factor, RL=1.41×10-2 at 100 mg/L of lead(II) ions </w:instrText>
      </w:r>
      <w:r>
        <w:instrText>indicating that the sorption process, was favourable. The suitability of modified rice husk as an adsorbent for the removal of lead ions from aqueous solution and its potential for pollution control is established. © 2013 A. O. Dada et al.","author":[{"dro</w:instrText>
      </w:r>
      <w:r>
        <w:instrText>pping-particle":"","family":"Dada","given":"A. O.","non-dropping-particle":"","parse-names":false,"suffix":""},{"dropping-particle":"","family":"Ojediran","given":"J. O.","non-dropping-particle":"","parse-names":false,"suffix":""},{"dropping-particle":"","</w:instrText>
      </w:r>
      <w:r>
        <w:instrText xml:space="preserve">family":"Olalekan","given":"Abiodun Paul","non-dropping-particle":"","parse-names":false,"suffix":""}],"container-title":"Advances in Physical Chemistry","id":"ITEM-1","issued":{"date-parts":[["2013"]]},"title":"Sorption of Pb2+ from aqueous solution unto </w:instrText>
      </w:r>
      <w:r>
        <w:instrText>modified rice husk: Isotherms studies","type":"article-journal","volume":"2013"},"uris":["http://www.mendeley.com/documents/?uuid=572ddc86-fd36-3469-9f2e-6d1079631a65"]},{"id":"ITEM-2","itemData":{"DOI":"10.1080/23312009.2017.1351653","abstract":"The kinet</w:instrText>
      </w:r>
      <w:r>
        <w:instrText>ics, mechanism, isotherm, and thermodynamics of adsorption of Pb 2+ onto wood-activated carbon-supported zerovalent iron (WAC-nZVI) nanocom-posite was successfully studied. WAC-nZVI was characterized by a combination of spectroscopic and analytical techniq</w:instrText>
      </w:r>
      <w:r>
        <w:instrText>ues (BET, PZC, FTIR, SEM, and EDX). BET surface area was 101.50 m 2 /g and BJH Adsorption average pore diameter 116.73 Å. The adsorption of Pb 2+ studied in batch process depends on various operational param-eters ranging from effect of pH to ionic strengt</w:instrText>
      </w:r>
      <w:r>
        <w:instrText>h. Kinetics data were best described by pseudo-second-order model based on high initial adsorption rate, h 2 (166.67 mgg −1 min −1) and correlation coefficient (R 2 &gt; 0.99). The mechanism was controlled by both external and intraparticle diffusion models c</w:instrText>
      </w:r>
      <w:r>
        <w:instrText>onfirmed by Bangham and Boyd models. Equilibrium data were fitted to seven isotherm models. The Langmuir monolayer adsorption capacity (77.52 m 2 /g) surpassed those previously investi-gated for adsorption of Pb 2+ onto nanoadsorbents. Validity of kinetics</w:instrText>
      </w:r>
      <w:r>
        <w:instrText xml:space="preserve"> and isotherm models was studied using three statistical models. Post-adsorption characteriza-tion by SEM, EDX, and FTIR confirmed the presence of Pb 2+ on the loaded-WAC-nZVI. The release of heavy metal ions into the environment via unguided and unguarded</w:instrText>
      </w:r>
      <w:r>
        <w:instrText xml:space="preserve"> anthropogenic activities remains ubiquitous challenge for the past decade. Lead is a hazardous metal well known for environmental contamination and health problems in many parts of the world. Its potential sources are reported in this article. WHO reveale</w:instrText>
      </w:r>
      <w:r>
        <w:instrText xml:space="preserve">d that childhood lead exposure is estimated to contribute to about 600,000 new cases of children developing intellectual disabilities every year and also account for 143,000 deaths per year with the highest burden in developing countries; 4% of the global </w:instrText>
      </w:r>
      <w:r>
        <w:instrText>burden of ischemic heart disease; 5% of the global burden of stroke and there is no known level of lead exposure that is considered safe. This article has currently investigated the solution for water contaminated with lead ions using wood-activated carbon</w:instrText>
      </w:r>
      <w:r>
        <w:instrText>-supported zerovalent iron (WAC-nZVI) nanocomposite via adsorption as a low-cost and efficient technique. The outcome of this was validated. Dada et al., Cogent Chemistry (2017), 3: 1351653 https://doi.org/10.1080/23312009.2017.1351653 Thermodynamic parame</w:instrText>
      </w:r>
      <w:r>
        <w:instrText>ters (∆H o , ∆S o , ∆G o) confirmed the feasibility, spontaneity, and randomness of the adsorption process. This study revealed a great potential of novel WAC-nZVI in effective removal…","author":[{"dropping-particle":"","family":"Dada","given":"Adewumi O.</w:instrText>
      </w:r>
      <w:r>
        <w:instrText>","non-dropping-particle":"","parse-names":false,"suffix":""},{"dropping-particle":"","family":"Adekola","given":"Folahan A.","non-dropping-particle":"","parse-names":false,"suffix":""},{"dropping-particle":"","family":"Odebunmi","given":"Ezekiel O.","non-</w:instrText>
      </w:r>
      <w:r>
        <w:instrText xml:space="preserve">dropping-particle":"","parse-names":false,"suffix":""}],"container-title":"Cogent Chemistry","id":"ITEM-2","issue":"1","issued":{"date-parts":[["2017"]]},"title":" Kinetics, mechanism, isotherm and thermodynamic studies of liquid phase adsorption of Pb 2+ </w:instrText>
      </w:r>
      <w:r>
        <w:instrText>onto wood activated carbon supported zerovalent iron (WAC-ZVI) nanocomposite ","type":"article-journal","volume":"3"},"uris":["http://www.mendeley.com/documents/?uuid=77813b21-1915-3956-8c55-c25a219f4777"]}],"mendeley":{"formattedCitation":"[10, 15]","plai</w:instrText>
      </w:r>
      <w:r>
        <w:instrText>nTextFormattedCitation":"[10, 15]","previouslyFormattedCitation":"[94,99]"},"properties":{"noteIndex":0},"schema":"https://github.com/citation-style-language/schema/raw/master/csl-citation.json"}</w:instrText>
      </w:r>
      <w:r>
        <w:fldChar w:fldCharType="separate"/>
      </w:r>
      <w:r>
        <w:t>[10, 15]</w:t>
      </w:r>
      <w:r>
        <w:fldChar w:fldCharType="end"/>
      </w:r>
      <w:r>
        <w:t xml:space="preserve">. </w:t>
      </w:r>
      <w:r>
        <w:rPr>
          <w:rFonts w:eastAsia="Times New Roman" w:cs="Times New Roman"/>
          <w:kern w:val="0"/>
          <w:szCs w:val="24"/>
        </w:rPr>
        <w:t xml:space="preserve">Its linear form is denoted as: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700"/>
      </w:tblGrid>
      <w:tr w:rsidR="00300D94">
        <w:trPr>
          <w:trHeight w:val="468"/>
          <w:jc w:val="center"/>
        </w:trPr>
        <w:tc>
          <w:tcPr>
            <w:tcW w:w="4675" w:type="dxa"/>
          </w:tcPr>
          <w:p w:rsidR="00300D94" w:rsidRDefault="003F69A8">
            <w:pPr>
              <w:spacing w:before="120" w:after="120"/>
              <w:jc w:val="both"/>
              <w:rPr>
                <w:rFonts w:eastAsiaTheme="minorEastAsia"/>
                <w:kern w:val="0"/>
                <w:sz w:val="20"/>
                <w:szCs w:val="20"/>
                <w:lang w:bidi="fa-IR"/>
              </w:rPr>
            </w:pPr>
            <m:oMath>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r>
                <w:rPr>
                  <w:rFonts w:ascii="Cambria Math" w:hAnsi="Cambria Math"/>
                  <w:kern w:val="0"/>
                  <w:sz w:val="20"/>
                  <w:szCs w:val="20"/>
                  <w:lang w:bidi="fa-IR"/>
                </w:rPr>
                <m:t>=</m:t>
              </m:r>
              <m:r>
                <w:rPr>
                  <w:rFonts w:ascii="Cambria Math" w:hAnsi="Cambria Math"/>
                  <w:kern w:val="0"/>
                  <w:sz w:val="20"/>
                  <w:szCs w:val="20"/>
                  <w:lang w:bidi="fa-IR"/>
                </w:rPr>
                <m:t>B</m:t>
              </m:r>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ln</m:t>
                  </m:r>
                </m:fName>
                <m:e>
                  <m:r>
                    <w:rPr>
                      <w:rFonts w:ascii="Cambria Math" w:hAnsi="Cambria Math"/>
                      <w:kern w:val="0"/>
                      <w:sz w:val="20"/>
                      <w:szCs w:val="20"/>
                      <w:lang w:bidi="fa-IR"/>
                    </w:rPr>
                    <m:t>A</m:t>
                  </m:r>
                </m:e>
              </m:func>
              <m:r>
                <w:rPr>
                  <w:rFonts w:ascii="Cambria Math" w:hAnsi="Cambria Math"/>
                  <w:kern w:val="0"/>
                  <w:sz w:val="20"/>
                  <w:szCs w:val="20"/>
                  <w:lang w:bidi="fa-IR"/>
                </w:rPr>
                <m:t>+</m:t>
              </m:r>
              <m:r>
                <w:rPr>
                  <w:rFonts w:ascii="Cambria Math" w:hAnsi="Cambria Math"/>
                  <w:kern w:val="0"/>
                  <w:sz w:val="20"/>
                  <w:szCs w:val="20"/>
                  <w:lang w:bidi="fa-IR"/>
                </w:rPr>
                <m:t>B</m:t>
              </m:r>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ln</m:t>
                  </m:r>
                </m:fName>
                <m:e>
                  <m:sSub>
                    <m:sSubPr>
                      <m:ctrlPr>
                        <w:rPr>
                          <w:rFonts w:ascii="Cambria Math" w:hAnsi="Cambria Math"/>
                          <w:i/>
                          <w:kern w:val="0"/>
                          <w:sz w:val="20"/>
                          <w:szCs w:val="20"/>
                          <w:lang w:bidi="fa-IR"/>
                        </w:rPr>
                      </m:ctrlPr>
                    </m:sSubPr>
                    <m:e>
                      <m:r>
                        <w:rPr>
                          <w:rFonts w:ascii="Cambria Math" w:hAnsi="Cambria Math"/>
                          <w:kern w:val="0"/>
                          <w:sz w:val="20"/>
                          <w:szCs w:val="20"/>
                          <w:lang w:bidi="fa-IR"/>
                        </w:rPr>
                        <m:t>C</m:t>
                      </m:r>
                    </m:e>
                    <m:sub>
                      <m:r>
                        <w:rPr>
                          <w:rFonts w:ascii="Cambria Math" w:hAnsi="Cambria Math"/>
                          <w:kern w:val="0"/>
                          <w:sz w:val="20"/>
                          <w:szCs w:val="20"/>
                          <w:lang w:bidi="fa-IR"/>
                        </w:rPr>
                        <m:t>e</m:t>
                      </m:r>
                    </m:sub>
                  </m:sSub>
                </m:e>
              </m:func>
            </m:oMath>
            <w:r>
              <w:rPr>
                <w:rFonts w:eastAsiaTheme="minorEastAsia"/>
                <w:kern w:val="0"/>
                <w:sz w:val="20"/>
                <w:szCs w:val="20"/>
                <w:lang w:bidi="fa-IR"/>
              </w:rPr>
              <w:t xml:space="preserve">  </w:t>
            </w:r>
          </w:p>
        </w:tc>
        <w:tc>
          <w:tcPr>
            <w:tcW w:w="2700" w:type="dxa"/>
          </w:tcPr>
          <w:p w:rsidR="00300D94" w:rsidRDefault="003F69A8">
            <w:pPr>
              <w:spacing w:before="120" w:after="120"/>
              <w:jc w:val="center"/>
              <w:rPr>
                <w:kern w:val="0"/>
                <w:sz w:val="20"/>
                <w:szCs w:val="20"/>
              </w:rPr>
            </w:pPr>
            <w:r>
              <w:rPr>
                <w:kern w:val="0"/>
                <w:sz w:val="20"/>
                <w:szCs w:val="20"/>
              </w:rPr>
              <w:t>(3)</w:t>
            </w:r>
          </w:p>
        </w:tc>
      </w:tr>
    </w:tbl>
    <w:p w:rsidR="00300D94" w:rsidRDefault="003F69A8">
      <w:pPr>
        <w:tabs>
          <w:tab w:val="left" w:pos="432"/>
        </w:tabs>
        <w:spacing w:before="120" w:after="120"/>
        <w:jc w:val="both"/>
        <w:rPr>
          <w:rFonts w:eastAsia="Times New Roman" w:cs="Times New Roman"/>
          <w:kern w:val="0"/>
          <w:szCs w:val="24"/>
          <w:lang w:bidi="fa-IR"/>
        </w:rPr>
      </w:pPr>
      <w:r>
        <w:rPr>
          <w:rFonts w:eastAsia="Times New Roman" w:cs="Times New Roman"/>
          <w:kern w:val="0"/>
          <w:szCs w:val="24"/>
        </w:rPr>
        <w:t xml:space="preserve">In this equation, B (in J/mol) is the heat of absorption, A (L/g) is the Tamkin isotherm constant, which is related to the maximum adsorption capacity and </w:t>
      </w:r>
      <w:r>
        <w:rPr>
          <w:rFonts w:eastAsia="Times New Roman" w:cs="Times New Roman"/>
          <w:i/>
          <w:iCs/>
          <w:kern w:val="0"/>
          <w:szCs w:val="24"/>
        </w:rPr>
        <w:t>C</w:t>
      </w:r>
      <w:r>
        <w:rPr>
          <w:rFonts w:eastAsia="Times New Roman" w:cs="Times New Roman"/>
          <w:kern w:val="0"/>
          <w:szCs w:val="24"/>
          <w:vertAlign w:val="subscript"/>
        </w:rPr>
        <w:t xml:space="preserve">e </w:t>
      </w:r>
      <w:r>
        <w:rPr>
          <w:rFonts w:eastAsia="Times New Roman" w:cs="Times New Roman"/>
          <w:kern w:val="0"/>
          <w:szCs w:val="24"/>
        </w:rPr>
        <w:t xml:space="preserve">is the equailibrium concentration  </w:t>
      </w:r>
      <w:r>
        <w:fldChar w:fldCharType="begin" w:fldLock="1"/>
      </w:r>
      <w:r>
        <w:instrText>ADDIN CSL_CITATION {"citationItems":[{"id":"ITEM-1"</w:instrText>
      </w:r>
      <w:r>
        <w:instrText>,"itemData":{"DOI":"10.31436/iiumej.v18i1.689","ISSN":"22897860","abstract":"The studies of adsorption equilibrium isotherms and the kinetics of hydrogen sulfide-water systems on calcite-based adsorbents prepared from eggshells were undertaken. The effects</w:instrText>
      </w:r>
      <w:r>
        <w:instrText xml:space="preserve"> of operating variables, such as contact time and initial concentration, on the adsorption capacity of hydrogen sulfide are investigated. The modified eggshells are characterized using different analytical approaches such as Scanning Electron Microscopy (S</w:instrText>
      </w:r>
      <w:r>
        <w:instrText xml:space="preserve">EM) and Fourier Transform Infrared (FTIR). The batch mode adsorption process is performed at optimum removal conditions: dosage of 1 g/L, pH level of pH 6, agitation speed of 150 rpm, and contact time of 14 h for adsorbing hydrogen sulfide with an initial </w:instrText>
      </w:r>
      <w:r>
        <w:instrText>concentration of 100-500 mg/L. In the current study, the Langmuir, Freundlich, Temkin, and Dubinin models are used to predict the adsorption isotherms. Our equilibrium data for hydrogen sulfide adsorption agrees well with those of the Langmuir equation. Th</w:instrText>
      </w:r>
      <w:r>
        <w:instrText>e maximum monolayer adsorption capacity is 150.07 mg/g. Moreover, the kinetics of H2S adsorption using the modified calcite of eggshells follows a pseudo-second-order model. From the current work, it has been found that the calcite eggshells are a suitable</w:instrText>
      </w:r>
      <w:r>
        <w:instrText xml:space="preserve"> adsorbent for H2S containing wastewater. Most importantly, chicken eggshells are waste products that are vastly available; hence, they could serve as a practical means for H2S adsorption.","author":[{"dropping-particle":"","family":"Habeeb","given":"Omar </w:instrText>
      </w:r>
      <w:r>
        <w:instrText>Abed","non-dropping-particle":"","parse-names":false,"suffix":""},{"dropping-particle":"","family":"Kanthasamy","given":"Ramesh","non-dropping-particle":"","parse-names":false,"suffix":""},{"dropping-particle":"","family":"Ali","given":"Gomaa Abdelgawad Mo</w:instrText>
      </w:r>
      <w:r>
        <w:instrText>hammed","non-dropping-particle":"","parse-names":false,"suffix":""},{"dropping-particle":"","family":"Yunus","given":"Rosli Bin Mohd","non-dropping-particle":"","parse-names":false,"suffix":""},{"dropping-particle":"","family":"Olalere","given":"Olusegun A</w:instrText>
      </w:r>
      <w:r>
        <w:instrText>bayomi","non-dropping-particle":"","parse-names":false,"suffix":""}],"container-title":"IIUM Engineering Journal","id":"ITEM-1","issue":"1","issued":{"date-parts":[["2017"]]},"title":"Kinetic, isotherm and equilibrium study of adsorption of hydrogen sulfid</w:instrText>
      </w:r>
      <w:r>
        <w:instrText>e from wastewater using modified eggshells","type":"article-journal","volume":"18"},"uris":["http://www.mendeley.com/documents/?uuid=a367648a-7b3b-342c-a80d-0ef62f018b49"]}],"mendeley":{"formattedCitation":"[16]","plainTextFormattedCitation":"[16]","previo</w:instrText>
      </w:r>
      <w:r>
        <w:instrText>uslyFormattedCitation":"[100]"},"properties":{"noteIndex":0},"schema":"https://github.com/citation-style-language/schema/raw/master/csl-citation.json"}</w:instrText>
      </w:r>
      <w:r>
        <w:fldChar w:fldCharType="separate"/>
      </w:r>
      <w:r>
        <w:t>[16]</w:t>
      </w:r>
      <w:r>
        <w:fldChar w:fldCharType="end"/>
      </w:r>
      <w:r>
        <w:t>. Fig. S2 illustrates the linear plots of the Langmuir, Freundlich, and Temkin isotherm theories f</w:t>
      </w:r>
      <w:r>
        <w:t>or describing the Au(III) adsorption onto the OCBS@Fe</w:t>
      </w:r>
      <w:r>
        <w:rPr>
          <w:vertAlign w:val="subscript"/>
        </w:rPr>
        <w:t>3</w:t>
      </w:r>
      <w:r>
        <w:t>O</w:t>
      </w:r>
      <w:r>
        <w:rPr>
          <w:vertAlign w:val="subscript"/>
        </w:rPr>
        <w:t>4</w:t>
      </w:r>
      <w:r>
        <w:t>@UiO-66-SH adsorbent and Table S2 presents the mentioned model parameters.</w:t>
      </w:r>
    </w:p>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59"/>
      </w:tblGrid>
      <w:tr w:rsidR="00300D94">
        <w:trPr>
          <w:trHeight w:val="3886"/>
        </w:trPr>
        <w:tc>
          <w:tcPr>
            <w:tcW w:w="5211" w:type="dxa"/>
          </w:tcPr>
          <w:p w:rsidR="00300D94" w:rsidRDefault="003F69A8">
            <w:pPr>
              <w:tabs>
                <w:tab w:val="left" w:pos="432"/>
              </w:tabs>
              <w:spacing w:before="120" w:after="120"/>
              <w:jc w:val="both"/>
              <w:rPr>
                <w:b/>
                <w:bCs/>
                <w:kern w:val="0"/>
                <w:sz w:val="20"/>
                <w:szCs w:val="20"/>
              </w:rPr>
            </w:pPr>
            <w:r>
              <w:object w:dxaOrig="5130"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93.55pt" o:ole="">
                  <v:imagedata r:id="rId10" o:title=""/>
                </v:shape>
                <o:OLEObject Type="Embed" ProgID="PBrush" ShapeID="_x0000_i1025" DrawAspect="Content" ObjectID="_1801384382" r:id="rId11"/>
              </w:object>
            </w:r>
            <w:r>
              <w:rPr>
                <w:noProof/>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2717800</wp:posOffset>
                      </wp:positionH>
                      <wp:positionV relativeFrom="paragraph">
                        <wp:posOffset>258445</wp:posOffset>
                      </wp:positionV>
                      <wp:extent cx="9144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rsidR="00300D94" w:rsidRDefault="003F69A8">
                                  <w:pPr>
                                    <w:rPr>
                                      <w:sz w:val="22"/>
                                      <w:szCs w:val="22"/>
                                    </w:rPr>
                                  </w:pPr>
                                  <w:r>
                                    <w:rPr>
                                      <w:sz w:val="22"/>
                                      <w:szCs w:val="22"/>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4pt;margin-top:20.35pt;height:24pt;width:72pt;mso-wrap-style:none;z-index:251662336;mso-width-relative:page;mso-height-relative:page;" fillcolor="#FFFFFF [3201]" filled="t" stroked="t" coordsize="21600,21600" o:gfxdata="UEsDBAoAAAAAAIdO4kAAAAAAAAAAAAAAAAAEAAAAZHJzL1BLAwQUAAAACACHTuJAVuDghtcAAAAJ&#10;AQAADwAAAGRycy9kb3ducmV2LnhtbE2PQU+EMBCF7yb+h2ZMvLktqAtBykY38WK8iCReu3QWUDol&#10;tMviv3c86W1m3sub75W71Y1iwTkMnjQkGwUCqfV2oE5D8/58k4MI0ZA1oyfU8I0BdtXlRWkK68/0&#10;hksdO8EhFAqjoY9xKqQMbY/OhI2fkFg7+tmZyOvcSTubM4e7UaZKbaUzA/GH3ky477H9qk9Ow8vn&#10;bROXp/r4mu6bEbePyUe3JlpfXyXqAUTENf6Z4Ref0aFipoM/kQ1i1HCX5twl8qAyEGy4z1I+HDTk&#10;eQayKuX/BtUPUEsDBBQAAAAIAIdO4kCeQWk2PAIAALYEAAAOAAAAZHJzL2Uyb0RvYy54bWytVE1v&#10;2zAMvQ/YfxB0X+2kadcFdYosRYYBxVogHXZWZDkWoC9ISuzu1+9Jdtq026GH+SBTJP1IPpK+vum1&#10;Igfhg7SmopOzkhJhuK2l2VX05+P60xUlITJTM2WNqOiTCPRm8fHDdefmYmpbq2rhCUBMmHeuom2M&#10;bl4UgbdCs3BmnTAwNtZrFnH1u6L2rAO6VsW0LC+LzvraectFCNDeDkY6Ivr3ANqmkVzcWr7XwsQB&#10;1QvFIkoKrXSBLnK2TSN4vG+aICJRFUWlMZ8IAnmbzmJxzeY7z1wr+ZgCe08Kb2rSTBoEfYa6ZZGR&#10;vZd/QWnJvQ22iWfc6mIoJDOCKiblG242LXMi1wKqg3smPfw/WP7j8OCJrDEJU0oM0+j4o+gj+Wp7&#10;AhX46VyYw23j4Bh76OF71AcoU9l943V6oyACO9h9emY3oXEov0xmsxIWDtN5ObuCDPTi5WPnQ/wm&#10;rCZJqKhH8zKn7HAX4uB6dEmxglWyXkul8sXvtivlyYGh0ev8jOiv3JQhXUUvzy/KjPzKFt4DgXSV&#10;QdaJlKH4JMV+249MbW39BKK8HUYtOL6WKOeOhfjAPGYLDGD74j2ORllkY0eJktb63//SJ3+0HFZK&#10;OsxqRQ1WkxL13WAUMq8Y7XyZXXyeIoI/tWxPLWavVxYcTbDljmcx+Ud1FBtv9S+s6DLFhIkZjsgV&#10;jUdxFYf9wYpzsVxmJwyzY/HObBxP0Kkjxi730TYydy6RNDAzcodxzr0fVy/ty+k9e738bh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bg4IbXAAAACQEAAA8AAAAAAAAAAQAgAAAAIgAAAGRycy9k&#10;b3ducmV2LnhtbFBLAQIUABQAAAAIAIdO4kCeQWk2PAIAALYEAAAOAAAAAAAAAAEAIAAAACYBAABk&#10;cnMvZTJvRG9jLnhtbFBLBQYAAAAABgAGAFkBAADUBQAAAAA=&#10;">
                      <v:fill on="t" focussize="0,0"/>
                      <v:stroke weight="0.5pt" color="#FFFFFF [3212]" joinstyle="round"/>
                      <v:imagedata o:title=""/>
                      <o:lock v:ext="edit" aspectratio="f"/>
                      <v:textbox>
                        <w:txbxContent>
                          <w:p w14:paraId="28FC767D">
                            <w:pPr>
                              <w:rPr>
                                <w:sz w:val="22"/>
                                <w:szCs w:val="22"/>
                              </w:rPr>
                            </w:pPr>
                            <w:r>
                              <w:rPr>
                                <w:sz w:val="22"/>
                                <w:szCs w:val="22"/>
                              </w:rPr>
                              <w:t>(a)</w:t>
                            </w:r>
                          </w:p>
                        </w:txbxContent>
                      </v:textbox>
                    </v:shape>
                  </w:pict>
                </mc:Fallback>
              </mc:AlternateContent>
            </w:r>
          </w:p>
        </w:tc>
        <w:tc>
          <w:tcPr>
            <w:tcW w:w="4959" w:type="dxa"/>
          </w:tcPr>
          <w:p w:rsidR="00300D94" w:rsidRDefault="003F69A8">
            <w:pPr>
              <w:tabs>
                <w:tab w:val="left" w:pos="432"/>
              </w:tabs>
              <w:spacing w:before="120" w:after="120"/>
              <w:jc w:val="both"/>
              <w:rPr>
                <w:b/>
                <w:bCs/>
                <w:kern w:val="0"/>
                <w:sz w:val="20"/>
                <w:szCs w:val="20"/>
              </w:rPr>
            </w:pPr>
            <w:r>
              <w:object w:dxaOrig="4920" w:dyaOrig="3945">
                <v:shape id="_x0000_i1026" type="#_x0000_t75" style="width:245.95pt;height:197pt" o:ole="">
                  <v:imagedata r:id="rId12" o:title=""/>
                </v:shape>
                <o:OLEObject Type="Embed" ProgID="PBrush" ShapeID="_x0000_i1026" DrawAspect="Content" ObjectID="_1801384383" r:id="rId13"/>
              </w:object>
            </w:r>
            <w:r>
              <w:rPr>
                <w:noProof/>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2635885</wp:posOffset>
                      </wp:positionH>
                      <wp:positionV relativeFrom="paragraph">
                        <wp:posOffset>263525</wp:posOffset>
                      </wp:positionV>
                      <wp:extent cx="914400" cy="30480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rsidR="00300D94" w:rsidRDefault="003F69A8">
                                  <w:pPr>
                                    <w:rPr>
                                      <w:sz w:val="22"/>
                                      <w:szCs w:val="22"/>
                                    </w:rPr>
                                  </w:pPr>
                                  <w:r>
                                    <w:rPr>
                                      <w:sz w:val="22"/>
                                      <w:szCs w:val="22"/>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07.55pt;margin-top:20.75pt;height:24pt;width:72pt;mso-wrap-style:none;z-index:251663360;mso-width-relative:page;mso-height-relative:page;" fillcolor="#FFFFFF [3201]" filled="t" stroked="t" coordsize="21600,21600" o:gfxdata="UEsDBAoAAAAAAIdO4kAAAAAAAAAAAAAAAAAEAAAAZHJzL1BLAwQUAAAACACHTuJAnGVot9cAAAAJ&#10;AQAADwAAAGRycy9kb3ducmV2LnhtbE2PTU/DMAyG70j8h8hI3FiaQaetazrBJC6IC6US16zx2o7G&#10;qZqsK/8ewwVu/nj0+nG+m10vJhxD50mDWiQgkGpvO2o0VO/Pd2sQIRqypveEGr4wwK64vspNZv2F&#10;3nAqYyM4hEJmNLQxDpmUoW7RmbDwAxLvjn50JnI7NtKO5sLhrpfLJFlJZzriC60ZcN9i/VmenYaX&#10;030Vp6fy+LrcVz2uHtVHMyutb29UsgURcY5/MPzoszoU7HTwZ7JB9BoeVKoY/S1AMJCmGx4cNKw3&#10;Kcgil/8/KL4BUEsDBBQAAAAIAIdO4kA6IZIPOwIAALYEAAAOAAAAZHJzL2Uyb0RvYy54bWytVE1v&#10;2zAMvQ/YfxB0X+20adcFdYqsRYYBxVqgHXZWZDkWIIuCpMTufv2eZKdf26GH+SBTJP1IPpK+uBw6&#10;w/bKB0224rOjkjNlJdXabiv+82H96ZyzEIWthSGrKv6oAr9cfvxw0buFOqaWTK08A4gNi95VvI3R&#10;LYoiyFZ1IhyRUxbGhnwnIq5+W9Re9EDvTHFclmdFT752nqQKAdrr0cgnRP8eQGoaLdU1yV2nbBxR&#10;vTIioqTQahf4MmfbNErG26YJKjJTcVQa84kgkDfpLJYXYrH1wrVaTimI96TwpqZOaIugT1DXIgq2&#10;8/ovqE5LT4GaeCSpK8ZCMiOoYla+4ea+FU7lWkB1cE+kh/8HK3/s7zzTNSZhxpkVHTr+oIbIvtLA&#10;oAI/vQsLuN07OMYBevge9AHKVPbQ+C69URCDHew+PrGb0CSUX2bzeQmLhOmknJ9DBnrx/LHzIX5T&#10;1LEkVNyjeZlTsb8JcXQ9uKRYgYyu19qYfPHbzZXxbC/Q6HV+JvRXbsayvuJnJ6dlRn5lC++BQLrG&#10;IutEylh8kuKwGSamNlQ/gihP46gFJ9ca5dyIEO+Ex2yBAWxfvMXRGEI2NEmcteR//0uf/NFyWDnr&#10;MasVt1hNzsx3i1HIvGK082V++vkYEfxLy+alxe66KwJH6DZyy2Lyj+YgNp66X1jRVYoJk7ASkSse&#10;D+JVHPcHKy7VapWdMMxOxBt772SCTh2xtNpFanTuXCJpZGbiDuOcez+tXtqXl/fs9fy7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GVot9cAAAAJAQAADwAAAAAAAAABACAAAAAiAAAAZHJzL2Rv&#10;d25yZXYueG1sUEsBAhQAFAAAAAgAh07iQDohkg87AgAAtgQAAA4AAAAAAAAAAQAgAAAAJgEAAGRy&#10;cy9lMm9Eb2MueG1sUEsFBgAAAAAGAAYAWQEAANMFAAAAAA==&#10;">
                      <v:fill on="t" focussize="0,0"/>
                      <v:stroke weight="0.5pt" color="#FFFFFF [3212]" joinstyle="round"/>
                      <v:imagedata o:title=""/>
                      <o:lock v:ext="edit" aspectratio="f"/>
                      <v:textbox>
                        <w:txbxContent>
                          <w:p w14:paraId="3E1E914A">
                            <w:pPr>
                              <w:rPr>
                                <w:sz w:val="22"/>
                                <w:szCs w:val="22"/>
                              </w:rPr>
                            </w:pPr>
                            <w:r>
                              <w:rPr>
                                <w:sz w:val="22"/>
                                <w:szCs w:val="22"/>
                              </w:rPr>
                              <w:t>(b)</w:t>
                            </w:r>
                          </w:p>
                        </w:txbxContent>
                      </v:textbox>
                    </v:shape>
                  </w:pict>
                </mc:Fallback>
              </mc:AlternateContent>
            </w:r>
          </w:p>
        </w:tc>
      </w:tr>
      <w:tr w:rsidR="00300D94">
        <w:trPr>
          <w:trHeight w:val="528"/>
        </w:trPr>
        <w:tc>
          <w:tcPr>
            <w:tcW w:w="10170" w:type="dxa"/>
            <w:gridSpan w:val="2"/>
          </w:tcPr>
          <w:p w:rsidR="00300D94" w:rsidRDefault="003F69A8">
            <w:pPr>
              <w:tabs>
                <w:tab w:val="left" w:pos="432"/>
              </w:tabs>
              <w:spacing w:before="120" w:after="120"/>
              <w:jc w:val="center"/>
              <w:rPr>
                <w:b/>
                <w:bCs/>
                <w:kern w:val="0"/>
                <w:sz w:val="20"/>
                <w:szCs w:val="20"/>
              </w:rPr>
            </w:pPr>
            <w:r>
              <w:rPr>
                <w:noProof/>
                <w:kern w:val="0"/>
                <w:sz w:val="20"/>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2226945</wp:posOffset>
                      </wp:positionH>
                      <wp:positionV relativeFrom="paragraph">
                        <wp:posOffset>176530</wp:posOffset>
                      </wp:positionV>
                      <wp:extent cx="9144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rsidR="00300D94" w:rsidRDefault="003F69A8">
                                  <w:pPr>
                                    <w:rPr>
                                      <w:sz w:val="22"/>
                                      <w:szCs w:val="22"/>
                                    </w:rPr>
                                  </w:pPr>
                                  <w:r>
                                    <w:rPr>
                                      <w:sz w:val="22"/>
                                      <w:szCs w:val="22"/>
                                    </w:rPr>
                                    <w:t>(c)</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75.35pt;margin-top:13.9pt;height:24pt;width:72pt;mso-wrap-style:none;z-index:251664384;mso-width-relative:page;mso-height-relative:page;" fillcolor="#FFFFFF [3201]" filled="t" stroked="t" coordsize="21600,21600" o:gfxdata="UEsDBAoAAAAAAIdO4kAAAAAAAAAAAAAAAAAEAAAAZHJzL1BLAwQUAAAACACHTuJA/bBQw9gAAAAJ&#10;AQAADwAAAGRycy9kb3ducmV2LnhtbE2Py07DMBBF90j8gzVI7Kid9JE2jVNBJTaIDSESWzeeJgE/&#10;othNw98zrGA5M0d3zi0OszVswjH03klIFgIYusbr3rUS6vfnhy2wEJXTyniHEr4xwKG8vSlUrv3V&#10;veFUxZZRiAu5ktDFOOSch6ZDq8LCD+jodvajVZHGseV6VFcKt4anQmy4Vb2jD50a8Nhh81VdrISX&#10;z2Udp6fq/Joea4Obx+SjnRMp7+8SsQcWcY5/MPzqkzqU5HTyF6cDMxKWa5ERKiHNqAIBq92KFicJ&#10;2XoLvCz4/wblD1BLAwQUAAAACACHTuJApv7EGDsCAAC2BAAADgAAAGRycy9lMm9Eb2MueG1srVRN&#10;b9swDL0P2H8QdF/ttGnXBXWKrEWGAcVaoB12VmQ5FiCLgqTE7n79nmSnX9uhh/kgUyT9SD6Svrgc&#10;OsP2ygdNtuKzo5IzZSXV2m4r/vNh/emcsxCFrYUhqyr+qAK/XH78cNG7hTqmlkytPAOIDYveVbyN&#10;0S2KIshWdSIckVMWxoZ8JyKuflvUXvRA70xxXJZnRU++dp6kCgHa69HIJ0T/HkBqGi3VNcldp2wc&#10;Ub0yIqKk0GoX+DJn2zRKxtumCSoyU3FUGvOJIJA36SyWF2Kx9cK1Wk4piPek8KamTmiLoE9Q1yIK&#10;tvP6L6hOS0+BmngkqSvGQjIjqGJWvuHmvhVO5VpAdXBPpIf/Byt/7O880zUmAZRY0aHjD2qI7CsN&#10;DCrw07uwgNu9g2McoIfvQR+gTGUPje/SGwUx2AH1+MRuQpNQfpnN5yUsEqaTcn4OGejF88fOh/hN&#10;UceSUHGP5mVOxf4mxNH14JJiBTK6Xmtj8sVvN1fGs71Ao9f5mdBfuRnL+oqfnZyWGfmVLbwHAuka&#10;i6wTKWPxSYrDZpiY2lD9CKI8jaMWnFxrlHMjQrwTHrMFBrB98RZHYwjZ0CRx1pL//S998kfLYeWs&#10;x6xW3GI1OTPfLUYh84rRzpf56edjRPAvLZuXFrvrrggczbDlTmYx+UdzEBtP3S+s6CrFhElYicgV&#10;jwfxKo77gxWXarXKThhmJ+KNvXcyQaeOWFrtIjU6dy6RNDIzcYdxzr2fVi/ty8t79nr+3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2wUMPYAAAACQEAAA8AAAAAAAAAAQAgAAAAIgAAAGRycy9k&#10;b3ducmV2LnhtbFBLAQIUABQAAAAIAIdO4kCm/sQYOwIAALYEAAAOAAAAAAAAAAEAIAAAACcBAABk&#10;cnMvZTJvRG9jLnhtbFBLBQYAAAAABgAGAFkBAADUBQAAAAA=&#10;">
                      <v:fill on="t" focussize="0,0"/>
                      <v:stroke weight="0.5pt" color="#FFFFFF [3212]" joinstyle="round"/>
                      <v:imagedata o:title=""/>
                      <o:lock v:ext="edit" aspectratio="f"/>
                      <v:textbox>
                        <w:txbxContent>
                          <w:p w14:paraId="04D2A78A">
                            <w:pPr>
                              <w:rPr>
                                <w:sz w:val="22"/>
                                <w:szCs w:val="22"/>
                              </w:rPr>
                            </w:pPr>
                            <w:r>
                              <w:rPr>
                                <w:sz w:val="22"/>
                                <w:szCs w:val="22"/>
                              </w:rPr>
                              <w:t>(c)</w:t>
                            </w:r>
                          </w:p>
                        </w:txbxContent>
                      </v:textbox>
                    </v:shape>
                  </w:pict>
                </mc:Fallback>
              </mc:AlternateContent>
            </w:r>
            <w:r>
              <w:object w:dxaOrig="5040" w:dyaOrig="3720">
                <v:shape id="_x0000_i1027" type="#_x0000_t75" style="width:252.3pt;height:186.05pt" o:ole="">
                  <v:imagedata r:id="rId14" o:title=""/>
                </v:shape>
                <o:OLEObject Type="Embed" ProgID="PBrush" ShapeID="_x0000_i1027" DrawAspect="Content" ObjectID="_1801384384" r:id="rId15"/>
              </w:object>
            </w:r>
          </w:p>
        </w:tc>
      </w:tr>
    </w:tbl>
    <w:p w:rsidR="00300D94" w:rsidRDefault="003F69A8">
      <w:pPr>
        <w:tabs>
          <w:tab w:val="left" w:pos="432"/>
        </w:tabs>
        <w:spacing w:before="120" w:after="120"/>
        <w:jc w:val="both"/>
      </w:pPr>
      <w:r>
        <w:rPr>
          <w:b/>
          <w:bCs/>
        </w:rPr>
        <w:t>Fig. S2</w:t>
      </w:r>
      <w:r>
        <w:t xml:space="preserve"> Linear plots of isotherm models of (a) Langmuir (b) Freundlich, and (c) Temkin for Au(III) adsorption onto OCBS@Fe</w:t>
      </w:r>
      <w:r>
        <w:rPr>
          <w:vertAlign w:val="subscript"/>
        </w:rPr>
        <w:t>3</w:t>
      </w:r>
      <w:r>
        <w:t>O</w:t>
      </w:r>
      <w:r>
        <w:rPr>
          <w:vertAlign w:val="subscript"/>
        </w:rPr>
        <w:t>4</w:t>
      </w:r>
      <w:r>
        <w:t xml:space="preserve">@UiO-66-SH adsorbent.  </w:t>
      </w:r>
    </w:p>
    <w:p w:rsidR="00300D94" w:rsidRDefault="00300D94">
      <w:pPr>
        <w:tabs>
          <w:tab w:val="left" w:pos="432"/>
        </w:tabs>
        <w:spacing w:before="120" w:after="120"/>
        <w:jc w:val="both"/>
        <w:rPr>
          <w:b/>
          <w:bCs/>
        </w:rPr>
      </w:pPr>
    </w:p>
    <w:p w:rsidR="00300D94" w:rsidRDefault="003F69A8">
      <w:pPr>
        <w:tabs>
          <w:tab w:val="left" w:pos="432"/>
        </w:tabs>
        <w:spacing w:before="120" w:after="120"/>
        <w:jc w:val="both"/>
        <w:rPr>
          <w:rtl/>
        </w:rPr>
      </w:pPr>
      <w:r>
        <w:rPr>
          <w:b/>
          <w:bCs/>
        </w:rPr>
        <w:t>Table S2</w:t>
      </w:r>
      <w:r>
        <w:t xml:space="preserve"> The parameters of the Langmuir, Freundlich, and Temkin isotherms for the Au(III) adsorption onto the OCB</w:t>
      </w:r>
      <w:r>
        <w:t>S@Fe</w:t>
      </w:r>
      <w:r>
        <w:rPr>
          <w:vertAlign w:val="subscript"/>
        </w:rPr>
        <w:t>3</w:t>
      </w:r>
      <w:r>
        <w:t>O</w:t>
      </w:r>
      <w:r>
        <w:rPr>
          <w:vertAlign w:val="subscript"/>
        </w:rPr>
        <w:t>4</w:t>
      </w:r>
      <w:r>
        <w:t xml:space="preserve">@UiO-66-SH adsorbent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435"/>
        <w:gridCol w:w="1620"/>
      </w:tblGrid>
      <w:tr w:rsidR="00300D94">
        <w:trPr>
          <w:jc w:val="center"/>
        </w:trPr>
        <w:tc>
          <w:tcPr>
            <w:tcW w:w="1705" w:type="dxa"/>
            <w:tcBorders>
              <w:top w:val="single" w:sz="4" w:space="0" w:color="auto"/>
              <w:bottom w:val="single" w:sz="4" w:space="0" w:color="auto"/>
            </w:tcBorders>
            <w:vAlign w:val="center"/>
          </w:tcPr>
          <w:p w:rsidR="00300D94" w:rsidRDefault="003F69A8">
            <w:pPr>
              <w:tabs>
                <w:tab w:val="left" w:pos="432"/>
              </w:tabs>
              <w:spacing w:after="120" w:line="240" w:lineRule="auto"/>
              <w:jc w:val="center"/>
              <w:rPr>
                <w:b/>
                <w:bCs/>
                <w:kern w:val="0"/>
                <w:sz w:val="20"/>
                <w:szCs w:val="20"/>
              </w:rPr>
            </w:pPr>
            <w:r>
              <w:rPr>
                <w:b/>
                <w:bCs/>
                <w:kern w:val="0"/>
                <w:sz w:val="20"/>
                <w:szCs w:val="20"/>
              </w:rPr>
              <w:t>Model</w:t>
            </w:r>
          </w:p>
        </w:tc>
        <w:tc>
          <w:tcPr>
            <w:tcW w:w="2435" w:type="dxa"/>
            <w:tcBorders>
              <w:top w:val="single" w:sz="4" w:space="0" w:color="auto"/>
              <w:bottom w:val="single" w:sz="4" w:space="0" w:color="auto"/>
            </w:tcBorders>
            <w:vAlign w:val="center"/>
          </w:tcPr>
          <w:p w:rsidR="00300D94" w:rsidRDefault="003F69A8">
            <w:pPr>
              <w:tabs>
                <w:tab w:val="left" w:pos="432"/>
              </w:tabs>
              <w:spacing w:after="120" w:line="240" w:lineRule="auto"/>
              <w:jc w:val="center"/>
              <w:rPr>
                <w:b/>
                <w:bCs/>
                <w:kern w:val="0"/>
                <w:sz w:val="20"/>
                <w:szCs w:val="20"/>
              </w:rPr>
            </w:pPr>
            <w:r>
              <w:rPr>
                <w:b/>
                <w:bCs/>
                <w:kern w:val="0"/>
                <w:sz w:val="20"/>
                <w:szCs w:val="20"/>
              </w:rPr>
              <w:t>Parameter</w:t>
            </w:r>
          </w:p>
        </w:tc>
        <w:tc>
          <w:tcPr>
            <w:tcW w:w="1620" w:type="dxa"/>
            <w:tcBorders>
              <w:top w:val="single" w:sz="4" w:space="0" w:color="auto"/>
              <w:bottom w:val="single" w:sz="4" w:space="0" w:color="auto"/>
            </w:tcBorders>
            <w:vAlign w:val="center"/>
          </w:tcPr>
          <w:p w:rsidR="00300D94" w:rsidRDefault="003F69A8">
            <w:pPr>
              <w:tabs>
                <w:tab w:val="left" w:pos="432"/>
              </w:tabs>
              <w:spacing w:after="120" w:line="240" w:lineRule="auto"/>
              <w:jc w:val="center"/>
              <w:rPr>
                <w:b/>
                <w:bCs/>
                <w:kern w:val="0"/>
                <w:sz w:val="20"/>
                <w:szCs w:val="20"/>
              </w:rPr>
            </w:pPr>
            <w:r>
              <w:rPr>
                <w:b/>
                <w:bCs/>
                <w:kern w:val="0"/>
                <w:sz w:val="20"/>
                <w:szCs w:val="20"/>
              </w:rPr>
              <w:t>Value</w:t>
            </w:r>
          </w:p>
        </w:tc>
      </w:tr>
      <w:tr w:rsidR="00300D94">
        <w:trPr>
          <w:trHeight w:val="152"/>
          <w:jc w:val="center"/>
        </w:trPr>
        <w:tc>
          <w:tcPr>
            <w:tcW w:w="1705" w:type="dxa"/>
            <w:vMerge w:val="restart"/>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Langmuir</w:t>
            </w:r>
          </w:p>
        </w:tc>
        <w:tc>
          <w:tcPr>
            <w:tcW w:w="2435" w:type="dxa"/>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i/>
                <w:iCs/>
                <w:kern w:val="0"/>
                <w:sz w:val="20"/>
                <w:szCs w:val="20"/>
              </w:rPr>
              <w:t>q</w:t>
            </w:r>
            <w:r>
              <w:rPr>
                <w:kern w:val="0"/>
                <w:sz w:val="20"/>
                <w:szCs w:val="20"/>
                <w:vertAlign w:val="subscript"/>
              </w:rPr>
              <w:t>m</w:t>
            </w:r>
            <w:r>
              <w:rPr>
                <w:kern w:val="0"/>
                <w:sz w:val="20"/>
                <w:szCs w:val="20"/>
              </w:rPr>
              <w:t xml:space="preserve"> (mg.g)</w:t>
            </w:r>
          </w:p>
        </w:tc>
        <w:tc>
          <w:tcPr>
            <w:tcW w:w="1620" w:type="dxa"/>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rFonts w:eastAsia="Times New Roman" w:cs="Times New Roman"/>
                <w:kern w:val="0"/>
                <w:sz w:val="20"/>
                <w:szCs w:val="24"/>
              </w:rPr>
              <w:t>1587.30</w:t>
            </w:r>
          </w:p>
        </w:tc>
      </w:tr>
      <w:tr w:rsidR="00300D94">
        <w:trPr>
          <w:trHeight w:val="152"/>
          <w:jc w:val="center"/>
        </w:trPr>
        <w:tc>
          <w:tcPr>
            <w:tcW w:w="1705" w:type="dxa"/>
            <w:vMerge/>
            <w:vAlign w:val="center"/>
          </w:tcPr>
          <w:p w:rsidR="00300D94" w:rsidRDefault="00300D94">
            <w:pPr>
              <w:tabs>
                <w:tab w:val="left" w:pos="432"/>
              </w:tabs>
              <w:spacing w:after="120" w:line="240" w:lineRule="auto"/>
              <w:jc w:val="center"/>
              <w:rPr>
                <w:kern w:val="0"/>
                <w:sz w:val="20"/>
                <w:szCs w:val="20"/>
              </w:rPr>
            </w:pPr>
          </w:p>
        </w:tc>
        <w:tc>
          <w:tcPr>
            <w:tcW w:w="2435" w:type="dxa"/>
            <w:vAlign w:val="center"/>
          </w:tcPr>
          <w:p w:rsidR="00300D94" w:rsidRDefault="003F69A8">
            <w:pPr>
              <w:tabs>
                <w:tab w:val="left" w:pos="432"/>
              </w:tabs>
              <w:spacing w:after="120" w:line="240" w:lineRule="auto"/>
              <w:jc w:val="center"/>
              <w:rPr>
                <w:kern w:val="0"/>
                <w:sz w:val="20"/>
                <w:szCs w:val="20"/>
              </w:rPr>
            </w:pPr>
            <w:r>
              <w:rPr>
                <w:i/>
                <w:iCs/>
                <w:kern w:val="0"/>
                <w:sz w:val="20"/>
                <w:szCs w:val="20"/>
              </w:rPr>
              <w:t>K</w:t>
            </w:r>
            <w:r>
              <w:rPr>
                <w:kern w:val="0"/>
                <w:sz w:val="20"/>
                <w:szCs w:val="20"/>
                <w:vertAlign w:val="subscript"/>
              </w:rPr>
              <w:t>L</w:t>
            </w:r>
            <w:r>
              <w:rPr>
                <w:kern w:val="0"/>
                <w:sz w:val="20"/>
                <w:szCs w:val="20"/>
              </w:rPr>
              <w:t xml:space="preserve"> (L/mg)</w:t>
            </w:r>
          </w:p>
        </w:tc>
        <w:tc>
          <w:tcPr>
            <w:tcW w:w="1620" w:type="dxa"/>
            <w:vAlign w:val="center"/>
          </w:tcPr>
          <w:p w:rsidR="00300D94" w:rsidRDefault="003F69A8">
            <w:pPr>
              <w:tabs>
                <w:tab w:val="left" w:pos="432"/>
              </w:tabs>
              <w:spacing w:after="120" w:line="240" w:lineRule="auto"/>
              <w:jc w:val="center"/>
              <w:rPr>
                <w:kern w:val="0"/>
                <w:sz w:val="20"/>
                <w:szCs w:val="20"/>
              </w:rPr>
            </w:pPr>
            <w:r>
              <w:rPr>
                <w:kern w:val="0"/>
                <w:sz w:val="20"/>
                <w:szCs w:val="20"/>
              </w:rPr>
              <w:t>0.0252</w:t>
            </w:r>
          </w:p>
        </w:tc>
      </w:tr>
      <w:tr w:rsidR="00300D94">
        <w:trPr>
          <w:trHeight w:val="152"/>
          <w:jc w:val="center"/>
        </w:trPr>
        <w:tc>
          <w:tcPr>
            <w:tcW w:w="1705" w:type="dxa"/>
            <w:vMerge/>
            <w:tcBorders>
              <w:bottom w:val="single" w:sz="4" w:space="0" w:color="auto"/>
            </w:tcBorders>
            <w:vAlign w:val="center"/>
          </w:tcPr>
          <w:p w:rsidR="00300D94" w:rsidRDefault="00300D94">
            <w:pPr>
              <w:tabs>
                <w:tab w:val="left" w:pos="432"/>
              </w:tabs>
              <w:spacing w:after="120" w:line="240" w:lineRule="auto"/>
              <w:jc w:val="center"/>
              <w:rPr>
                <w:kern w:val="0"/>
                <w:sz w:val="20"/>
                <w:szCs w:val="20"/>
              </w:rPr>
            </w:pPr>
          </w:p>
        </w:tc>
        <w:tc>
          <w:tcPr>
            <w:tcW w:w="2435"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R</w:t>
            </w:r>
            <w:r>
              <w:rPr>
                <w:kern w:val="0"/>
                <w:sz w:val="20"/>
                <w:szCs w:val="20"/>
                <w:vertAlign w:val="superscript"/>
              </w:rPr>
              <w:t>2</w:t>
            </w:r>
          </w:p>
        </w:tc>
        <w:tc>
          <w:tcPr>
            <w:tcW w:w="1620"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0.9959</w:t>
            </w:r>
          </w:p>
        </w:tc>
      </w:tr>
      <w:tr w:rsidR="00300D94">
        <w:trPr>
          <w:trHeight w:val="152"/>
          <w:jc w:val="center"/>
        </w:trPr>
        <w:tc>
          <w:tcPr>
            <w:tcW w:w="1705" w:type="dxa"/>
            <w:vMerge w:val="restart"/>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Freundlich</w:t>
            </w:r>
          </w:p>
        </w:tc>
        <w:tc>
          <w:tcPr>
            <w:tcW w:w="2435" w:type="dxa"/>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i/>
                <w:iCs/>
                <w:kern w:val="0"/>
                <w:sz w:val="20"/>
                <w:szCs w:val="20"/>
              </w:rPr>
              <w:t>K</w:t>
            </w:r>
            <w:r>
              <w:rPr>
                <w:kern w:val="0"/>
                <w:sz w:val="20"/>
                <w:szCs w:val="20"/>
                <w:vertAlign w:val="subscript"/>
              </w:rPr>
              <w:t>F</w:t>
            </w:r>
            <w:r>
              <w:rPr>
                <w:kern w:val="0"/>
                <w:sz w:val="20"/>
                <w:szCs w:val="20"/>
              </w:rPr>
              <w:t xml:space="preserve"> (mg/g</w:t>
            </w:r>
            <w:r>
              <w:rPr>
                <w:rFonts w:asciiTheme="majorBidi" w:eastAsia="Times New Roman" w:hAnsiTheme="majorBidi" w:cstheme="majorBidi"/>
                <w:kern w:val="0"/>
                <w:sz w:val="20"/>
                <w:szCs w:val="24"/>
              </w:rPr>
              <w:t>.</w:t>
            </w:r>
            <w:r>
              <w:rPr>
                <w:kern w:val="0"/>
                <w:sz w:val="20"/>
                <w:szCs w:val="20"/>
              </w:rPr>
              <w:t xml:space="preserve"> L</w:t>
            </w:r>
            <w:r>
              <w:rPr>
                <w:kern w:val="0"/>
                <w:sz w:val="20"/>
                <w:szCs w:val="20"/>
                <w:vertAlign w:val="superscript"/>
              </w:rPr>
              <w:t>1/n</w:t>
            </w:r>
            <w:r>
              <w:rPr>
                <w:kern w:val="0"/>
                <w:sz w:val="20"/>
                <w:szCs w:val="20"/>
              </w:rPr>
              <w:t xml:space="preserve"> mg</w:t>
            </w:r>
            <w:r>
              <w:rPr>
                <w:kern w:val="0"/>
                <w:sz w:val="20"/>
                <w:szCs w:val="20"/>
                <w:vertAlign w:val="superscript"/>
              </w:rPr>
              <w:t>-1/n</w:t>
            </w:r>
            <w:r>
              <w:rPr>
                <w:rFonts w:eastAsia="Times New Roman" w:cs="Times New Roman"/>
                <w:kern w:val="0"/>
                <w:sz w:val="20"/>
                <w:szCs w:val="24"/>
              </w:rPr>
              <w:t>)</w:t>
            </w:r>
          </w:p>
        </w:tc>
        <w:tc>
          <w:tcPr>
            <w:tcW w:w="1620" w:type="dxa"/>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164.21</w:t>
            </w:r>
          </w:p>
        </w:tc>
      </w:tr>
      <w:tr w:rsidR="00300D94">
        <w:trPr>
          <w:trHeight w:val="152"/>
          <w:jc w:val="center"/>
        </w:trPr>
        <w:tc>
          <w:tcPr>
            <w:tcW w:w="1705" w:type="dxa"/>
            <w:vMerge/>
            <w:vAlign w:val="center"/>
          </w:tcPr>
          <w:p w:rsidR="00300D94" w:rsidRDefault="00300D94">
            <w:pPr>
              <w:tabs>
                <w:tab w:val="left" w:pos="432"/>
              </w:tabs>
              <w:spacing w:after="120" w:line="240" w:lineRule="auto"/>
              <w:jc w:val="center"/>
              <w:rPr>
                <w:kern w:val="0"/>
                <w:sz w:val="20"/>
                <w:szCs w:val="20"/>
              </w:rPr>
            </w:pPr>
          </w:p>
        </w:tc>
        <w:tc>
          <w:tcPr>
            <w:tcW w:w="2435" w:type="dxa"/>
            <w:vAlign w:val="center"/>
          </w:tcPr>
          <w:p w:rsidR="00300D94" w:rsidRDefault="003F69A8">
            <w:pPr>
              <w:tabs>
                <w:tab w:val="left" w:pos="432"/>
              </w:tabs>
              <w:spacing w:after="120" w:line="240" w:lineRule="auto"/>
              <w:jc w:val="center"/>
              <w:rPr>
                <w:i/>
                <w:iCs/>
                <w:kern w:val="0"/>
                <w:sz w:val="20"/>
                <w:szCs w:val="20"/>
              </w:rPr>
            </w:pPr>
            <w:r>
              <w:rPr>
                <w:i/>
                <w:iCs/>
                <w:kern w:val="0"/>
                <w:sz w:val="20"/>
                <w:szCs w:val="20"/>
              </w:rPr>
              <w:t>n</w:t>
            </w:r>
          </w:p>
        </w:tc>
        <w:tc>
          <w:tcPr>
            <w:tcW w:w="1620" w:type="dxa"/>
            <w:vAlign w:val="center"/>
          </w:tcPr>
          <w:p w:rsidR="00300D94" w:rsidRDefault="003F69A8">
            <w:pPr>
              <w:tabs>
                <w:tab w:val="left" w:pos="432"/>
              </w:tabs>
              <w:spacing w:after="120" w:line="240" w:lineRule="auto"/>
              <w:jc w:val="center"/>
              <w:rPr>
                <w:kern w:val="0"/>
                <w:sz w:val="20"/>
                <w:szCs w:val="20"/>
              </w:rPr>
            </w:pPr>
            <w:r>
              <w:rPr>
                <w:kern w:val="0"/>
                <w:sz w:val="20"/>
                <w:szCs w:val="20"/>
              </w:rPr>
              <w:t>5.534</w:t>
            </w:r>
          </w:p>
        </w:tc>
      </w:tr>
      <w:tr w:rsidR="00300D94">
        <w:trPr>
          <w:trHeight w:val="152"/>
          <w:jc w:val="center"/>
        </w:trPr>
        <w:tc>
          <w:tcPr>
            <w:tcW w:w="1705" w:type="dxa"/>
            <w:vMerge/>
            <w:tcBorders>
              <w:bottom w:val="single" w:sz="4" w:space="0" w:color="auto"/>
            </w:tcBorders>
            <w:vAlign w:val="center"/>
          </w:tcPr>
          <w:p w:rsidR="00300D94" w:rsidRDefault="00300D94">
            <w:pPr>
              <w:tabs>
                <w:tab w:val="left" w:pos="432"/>
              </w:tabs>
              <w:spacing w:after="120" w:line="240" w:lineRule="auto"/>
              <w:jc w:val="center"/>
              <w:rPr>
                <w:kern w:val="0"/>
                <w:sz w:val="20"/>
                <w:szCs w:val="20"/>
              </w:rPr>
            </w:pPr>
          </w:p>
        </w:tc>
        <w:tc>
          <w:tcPr>
            <w:tcW w:w="2435"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R</w:t>
            </w:r>
            <w:r>
              <w:rPr>
                <w:kern w:val="0"/>
                <w:sz w:val="20"/>
                <w:szCs w:val="20"/>
                <w:vertAlign w:val="superscript"/>
              </w:rPr>
              <w:t>2</w:t>
            </w:r>
          </w:p>
        </w:tc>
        <w:tc>
          <w:tcPr>
            <w:tcW w:w="1620"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0.9064</w:t>
            </w:r>
          </w:p>
        </w:tc>
      </w:tr>
      <w:tr w:rsidR="00300D94">
        <w:trPr>
          <w:trHeight w:val="152"/>
          <w:jc w:val="center"/>
        </w:trPr>
        <w:tc>
          <w:tcPr>
            <w:tcW w:w="1705" w:type="dxa"/>
            <w:vMerge w:val="restart"/>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 xml:space="preserve">Temkin  </w:t>
            </w:r>
          </w:p>
        </w:tc>
        <w:tc>
          <w:tcPr>
            <w:tcW w:w="2435" w:type="dxa"/>
            <w:tcBorders>
              <w:top w:val="single" w:sz="4" w:space="0" w:color="auto"/>
            </w:tcBorders>
            <w:vAlign w:val="center"/>
          </w:tcPr>
          <w:p w:rsidR="00300D94" w:rsidRDefault="003F69A8">
            <w:pPr>
              <w:tabs>
                <w:tab w:val="left" w:pos="432"/>
              </w:tabs>
              <w:spacing w:after="120" w:line="240" w:lineRule="auto"/>
              <w:jc w:val="center"/>
              <w:rPr>
                <w:kern w:val="0"/>
                <w:sz w:val="20"/>
                <w:szCs w:val="20"/>
              </w:rPr>
            </w:pPr>
            <w:r>
              <w:rPr>
                <w:rFonts w:eastAsiaTheme="minorEastAsia"/>
                <w:i/>
                <w:iCs/>
                <w:kern w:val="0"/>
                <w:sz w:val="20"/>
                <w:szCs w:val="20"/>
              </w:rPr>
              <w:t>A</w:t>
            </w:r>
            <w:r>
              <w:rPr>
                <w:rFonts w:eastAsiaTheme="minorEastAsia" w:hint="cs"/>
                <w:i/>
                <w:iCs/>
                <w:kern w:val="0"/>
                <w:sz w:val="20"/>
                <w:szCs w:val="20"/>
                <w:rtl/>
              </w:rPr>
              <w:t xml:space="preserve"> </w:t>
            </w:r>
            <w:r>
              <w:rPr>
                <w:rFonts w:eastAsiaTheme="minorEastAsia"/>
                <w:kern w:val="0"/>
                <w:sz w:val="20"/>
                <w:szCs w:val="20"/>
              </w:rPr>
              <w:t xml:space="preserve"> (J/mol)</w:t>
            </w:r>
          </w:p>
        </w:tc>
        <w:tc>
          <w:tcPr>
            <w:tcW w:w="1620" w:type="dxa"/>
            <w:tcBorders>
              <w:top w:val="single" w:sz="4" w:space="0" w:color="auto"/>
            </w:tcBorders>
            <w:vAlign w:val="center"/>
          </w:tcPr>
          <w:p w:rsidR="00300D94" w:rsidRDefault="003F69A8">
            <w:pPr>
              <w:tabs>
                <w:tab w:val="left" w:pos="432"/>
              </w:tabs>
              <w:spacing w:after="120" w:line="240" w:lineRule="auto"/>
              <w:jc w:val="center"/>
              <w:rPr>
                <w:rFonts w:eastAsiaTheme="minorEastAsia"/>
                <w:kern w:val="0"/>
                <w:sz w:val="20"/>
                <w:szCs w:val="20"/>
              </w:rPr>
            </w:pPr>
            <w:r>
              <w:rPr>
                <w:kern w:val="0"/>
                <w:sz w:val="20"/>
                <w:szCs w:val="20"/>
              </w:rPr>
              <w:t>0.3760</w:t>
            </w:r>
          </w:p>
        </w:tc>
      </w:tr>
      <w:tr w:rsidR="00300D94">
        <w:trPr>
          <w:trHeight w:val="152"/>
          <w:jc w:val="center"/>
        </w:trPr>
        <w:tc>
          <w:tcPr>
            <w:tcW w:w="1705" w:type="dxa"/>
            <w:vMerge/>
            <w:vAlign w:val="center"/>
          </w:tcPr>
          <w:p w:rsidR="00300D94" w:rsidRDefault="00300D94">
            <w:pPr>
              <w:tabs>
                <w:tab w:val="left" w:pos="432"/>
              </w:tabs>
              <w:spacing w:after="120" w:line="240" w:lineRule="auto"/>
              <w:jc w:val="center"/>
              <w:rPr>
                <w:kern w:val="0"/>
                <w:sz w:val="20"/>
                <w:szCs w:val="20"/>
              </w:rPr>
            </w:pPr>
          </w:p>
        </w:tc>
        <w:tc>
          <w:tcPr>
            <w:tcW w:w="2435" w:type="dxa"/>
            <w:vAlign w:val="center"/>
          </w:tcPr>
          <w:p w:rsidR="00300D94" w:rsidRDefault="003F69A8">
            <w:pPr>
              <w:tabs>
                <w:tab w:val="left" w:pos="432"/>
              </w:tabs>
              <w:spacing w:after="120" w:line="240" w:lineRule="auto"/>
              <w:jc w:val="center"/>
              <w:rPr>
                <w:kern w:val="0"/>
                <w:sz w:val="20"/>
                <w:szCs w:val="20"/>
              </w:rPr>
            </w:pPr>
            <w:r>
              <w:rPr>
                <w:i/>
                <w:iCs/>
                <w:kern w:val="0"/>
                <w:sz w:val="20"/>
                <w:szCs w:val="20"/>
              </w:rPr>
              <w:t>B</w:t>
            </w:r>
            <w:r>
              <w:rPr>
                <w:kern w:val="0"/>
                <w:sz w:val="20"/>
                <w:szCs w:val="20"/>
              </w:rPr>
              <w:t xml:space="preserve"> (L/mg)</w:t>
            </w:r>
          </w:p>
        </w:tc>
        <w:tc>
          <w:tcPr>
            <w:tcW w:w="1620" w:type="dxa"/>
            <w:vAlign w:val="center"/>
          </w:tcPr>
          <w:p w:rsidR="00300D94" w:rsidRDefault="003F69A8">
            <w:pPr>
              <w:tabs>
                <w:tab w:val="left" w:pos="432"/>
              </w:tabs>
              <w:spacing w:before="120" w:after="120" w:line="240" w:lineRule="auto"/>
              <w:jc w:val="center"/>
              <w:rPr>
                <w:kern w:val="0"/>
                <w:sz w:val="20"/>
                <w:szCs w:val="20"/>
              </w:rPr>
            </w:pPr>
            <w:r>
              <w:rPr>
                <w:kern w:val="0"/>
                <w:sz w:val="20"/>
                <w:szCs w:val="20"/>
              </w:rPr>
              <w:t>335.86</w:t>
            </w:r>
          </w:p>
        </w:tc>
      </w:tr>
      <w:tr w:rsidR="00300D94">
        <w:trPr>
          <w:trHeight w:val="152"/>
          <w:jc w:val="center"/>
        </w:trPr>
        <w:tc>
          <w:tcPr>
            <w:tcW w:w="1705" w:type="dxa"/>
            <w:vMerge/>
            <w:tcBorders>
              <w:bottom w:val="single" w:sz="4" w:space="0" w:color="auto"/>
            </w:tcBorders>
            <w:vAlign w:val="center"/>
          </w:tcPr>
          <w:p w:rsidR="00300D94" w:rsidRDefault="00300D94">
            <w:pPr>
              <w:tabs>
                <w:tab w:val="left" w:pos="432"/>
              </w:tabs>
              <w:spacing w:after="120" w:line="240" w:lineRule="auto"/>
              <w:jc w:val="center"/>
              <w:rPr>
                <w:kern w:val="0"/>
                <w:sz w:val="20"/>
                <w:szCs w:val="20"/>
              </w:rPr>
            </w:pPr>
          </w:p>
        </w:tc>
        <w:tc>
          <w:tcPr>
            <w:tcW w:w="2435"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R</w:t>
            </w:r>
            <w:r>
              <w:rPr>
                <w:kern w:val="0"/>
                <w:sz w:val="20"/>
                <w:szCs w:val="20"/>
                <w:vertAlign w:val="superscript"/>
              </w:rPr>
              <w:t>2</w:t>
            </w:r>
          </w:p>
        </w:tc>
        <w:tc>
          <w:tcPr>
            <w:tcW w:w="1620" w:type="dxa"/>
            <w:tcBorders>
              <w:bottom w:val="single" w:sz="4" w:space="0" w:color="auto"/>
            </w:tcBorders>
            <w:vAlign w:val="center"/>
          </w:tcPr>
          <w:p w:rsidR="00300D94" w:rsidRDefault="003F69A8">
            <w:pPr>
              <w:tabs>
                <w:tab w:val="left" w:pos="432"/>
              </w:tabs>
              <w:spacing w:after="120" w:line="240" w:lineRule="auto"/>
              <w:jc w:val="center"/>
              <w:rPr>
                <w:kern w:val="0"/>
                <w:sz w:val="20"/>
                <w:szCs w:val="20"/>
              </w:rPr>
            </w:pPr>
            <w:r>
              <w:rPr>
                <w:kern w:val="0"/>
                <w:sz w:val="20"/>
                <w:szCs w:val="20"/>
              </w:rPr>
              <w:t>0.8968</w:t>
            </w:r>
          </w:p>
        </w:tc>
      </w:tr>
    </w:tbl>
    <w:p w:rsidR="00300D94" w:rsidRDefault="003F69A8">
      <w:pPr>
        <w:tabs>
          <w:tab w:val="left" w:pos="432"/>
        </w:tabs>
        <w:spacing w:after="120"/>
        <w:jc w:val="both"/>
        <w:rPr>
          <w:rFonts w:eastAsia="Times New Roman" w:cs="Times New Roman"/>
          <w:kern w:val="0"/>
          <w:szCs w:val="24"/>
        </w:rPr>
      </w:pPr>
      <w:r>
        <w:rPr>
          <w:rFonts w:eastAsia="Times New Roman" w:cs="Times New Roman" w:hint="cs"/>
          <w:kern w:val="0"/>
          <w:szCs w:val="24"/>
          <w:rtl/>
        </w:rPr>
        <w:t xml:space="preserve"> </w:t>
      </w:r>
    </w:p>
    <w:p w:rsidR="00300D94" w:rsidRDefault="003F69A8">
      <w:pPr>
        <w:tabs>
          <w:tab w:val="left" w:pos="432"/>
        </w:tabs>
        <w:spacing w:after="120"/>
        <w:jc w:val="both"/>
        <w:rPr>
          <w:rFonts w:eastAsia="Times New Roman" w:cs="Times New Roman"/>
          <w:kern w:val="0"/>
          <w:szCs w:val="24"/>
        </w:rPr>
      </w:pPr>
      <w:r>
        <w:rPr>
          <w:rFonts w:eastAsia="Times New Roman" w:cs="Times New Roman"/>
          <w:kern w:val="0"/>
          <w:szCs w:val="24"/>
        </w:rPr>
        <w:t xml:space="preserve">In the Langmuir </w:t>
      </w:r>
      <w:r>
        <w:rPr>
          <w:rFonts w:eastAsia="Times New Roman" w:cs="Times New Roman"/>
          <w:kern w:val="0"/>
          <w:szCs w:val="24"/>
        </w:rPr>
        <w:t>model, a q</w:t>
      </w:r>
      <w:r>
        <w:rPr>
          <w:rFonts w:eastAsia="Times New Roman" w:cs="Times New Roman"/>
          <w:kern w:val="0"/>
          <w:szCs w:val="24"/>
          <w:vertAlign w:val="subscript"/>
        </w:rPr>
        <w:t>m</w:t>
      </w:r>
      <w:r>
        <w:rPr>
          <w:rFonts w:eastAsia="Times New Roman" w:cs="Times New Roman"/>
          <w:kern w:val="0"/>
          <w:szCs w:val="24"/>
        </w:rPr>
        <w:t xml:space="preserve"> value of 0.1587 mg Au(III) per gram of adsorbent was obtained, showing a small difference (3%) between the theoretical and experimental value for q</w:t>
      </w:r>
      <w:r>
        <w:rPr>
          <w:rFonts w:eastAsia="Times New Roman" w:cs="Times New Roman"/>
          <w:kern w:val="0"/>
          <w:szCs w:val="24"/>
          <w:vertAlign w:val="subscript"/>
        </w:rPr>
        <w:t>m</w:t>
      </w:r>
      <w:r>
        <w:rPr>
          <w:rFonts w:eastAsia="Times New Roman" w:cs="Times New Roman"/>
          <w:kern w:val="0"/>
          <w:szCs w:val="24"/>
        </w:rPr>
        <w:t xml:space="preserve"> (1536 mg/g). This slight difference confirms that the model describes the experimental conditio</w:t>
      </w:r>
      <w:r>
        <w:rPr>
          <w:rFonts w:eastAsia="Times New Roman" w:cs="Times New Roman"/>
          <w:kern w:val="0"/>
          <w:szCs w:val="24"/>
        </w:rPr>
        <w:t xml:space="preserve">ns well. Using the Langmuir model, </w:t>
      </w:r>
      <w:r>
        <w:rPr>
          <w:rFonts w:eastAsia="Times New Roman" w:cs="Times New Roman"/>
          <w:i/>
          <w:iCs/>
          <w:kern w:val="0"/>
          <w:szCs w:val="24"/>
        </w:rPr>
        <w:t>K</w:t>
      </w:r>
      <w:r>
        <w:rPr>
          <w:rFonts w:eastAsia="Times New Roman" w:cs="Times New Roman"/>
          <w:kern w:val="0"/>
          <w:szCs w:val="24"/>
          <w:vertAlign w:val="subscript"/>
        </w:rPr>
        <w:t>L</w:t>
      </w:r>
      <w:r>
        <w:rPr>
          <w:rFonts w:eastAsia="Times New Roman" w:cs="Times New Roman"/>
          <w:kern w:val="0"/>
          <w:szCs w:val="24"/>
        </w:rPr>
        <w:t xml:space="preserve"> was calculated to be 0.0252 L/mg, which is small and indicates a </w:t>
      </w:r>
      <w:r>
        <w:rPr>
          <w:rFonts w:eastAsia="Times New Roman" w:cs="Times New Roman"/>
          <w:kern w:val="0"/>
          <w:szCs w:val="24"/>
        </w:rPr>
        <w:lastRenderedPageBreak/>
        <w:t>weak association between the adsorbent and adsorbed molecules. The correlation coefficient (R</w:t>
      </w:r>
      <w:r>
        <w:rPr>
          <w:rFonts w:eastAsia="Times New Roman" w:cs="Times New Roman"/>
          <w:kern w:val="0"/>
          <w:szCs w:val="24"/>
          <w:vertAlign w:val="superscript"/>
        </w:rPr>
        <w:t>2</w:t>
      </w:r>
      <w:r>
        <w:rPr>
          <w:rFonts w:eastAsia="Times New Roman" w:cs="Times New Roman"/>
          <w:kern w:val="0"/>
          <w:szCs w:val="24"/>
        </w:rPr>
        <w:t xml:space="preserve"> = 0.9959) shows excellent correlation with the experimenta</w:t>
      </w:r>
      <w:r>
        <w:rPr>
          <w:rFonts w:eastAsia="Times New Roman" w:cs="Times New Roman"/>
          <w:kern w:val="0"/>
          <w:szCs w:val="24"/>
        </w:rPr>
        <w:t>l data.</w:t>
      </w:r>
    </w:p>
    <w:p w:rsidR="00300D94" w:rsidRDefault="003F69A8">
      <w:pPr>
        <w:tabs>
          <w:tab w:val="left" w:pos="432"/>
        </w:tabs>
        <w:spacing w:before="120" w:after="120"/>
        <w:jc w:val="both"/>
      </w:pPr>
      <w:r>
        <w:t xml:space="preserve">In the Freundlich equation, the value of </w:t>
      </w:r>
      <w:r>
        <w:rPr>
          <w:i/>
          <w:iCs/>
        </w:rPr>
        <w:t>K</w:t>
      </w:r>
      <w:r>
        <w:rPr>
          <w:vertAlign w:val="subscript"/>
        </w:rPr>
        <w:t>F</w:t>
      </w:r>
      <w:r>
        <w:t xml:space="preserve"> (164.21 mg/g</w:t>
      </w:r>
      <w:r>
        <w:rPr>
          <w:rFonts w:asciiTheme="majorBidi" w:eastAsia="Times New Roman" w:hAnsiTheme="majorBidi" w:cstheme="majorBidi"/>
          <w:kern w:val="0"/>
          <w:szCs w:val="24"/>
        </w:rPr>
        <w:t>.</w:t>
      </w:r>
      <w:r>
        <w:t xml:space="preserve"> L</w:t>
      </w:r>
      <w:r>
        <w:rPr>
          <w:vertAlign w:val="superscript"/>
        </w:rPr>
        <w:t>1/n</w:t>
      </w:r>
      <w:r>
        <w:t xml:space="preserve"> mg</w:t>
      </w:r>
      <w:r>
        <w:rPr>
          <w:vertAlign w:val="superscript"/>
        </w:rPr>
        <w:t>-1/n</w:t>
      </w:r>
      <w:r>
        <w:t xml:space="preserve">) shows that this adsorbent has a high capacity to adsorb the desired substance. The value of </w:t>
      </w:r>
      <w:r>
        <w:rPr>
          <w:i/>
          <w:iCs/>
        </w:rPr>
        <w:t>n</w:t>
      </w:r>
      <w:r>
        <w:t xml:space="preserve"> (5.534) expresses the adsorption process’s strength and the adsorbent’s high tenden</w:t>
      </w:r>
      <w:r>
        <w:t xml:space="preserve">cy to adsorb Au(III) ions. The results of the Freundlich model show that the absorption process is robust  </w:t>
      </w:r>
      <w:r>
        <w:fldChar w:fldCharType="begin" w:fldLock="1"/>
      </w:r>
      <w:r>
        <w:instrText>ADDIN CSL_CITATION {"citationItems":[{"id":"ITEM-1","itemData":{"DOI":"10.1038/s41598-019-49679-9","ISSN":"20452322","abstract":"A novel adsorbent (F</w:instrText>
      </w:r>
      <w:r>
        <w:instrText>e3O4/HCO) was prepared via co-precipitation from a mix of ferriferrous oxide and a Ce-rich waste industrial sludge recovered from an optical polishing activity. The effect of system parameters including reaction time, pH, dose, temperature as well as initi</w:instrText>
      </w:r>
      <w:r>
        <w:instrText>al concentration on the adsorption of Sb(III) were investigated by sequential batch tests. The Sb(III)/Fe3O4/HCO system quickly reached adsorption equilibrium within 2 h, was effective over a wide pH (3–7) and demonstrated excellent removal at a 60 mg/L Sb</w:instrText>
      </w:r>
      <w:r>
        <w:instrText>(III) concentration. Three isothermal adsorption models were assessed to describe the equilibrium data for Sb(III) with Fe3O4/HCO. Compared to the Freundlich and dubinin-radushkevich, the Langmuir isotherm model showed the best fit, with a maximum adsorpti</w:instrText>
      </w:r>
      <w:r>
        <w:instrText>on capacity of 22.853 mg/g, which exceeds many comparable absorbents. Four kinetic models, Pseudo-first-order, Pseudo-second-order, Elovich and Intra-particle, were used to fit the adsorption process. The analysis showed that the mechanism was pseudo-secon</w:instrText>
      </w:r>
      <w:r>
        <w:instrText>d-order and chemical adsorption played a dominant role in the adsorption of Sb(III) by Fe3O4/HCO (correlation coefficient R2 = 0.993). Thermodynamic calculations suggest that adsorption of Sb(III) ions was endothermic, spontaneous and a thermodynamically f</w:instrText>
      </w:r>
      <w:r>
        <w:instrText>easible process. The mechanism of the adsorption of Sb(III) on Fe3O4/HCO could be described by the synergistic adsorption of Sb (III) on Fe3O4, FeCe2O4 and hydrous ceric oxide. The Fe3O4/HCO sorbent appears to be an efficient and environment-friendly mater</w:instrText>
      </w:r>
      <w:r>
        <w:instrText>ial for the removal of Sb(III) from wastewater.","author":[{"dropping-particle":"","family":"Zhang","given":"Jun","non-dropping-particle":"","parse-names":false,"suffix":""},{"dropping-particle":"","family":"Deng","given":"Ren jian","non-dropping-particle"</w:instrText>
      </w:r>
      <w:r>
        <w:instrText>:"","parse-names":false,"suffix":""},{"dropping-particle":"","family":"Ren","given":"Bo zhi","non-dropping-particle":"","parse-names":false,"suffix":""},{"dropping-particle":"","family":"Hou","given":"Baolin","non-dropping-particle":"","parse-names":false,</w:instrText>
      </w:r>
      <w:r>
        <w:instrText>"suffix":""},{"dropping-particle":"","family":"Hursthouse","given":"Andrew","non-dropping-particle":"","parse-names":false,"suffix":""}],"container-title":"Scientific Reports","id":"ITEM-1","issue":"1","issued":{"date-parts":[["2019"]]},"title":"Preparatio</w:instrText>
      </w:r>
      <w:r>
        <w:instrText>n of a novel Fe3O4/HCO composite adsorbent and the mechanism for the removal of antimony (III) from aqueous solution","type":"article-journal","volume":"9"},"uris":["http://www.mendeley.com/documents/?uuid=8ab53b91-4050-3d27-acdd-ed4d1ca50e1f"]}],"mendeley</w:instrText>
      </w:r>
      <w:r>
        <w:instrText>":{"formattedCitation":"[17]","plainTextFormattedCitation":"[17]","previouslyFormattedCitation":"[101]"},"properties":{"noteIndex":0},"schema":"https://github.com/citation-style-language/schema/raw/master/csl-citation.json"}</w:instrText>
      </w:r>
      <w:r>
        <w:fldChar w:fldCharType="separate"/>
      </w:r>
      <w:r>
        <w:t>[17]</w:t>
      </w:r>
      <w:r>
        <w:fldChar w:fldCharType="end"/>
      </w:r>
      <w:r>
        <w:t xml:space="preserve">. Compared to the </w:t>
      </w:r>
      <w:r>
        <w:t>Langmuir model, its R</w:t>
      </w:r>
      <w:r>
        <w:rPr>
          <w:vertAlign w:val="superscript"/>
        </w:rPr>
        <w:t xml:space="preserve">2 </w:t>
      </w:r>
      <w:r>
        <w:t xml:space="preserve">score of 0.9064 indicates that it is less capable of explaining experimental data. </w:t>
      </w:r>
    </w:p>
    <w:p w:rsidR="00300D94" w:rsidRDefault="003F69A8">
      <w:pPr>
        <w:tabs>
          <w:tab w:val="left" w:pos="432"/>
        </w:tabs>
        <w:spacing w:before="120" w:after="120"/>
        <w:jc w:val="both"/>
      </w:pPr>
      <w:r>
        <w:t>For Temkin model,  A = 0.3760 J/mol value expresses this system’s maximum adsorption energy and the value of</w:t>
      </w:r>
      <w:r>
        <w:rPr>
          <w:i/>
          <w:iCs/>
        </w:rPr>
        <w:t xml:space="preserve"> B</w:t>
      </w:r>
      <w:r>
        <w:t xml:space="preserve"> = 335.86 L/mg indicates the heat of ad</w:t>
      </w:r>
      <w:r>
        <w:t>sorption</w:t>
      </w:r>
      <w:r>
        <w:rPr>
          <w:i/>
          <w:iCs/>
        </w:rPr>
        <w:t xml:space="preserve"> </w:t>
      </w:r>
      <w:r>
        <w:fldChar w:fldCharType="begin" w:fldLock="1"/>
      </w:r>
      <w:r>
        <w:instrText>ADDIN CSL_CITATION {"citationItems":[{"id":"ITEM-1","itemData":{"DOI":"10.1021/acsomega.1c04661","ISSN":"24701343","abstract":"The need to minimize surfactant adsorption on rock surfaces has been a challenge for surfactant-based, chemical-enhanced</w:instrText>
      </w:r>
      <w:r>
        <w:instrText xml:space="preserve"> oil recovery (cEOR) techniques. Modeling of adsorption experimental data is very useful in estimating the extent of adsorption and, hence, optimizing the process. This paper presents a mini-review of surfactant adsorption isotherms, focusing on theories o</w:instrText>
      </w:r>
      <w:r>
        <w:instrText>f adsorption and the most frequently used adsorption isotherm models. Two-step and four-region adsorption theories are well-known, with the former representing adsorption in two steps, while the latter distinguishes four regions in the adsorption isotherm.</w:instrText>
      </w:r>
      <w:r>
        <w:instrText xml:space="preserve"> Langmuir and Freundlich are two-parameter adsorption isotherms that are widely used in cEOR studies. The Langmuir isotherm is applied to monolayer adsorption on homogeneous sites, whereas the Freundlich isotherm suites are applied to multilayer adsorption</w:instrText>
      </w:r>
      <w:r>
        <w:instrText xml:space="preserve"> on heterogeneous sites. Some more complex adsorption isotherms are also discussed in this paper, such as Redlich-Peterson and Sips isotherms, both involve three parameters. This paper will help select and apply a suitable adsorption isotherm to experiment</w:instrText>
      </w:r>
      <w:r>
        <w:instrText>al data.","author":[{"dropping-particle":"","family":"Kalam","given":"Shams","non-dropping-particle":"","parse-names":false,"suffix":""},{"dropping-particle":"","family":"Abu-Khamsin","given":"Sidqi A.","non-dropping-particle":"","parse-names":false,"suffi</w:instrText>
      </w:r>
      <w:r>
        <w:instrText>x":""},{"dropping-particle":"","family":"Kamal","given":"Muhammad Shahzad","non-dropping-particle":"","parse-names":false,"suffix":""},{"dropping-particle":"","family":"Patil","given":"Shirish","non-dropping-particle":"","parse-names":false,"suffix":""}],"</w:instrText>
      </w:r>
      <w:r>
        <w:instrText>container-title":"ACS Omega","id":"ITEM-1","issue":"48","issued":{"date-parts":[["2021"]]},"title":"Surfactant Adsorption Isotherms: A Review","type":"article","volume":"6"},"uris":["http://www.mendeley.com/documents/?uuid=40e7d0dc-17d0-3718-89ad-6a69de693</w:instrText>
      </w:r>
      <w:r>
        <w:instrText>d9c"]}],"mendeley":{"formattedCitation":"[18]","plainTextFormattedCitation":"[18]","previouslyFormattedCitation":"[102]"},"properties":{"noteIndex":0},"schema":"https://github.com/citation-style-language/schema/raw/master/csl-citation.json"}</w:instrText>
      </w:r>
      <w:r>
        <w:fldChar w:fldCharType="separate"/>
      </w:r>
      <w:r>
        <w:t>[18]</w:t>
      </w:r>
      <w:r>
        <w:fldChar w:fldCharType="end"/>
      </w:r>
      <w:r>
        <w:t>. The ex</w:t>
      </w:r>
      <w:r>
        <w:t>perimental results align with the Temkin isotherm model with an R</w:t>
      </w:r>
      <w:r>
        <w:rPr>
          <w:vertAlign w:val="superscript"/>
        </w:rPr>
        <w:t>2</w:t>
      </w:r>
      <w:r>
        <w:t xml:space="preserve"> value of 0.8968.</w:t>
      </w:r>
    </w:p>
    <w:p w:rsidR="00300D94" w:rsidRDefault="003F69A8">
      <w:pPr>
        <w:tabs>
          <w:tab w:val="left" w:pos="432"/>
        </w:tabs>
        <w:spacing w:before="120" w:after="120"/>
        <w:jc w:val="both"/>
      </w:pPr>
      <w:r>
        <w:t>Upon comparing models, it is evident that the Langmuir model, boasting the highest R</w:t>
      </w:r>
      <w:r>
        <w:rPr>
          <w:vertAlign w:val="superscript"/>
        </w:rPr>
        <w:t xml:space="preserve">2 </w:t>
      </w:r>
      <w:r>
        <w:t>value, is the most suitable for interpreting the experimental data. The evidence sugge</w:t>
      </w:r>
      <w:r>
        <w:t>sts that a monolayer adsorption mechanism accurately explains the adsorption process, with minimal interactions among the adsorbed molecules.</w:t>
      </w:r>
    </w:p>
    <w:p w:rsidR="00300D94" w:rsidRDefault="003F69A8">
      <w:pPr>
        <w:tabs>
          <w:tab w:val="left" w:pos="432"/>
        </w:tabs>
        <w:spacing w:before="120" w:after="120"/>
        <w:jc w:val="both"/>
        <w:rPr>
          <w:b/>
          <w:bCs/>
        </w:rPr>
      </w:pPr>
      <w:r>
        <w:rPr>
          <w:b/>
          <w:bCs/>
        </w:rPr>
        <w:t>Adsorption kinetic study</w:t>
      </w:r>
    </w:p>
    <w:p w:rsidR="00300D94" w:rsidRDefault="003F69A8">
      <w:pPr>
        <w:pStyle w:val="NormalWeb"/>
        <w:spacing w:before="0" w:beforeAutospacing="0" w:after="120" w:afterAutospacing="0" w:line="360" w:lineRule="auto"/>
        <w:jc w:val="both"/>
      </w:pPr>
      <w:r>
        <w:t xml:space="preserve">Blanchard et al. pioneered </w:t>
      </w:r>
      <w:bookmarkStart w:id="1" w:name="_Hlk170197772"/>
      <w:r>
        <w:t xml:space="preserve">the pseudo-second-order (PSO) kinetic model in 1984, commonly </w:t>
      </w:r>
      <w:r>
        <w:t xml:space="preserve">used alongside the pseudo-first-order (PFO) </w:t>
      </w:r>
      <w:bookmarkEnd w:id="1"/>
      <w:r>
        <w:t xml:space="preserve">model to describe adsorption kinetics, with Coleman et al. later endorsing it </w:t>
      </w:r>
      <w:r>
        <w:fldChar w:fldCharType="begin" w:fldLock="1"/>
      </w:r>
      <w:r>
        <w:instrText>ADDIN CSL_CITATION {"citationItems":[{"id":"ITEM-1","itemData":{"DOI":"10.1016/0043-1354(84)90124-6","ISSN":"00431354","abstract":"The</w:instrText>
      </w:r>
      <w:r>
        <w:instrText xml:space="preserve"> natural zeolite clinoptilolite can be used as an ion exchanger for the removal of ammonium ions from drinking waters. These waters may also contain small amounts of heavy metals. The retention possibilities of these cations by the zeolite are presented. T</w:instrText>
      </w:r>
      <w:r>
        <w:instrText>he study of the selectivity of the Na-exchanged clinoptilolite in presence of ammonium ions has been achieved by plotting the exchange isotherms relative to the various cations. This leads to the following order of decreasing efficiency of the zeolite. © 1</w:instrText>
      </w:r>
      <w:r>
        <w:instrText>984.","author":[{"dropping-particle":"","family":"Blanchard","given":"G.","non-dropping-particle":"","parse-names":false,"suffix":""},{"dropping-particle":"","family":"Maunaye","given":"M.","non-dropping-particle":"","parse-names":false,"suffix":""},{"drop</w:instrText>
      </w:r>
      <w:r>
        <w:instrText>ping-particle":"","family":"Martin","given":"G.","non-dropping-particle":"","parse-names":false,"suffix":""}],"container-title":"Water Research","id":"ITEM-1","issue":"12","issued":{"date-parts":[["1984"]]},"title":"Removal of heavy metals from waters by m</w:instrText>
      </w:r>
      <w:r>
        <w:instrText>eans of natural zeolites","type":"article-journal","volume":"18"},"uris":["http://www.mendeley.com/documents/?uuid=ee4eb57a-736a-311f-a3b1-9f4987f86dde"]}],"mendeley":{"formattedCitation":"[19]","plainTextFormattedCitation":"[19]","previouslyFormattedCitat</w:instrText>
      </w:r>
      <w:r>
        <w:instrText>ion":"[103]"},"properties":{"noteIndex":0},"schema":"https://github.com/citation-style-language/schema/raw/master/csl-citation.json"}</w:instrText>
      </w:r>
      <w:r>
        <w:fldChar w:fldCharType="separate"/>
      </w:r>
      <w:r>
        <w:t>[19]</w:t>
      </w:r>
      <w:r>
        <w:fldChar w:fldCharType="end"/>
      </w:r>
      <w:r>
        <w:t>. In 1956, this model was considered suitable for predicting time-dependent heavy metal adsroption by clinoptilolite</w:t>
      </w:r>
      <w:r>
        <w:t xml:space="preserve"> </w:t>
      </w:r>
      <w:r>
        <w:fldChar w:fldCharType="begin" w:fldLock="1"/>
      </w:r>
      <w:r>
        <w:instrText>ADDIN CSL_CITATION {"citationItems":[{"id":"ITEM-1","itemData":{"DOI":"10.1126/science.123.3191.330","ISSN":"00368075","author":[{"dropping-particle":"","family":"Coleman","given":"N. T.","non-dropping-particle":"","parse-names":false,"suffix":""},{"dropp</w:instrText>
      </w:r>
      <w:r>
        <w:instrText>ing-particle":"","family":"Mcclung","given":"A. C.","non-dropping-particle":"","parse-names":false,"suffix":""},{"dropping-particle":"","family":"Moore","given":"David P.","non-dropping-particle":"","parse-names":false,"suffix":""}],"container-title":"Scie</w:instrText>
      </w:r>
      <w:r>
        <w:instrText>nce","id":"ITEM-1","issue":"3191","issued":{"date-parts":[["1956"]]},"title":"Formation constants for Cu(II)-peat complexes [8]","type":"article","volume":"123"},"uris":["http://www.mendeley.com/documents/?uuid=d82192b1-803d-3897-88b9-7b2e2b32ca31"]}],"men</w:instrText>
      </w:r>
      <w:r>
        <w:instrText>deley":{"formattedCitation":"[20]","plainTextFormattedCitation":"[20]","previouslyFormattedCitation":"[104]"},"properties":{"noteIndex":0},"schema":"https://github.com/citation-style-language/schema/raw/master/csl-citation.json"}</w:instrText>
      </w:r>
      <w:r>
        <w:fldChar w:fldCharType="separate"/>
      </w:r>
      <w:r>
        <w:t>[20]</w:t>
      </w:r>
      <w:r>
        <w:fldChar w:fldCharType="end"/>
      </w:r>
      <w:r>
        <w:t>. PFO implies a clea</w:t>
      </w:r>
      <w:r>
        <w:t xml:space="preserve">r correlation between the site occupancy percentage and the quantity of empty binding sites. The PSO model assumes the number of sites available and the adsorption rate are closely linked </w:t>
      </w:r>
      <w:r>
        <w:fldChar w:fldCharType="begin" w:fldLock="1"/>
      </w:r>
      <w:r>
        <w:instrText>ADDIN CSL_CITATION {"citationItems":[{"id":"ITEM-1","itemData":{"DOI</w:instrText>
      </w:r>
      <w:r>
        <w:instrText>":"10.1002/tqem.21927","ISSN":"15206483","abstract":"Pollution of water, air, and soil by industrial effluents is a major problem nowadays. A variety of contaminants are too responsible for changing the physicochemical properties of the receiving body. The</w:instrText>
      </w:r>
      <w:r>
        <w:instrText>re are practical treatment solutions available to clean up contaminants from various resources. The term “adsorption” refers to one of them. The purpose of the research work is to remove heavy metals from industrial effluent. Mixed adsorbents prepared from</w:instrText>
      </w:r>
      <w:r>
        <w:instrText xml:space="preserve"> activated charcoal and bone charcoals were used to remove the copper and cadmium ions. The experiment carried out in a batch operation and modeling of these data for intraparticle diffusion and thermodynamic calculations were reported in this research wor</w:instrText>
      </w:r>
      <w:r>
        <w:instrText>k. At optimum operating condition pH 6; metal ion concentration 50 mg/L; dose 5 g/L; agitation 180 rpm and temperature 40°C maximum 99.41% copper ions and 88.12% cadmium ion removal was achieved. Cadmium ions were well fitted in the thermodynamic model com</w:instrText>
      </w:r>
      <w:r>
        <w:instrText>pared to copper ions, as demonstrated by the higher correlation coefficient R2 (0.9824) value. Intra particle diffusion demonstrated that film diffusion was a rate-limiting step at the start of the reaction, while microporous intraparticle diffusion was th</w:instrText>
      </w:r>
      <w:r>
        <w:instrText>e rate-determining phase later on. A Fourier transformation infrared spectroscopy, X-ray diffraction, and scanning electron micrography analysis confirmed the suitability of mixed adsorbents for the removal of cadmium and copper metal ions.","author":[{"dr</w:instrText>
      </w:r>
      <w:r>
        <w:instrText>opping-particle":"","family":"Tadepalli","given":"Srinivas","non-dropping-particle":"","parse-names":false,"suffix":""},{"dropping-particle":"","family":"Murthy","given":"K. S.R.","non-dropping-particle":"","parse-names":false,"suffix":""},{"dropping-parti</w:instrText>
      </w:r>
      <w:r>
        <w:instrText xml:space="preserve">cle":"","family":"Sahu","given":"Omprakash","non-dropping-particle":"","parse-names":false,"suffix":""}],"container-title":"Environmental Quality Management","id":"ITEM-1","issue":"3","issued":{"date-parts":[["2023"]]},"title":"Interparticle diffusion and </w:instrText>
      </w:r>
      <w:r>
        <w:instrText>thermodynamic modeling studies for the removal of heavy metals using mixed adsorbents in industrial effluents","type":"article-journal","volume":"32"},"uris":["http://www.mendeley.com/documents/?uuid=ee015133-19d9-3e93-9b52-dcd3581b90f4"]}],"mendeley":{"fo</w:instrText>
      </w:r>
      <w:r>
        <w:instrText>rmattedCitation":"[21]","plainTextFormattedCitation":"[21]","previouslyFormattedCitation":"[105]"},"properties":{"noteIndex":0},"schema":"https://github.com/citation-style-language/schema/raw/master/csl-citation.json"}</w:instrText>
      </w:r>
      <w:r>
        <w:fldChar w:fldCharType="separate"/>
      </w:r>
      <w:r>
        <w:t>[21]</w:t>
      </w:r>
      <w:r>
        <w:fldChar w:fldCharType="end"/>
      </w:r>
      <w:r>
        <w:t>. PFO and PSO modesl have the f</w:t>
      </w:r>
      <w:r>
        <w:t>ollowing mathematical expressions: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2697"/>
      </w:tblGrid>
      <w:tr w:rsidR="00300D94">
        <w:trPr>
          <w:trHeight w:val="405"/>
          <w:jc w:val="center"/>
        </w:trPr>
        <w:tc>
          <w:tcPr>
            <w:tcW w:w="4669" w:type="dxa"/>
          </w:tcPr>
          <w:p w:rsidR="00300D94" w:rsidRDefault="003F69A8">
            <w:pPr>
              <w:spacing w:before="120" w:after="120"/>
              <w:jc w:val="both"/>
              <w:rPr>
                <w:rFonts w:eastAsiaTheme="minorEastAsia"/>
                <w:kern w:val="0"/>
                <w:sz w:val="20"/>
                <w:szCs w:val="20"/>
                <w:lang w:bidi="fa-IR"/>
              </w:rPr>
            </w:pPr>
            <m:oMathPara>
              <m:oMath>
                <m:func>
                  <m:funcPr>
                    <m:ctrlPr>
                      <w:rPr>
                        <w:rFonts w:ascii="Cambria Math" w:hAnsi="Cambria Math"/>
                        <w:i/>
                        <w:kern w:val="0"/>
                        <w:sz w:val="20"/>
                        <w:szCs w:val="20"/>
                        <w:lang w:bidi="fa-IR"/>
                      </w:rPr>
                    </m:ctrlPr>
                  </m:funcPr>
                  <m:fName>
                    <m:r>
                      <m:rPr>
                        <m:sty m:val="p"/>
                      </m:rPr>
                      <w:rPr>
                        <w:rFonts w:ascii="Cambria Math" w:hAnsi="Cambria Math"/>
                        <w:kern w:val="0"/>
                        <w:sz w:val="20"/>
                        <w:szCs w:val="20"/>
                        <w:lang w:bidi="fa-IR"/>
                      </w:rPr>
                      <m:t>log</m:t>
                    </m:r>
                  </m:fName>
                  <m:e>
                    <m:r>
                      <w:rPr>
                        <w:rFonts w:ascii="Cambria Math" w:hAnsi="Cambria Math"/>
                        <w:kern w:val="0"/>
                        <w:sz w:val="20"/>
                        <w:szCs w:val="20"/>
                        <w:lang w:bidi="fa-IR"/>
                      </w:rPr>
                      <m:t>(</m:t>
                    </m:r>
                  </m:e>
                </m:func>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r>
                  <w:rPr>
                    <w:rFonts w:ascii="Cambria Math" w:hAnsi="Cambria Math"/>
                    <w:kern w:val="0"/>
                    <w:sz w:val="20"/>
                    <w:szCs w:val="20"/>
                    <w:lang w:bidi="fa-IR"/>
                  </w:rPr>
                  <m:t>-</m:t>
                </m:r>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t</m:t>
                    </m:r>
                  </m:sub>
                </m:sSub>
                <m:r>
                  <w:rPr>
                    <w:rFonts w:ascii="Cambria Math" w:hAnsi="Cambria Math"/>
                    <w:kern w:val="0"/>
                    <w:sz w:val="20"/>
                    <w:szCs w:val="20"/>
                    <w:lang w:bidi="fa-IR"/>
                  </w:rPr>
                  <m:t>)=</m:t>
                </m:r>
                <m:r>
                  <m:rPr>
                    <m:sty m:val="p"/>
                  </m:rPr>
                  <w:rPr>
                    <w:rFonts w:ascii="Cambria Math" w:hAnsi="Cambria Math"/>
                    <w:kern w:val="0"/>
                    <w:sz w:val="20"/>
                    <w:szCs w:val="20"/>
                    <w:lang w:bidi="fa-IR"/>
                  </w:rPr>
                  <m:t>log⁡</m:t>
                </m:r>
                <m:r>
                  <w:rPr>
                    <w:rFonts w:ascii="Cambria Math" w:hAnsi="Cambria Math"/>
                    <w:kern w:val="0"/>
                    <w:sz w:val="20"/>
                    <w:szCs w:val="20"/>
                    <w:lang w:bidi="fa-IR"/>
                  </w:rPr>
                  <m:t xml:space="preserve"> (</m:t>
                </m:r>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r>
                  <w:rPr>
                    <w:rFonts w:ascii="Cambria Math" w:hAnsi="Cambria Math"/>
                    <w:kern w:val="0"/>
                    <w:sz w:val="20"/>
                    <w:szCs w:val="20"/>
                    <w:lang w:bidi="fa-IR"/>
                  </w:rPr>
                  <m:t>)-</m:t>
                </m:r>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1</m:t>
                    </m:r>
                  </m:sub>
                </m:sSub>
                <m:r>
                  <w:rPr>
                    <w:rFonts w:ascii="Cambria Math" w:hAnsi="Cambria Math"/>
                    <w:kern w:val="0"/>
                    <w:sz w:val="20"/>
                    <w:szCs w:val="20"/>
                    <w:lang w:bidi="fa-IR"/>
                  </w:rPr>
                  <m:t>t</m:t>
                </m:r>
              </m:oMath>
            </m:oMathPara>
          </w:p>
        </w:tc>
        <w:tc>
          <w:tcPr>
            <w:tcW w:w="2697" w:type="dxa"/>
          </w:tcPr>
          <w:p w:rsidR="00300D94" w:rsidRDefault="003F69A8">
            <w:pPr>
              <w:spacing w:before="120" w:after="120"/>
              <w:jc w:val="both"/>
              <w:rPr>
                <w:kern w:val="0"/>
                <w:sz w:val="20"/>
                <w:szCs w:val="20"/>
              </w:rPr>
            </w:pPr>
            <w:r>
              <w:rPr>
                <w:kern w:val="0"/>
                <w:sz w:val="20"/>
                <w:szCs w:val="20"/>
              </w:rPr>
              <w:t>(4)</w:t>
            </w:r>
          </w:p>
        </w:tc>
      </w:tr>
      <w:tr w:rsidR="00300D94">
        <w:trPr>
          <w:trHeight w:val="405"/>
          <w:jc w:val="center"/>
        </w:trPr>
        <w:tc>
          <w:tcPr>
            <w:tcW w:w="4669" w:type="dxa"/>
          </w:tcPr>
          <w:p w:rsidR="00300D94" w:rsidRDefault="003F69A8">
            <w:pPr>
              <w:spacing w:before="120" w:after="120"/>
              <w:jc w:val="both"/>
              <w:rPr>
                <w:rFonts w:eastAsia="Times New Roman" w:cs="Times New Roman"/>
                <w:kern w:val="0"/>
                <w:sz w:val="20"/>
                <w:szCs w:val="20"/>
                <w:lang w:bidi="fa-IR"/>
              </w:rPr>
            </w:pPr>
            <m:oMathPara>
              <m:oMath>
                <m:f>
                  <m:fPr>
                    <m:ctrlPr>
                      <w:rPr>
                        <w:rFonts w:ascii="Cambria Math" w:hAnsi="Cambria Math"/>
                        <w:i/>
                        <w:kern w:val="0"/>
                        <w:sz w:val="20"/>
                        <w:szCs w:val="20"/>
                        <w:lang w:bidi="fa-IR"/>
                      </w:rPr>
                    </m:ctrlPr>
                  </m:fPr>
                  <m:num>
                    <m:r>
                      <w:rPr>
                        <w:rFonts w:ascii="Cambria Math" w:hAnsi="Cambria Math"/>
                        <w:kern w:val="0"/>
                        <w:sz w:val="20"/>
                        <w:szCs w:val="20"/>
                        <w:lang w:bidi="fa-IR"/>
                      </w:rPr>
                      <m:t>t</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t</m:t>
                        </m:r>
                      </m:sub>
                    </m:sSub>
                  </m:den>
                </m:f>
                <m:r>
                  <m:rPr>
                    <m:sty m:val="p"/>
                  </m:rPr>
                  <w:rPr>
                    <w:rFonts w:ascii="Cambria Math" w:hAnsi="Cambria Math"/>
                    <w:kern w:val="0"/>
                    <w:sz w:val="20"/>
                    <w:szCs w:val="20"/>
                    <w:lang w:bidi="fa-IR"/>
                  </w:rPr>
                  <m:t>=</m:t>
                </m:r>
                <m:f>
                  <m:fPr>
                    <m:ctrlPr>
                      <w:rPr>
                        <w:rFonts w:ascii="Cambria Math" w:hAnsi="Cambria Math"/>
                        <w:kern w:val="0"/>
                        <w:sz w:val="20"/>
                        <w:szCs w:val="20"/>
                        <w:lang w:bidi="fa-IR"/>
                      </w:rPr>
                    </m:ctrlPr>
                  </m:fPr>
                  <m:num>
                    <m:r>
                      <w:rPr>
                        <w:rFonts w:ascii="Cambria Math" w:hAnsi="Cambria Math"/>
                        <w:kern w:val="0"/>
                        <w:sz w:val="20"/>
                        <w:szCs w:val="20"/>
                        <w:lang w:bidi="fa-IR"/>
                      </w:rPr>
                      <m:t>1</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2</m:t>
                        </m:r>
                      </m:sub>
                    </m:sSub>
                    <m:sSubSup>
                      <m:sSubSupPr>
                        <m:ctrlPr>
                          <w:rPr>
                            <w:rFonts w:ascii="Cambria Math" w:hAnsi="Cambria Math"/>
                            <w:i/>
                            <w:kern w:val="0"/>
                            <w:sz w:val="20"/>
                            <w:szCs w:val="20"/>
                            <w:lang w:bidi="fa-IR"/>
                          </w:rPr>
                        </m:ctrlPr>
                      </m:sSubSupPr>
                      <m:e>
                        <m:r>
                          <w:rPr>
                            <w:rFonts w:ascii="Cambria Math" w:hAnsi="Cambria Math"/>
                            <w:kern w:val="0"/>
                            <w:sz w:val="20"/>
                            <w:szCs w:val="20"/>
                            <w:lang w:bidi="fa-IR"/>
                          </w:rPr>
                          <m:t>q</m:t>
                        </m:r>
                      </m:e>
                      <m:sub>
                        <m:r>
                          <w:rPr>
                            <w:rFonts w:ascii="Cambria Math" w:hAnsi="Cambria Math"/>
                            <w:kern w:val="0"/>
                            <w:sz w:val="20"/>
                            <w:szCs w:val="20"/>
                            <w:lang w:bidi="fa-IR"/>
                          </w:rPr>
                          <m:t>e</m:t>
                        </m:r>
                      </m:sub>
                      <m:sup>
                        <m:r>
                          <w:rPr>
                            <w:rFonts w:ascii="Cambria Math" w:hAnsi="Cambria Math"/>
                            <w:kern w:val="0"/>
                            <w:sz w:val="20"/>
                            <w:szCs w:val="20"/>
                            <w:lang w:bidi="fa-IR"/>
                          </w:rPr>
                          <m:t>2</m:t>
                        </m:r>
                      </m:sup>
                    </m:sSubSup>
                  </m:den>
                </m:f>
                <m:r>
                  <w:rPr>
                    <w:rFonts w:ascii="Cambria Math" w:hAnsi="Cambria Math"/>
                    <w:kern w:val="0"/>
                    <w:sz w:val="20"/>
                    <w:szCs w:val="20"/>
                    <w:lang w:bidi="fa-IR"/>
                  </w:rPr>
                  <m:t>+</m:t>
                </m:r>
                <m:f>
                  <m:fPr>
                    <m:ctrlPr>
                      <w:rPr>
                        <w:rFonts w:ascii="Cambria Math" w:hAnsi="Cambria Math"/>
                        <w:i/>
                        <w:kern w:val="0"/>
                        <w:sz w:val="20"/>
                        <w:szCs w:val="20"/>
                        <w:lang w:bidi="fa-IR"/>
                      </w:rPr>
                    </m:ctrlPr>
                  </m:fPr>
                  <m:num>
                    <m:r>
                      <w:rPr>
                        <w:rFonts w:ascii="Cambria Math" w:hAnsi="Cambria Math"/>
                        <w:kern w:val="0"/>
                        <w:sz w:val="20"/>
                        <w:szCs w:val="20"/>
                        <w:lang w:bidi="fa-IR"/>
                      </w:rPr>
                      <m:t>t</m:t>
                    </m:r>
                  </m:num>
                  <m:den>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e</m:t>
                        </m:r>
                      </m:sub>
                    </m:sSub>
                  </m:den>
                </m:f>
              </m:oMath>
            </m:oMathPara>
          </w:p>
        </w:tc>
        <w:tc>
          <w:tcPr>
            <w:tcW w:w="2697" w:type="dxa"/>
          </w:tcPr>
          <w:p w:rsidR="00300D94" w:rsidRDefault="003F69A8">
            <w:pPr>
              <w:spacing w:before="120" w:after="120"/>
              <w:jc w:val="both"/>
              <w:rPr>
                <w:kern w:val="0"/>
                <w:sz w:val="20"/>
                <w:szCs w:val="20"/>
              </w:rPr>
            </w:pPr>
            <w:r>
              <w:rPr>
                <w:kern w:val="0"/>
                <w:sz w:val="20"/>
                <w:szCs w:val="20"/>
              </w:rPr>
              <w:t>(5)</w:t>
            </w:r>
          </w:p>
        </w:tc>
      </w:tr>
    </w:tbl>
    <w:p w:rsidR="00300D94" w:rsidRDefault="003F69A8">
      <w:pPr>
        <w:spacing w:after="120"/>
        <w:jc w:val="both"/>
        <w:rPr>
          <w:rFonts w:eastAsia="Times New Roman" w:cs="Times New Roman"/>
          <w:kern w:val="0"/>
          <w:szCs w:val="24"/>
        </w:rPr>
      </w:pPr>
      <w:r>
        <w:rPr>
          <w:rFonts w:eastAsia="Times New Roman" w:cs="Times New Roman"/>
          <w:kern w:val="0"/>
          <w:szCs w:val="24"/>
        </w:rPr>
        <w:t xml:space="preserve">The equilibrium adsorption capacity is shown by </w:t>
      </w:r>
      <w:r>
        <w:rPr>
          <w:rFonts w:eastAsia="Times New Roman" w:cs="Times New Roman"/>
          <w:i/>
          <w:iCs/>
          <w:kern w:val="0"/>
          <w:szCs w:val="24"/>
        </w:rPr>
        <w:t>q</w:t>
      </w:r>
      <w:r>
        <w:rPr>
          <w:rFonts w:eastAsia="Times New Roman" w:cs="Times New Roman"/>
          <w:kern w:val="0"/>
          <w:szCs w:val="24"/>
          <w:vertAlign w:val="subscript"/>
        </w:rPr>
        <w:t>e</w:t>
      </w:r>
      <w:r>
        <w:rPr>
          <w:rFonts w:eastAsia="Times New Roman" w:cs="Times New Roman"/>
          <w:kern w:val="0"/>
          <w:szCs w:val="24"/>
        </w:rPr>
        <w:t xml:space="preserve"> (mg/g) in the PFO model, while the rate constant is represented by </w:t>
      </w:r>
      <w:r>
        <w:rPr>
          <w:rFonts w:eastAsia="Times New Roman" w:cs="Times New Roman"/>
          <w:i/>
          <w:iCs/>
          <w:kern w:val="0"/>
          <w:szCs w:val="24"/>
        </w:rPr>
        <w:t>k</w:t>
      </w:r>
      <w:r>
        <w:rPr>
          <w:rFonts w:eastAsia="Times New Roman" w:cs="Times New Roman"/>
          <w:kern w:val="0"/>
          <w:szCs w:val="24"/>
          <w:vertAlign w:val="subscript"/>
        </w:rPr>
        <w:t>1</w:t>
      </w:r>
      <w:r>
        <w:rPr>
          <w:rFonts w:eastAsia="Times New Roman" w:cs="Times New Roman"/>
          <w:kern w:val="0"/>
          <w:szCs w:val="24"/>
        </w:rPr>
        <w:t xml:space="preserve"> (min</w:t>
      </w:r>
      <w:r>
        <w:rPr>
          <w:rFonts w:eastAsia="Times New Roman" w:cs="Times New Roman"/>
          <w:kern w:val="0"/>
          <w:szCs w:val="24"/>
          <w:vertAlign w:val="superscript"/>
        </w:rPr>
        <w:t>-1</w:t>
      </w:r>
      <w:r>
        <w:rPr>
          <w:rFonts w:eastAsia="Times New Roman" w:cs="Times New Roman"/>
          <w:kern w:val="0"/>
          <w:szCs w:val="24"/>
        </w:rPr>
        <w:t xml:space="preserve">). In this case, </w:t>
      </w:r>
      <w:r>
        <w:rPr>
          <w:rFonts w:eastAsia="Times New Roman" w:cs="Times New Roman"/>
          <w:i/>
          <w:iCs/>
          <w:kern w:val="0"/>
          <w:szCs w:val="24"/>
        </w:rPr>
        <w:t>q</w:t>
      </w:r>
      <w:r>
        <w:rPr>
          <w:rFonts w:eastAsia="Times New Roman" w:cs="Times New Roman"/>
          <w:kern w:val="0"/>
          <w:szCs w:val="24"/>
          <w:vertAlign w:val="subscript"/>
        </w:rPr>
        <w:t>e</w:t>
      </w:r>
      <w:r>
        <w:rPr>
          <w:rFonts w:eastAsia="Times New Roman" w:cs="Times New Roman"/>
          <w:kern w:val="0"/>
          <w:szCs w:val="24"/>
        </w:rPr>
        <w:t xml:space="preserve"> is the equilibrium adsorption capacity, </w:t>
      </w:r>
      <w:r>
        <w:rPr>
          <w:rFonts w:eastAsia="Times New Roman" w:cs="Times New Roman"/>
          <w:i/>
          <w:iCs/>
          <w:kern w:val="0"/>
          <w:szCs w:val="24"/>
        </w:rPr>
        <w:t>k</w:t>
      </w:r>
      <w:r>
        <w:rPr>
          <w:rFonts w:eastAsia="Times New Roman" w:cs="Times New Roman"/>
          <w:kern w:val="0"/>
          <w:szCs w:val="24"/>
          <w:vertAlign w:val="subscript"/>
        </w:rPr>
        <w:t>2</w:t>
      </w:r>
      <w:r>
        <w:rPr>
          <w:rFonts w:eastAsia="Times New Roman" w:cs="Times New Roman"/>
          <w:kern w:val="0"/>
          <w:szCs w:val="24"/>
        </w:rPr>
        <w:t xml:space="preserve"> is the rate constant (g/mg.min), and </w:t>
      </w:r>
      <w:r>
        <w:rPr>
          <w:rFonts w:eastAsia="Times New Roman" w:cs="Times New Roman"/>
          <w:i/>
          <w:iCs/>
          <w:kern w:val="0"/>
          <w:szCs w:val="24"/>
        </w:rPr>
        <w:t>q</w:t>
      </w:r>
      <w:r>
        <w:rPr>
          <w:rFonts w:eastAsia="Times New Roman" w:cs="Times New Roman"/>
          <w:kern w:val="0"/>
          <w:szCs w:val="24"/>
          <w:vertAlign w:val="subscript"/>
        </w:rPr>
        <w:t>t</w:t>
      </w:r>
      <w:r>
        <w:rPr>
          <w:rFonts w:eastAsia="Times New Roman" w:cs="Times New Roman"/>
          <w:kern w:val="0"/>
          <w:szCs w:val="24"/>
        </w:rPr>
        <w:t xml:space="preserve"> is the adsorption quantity at time </w:t>
      </w:r>
      <w:r>
        <w:rPr>
          <w:rFonts w:eastAsia="Times New Roman" w:cs="Times New Roman"/>
          <w:i/>
          <w:iCs/>
          <w:kern w:val="0"/>
          <w:szCs w:val="24"/>
        </w:rPr>
        <w:t>t</w:t>
      </w:r>
      <w:r>
        <w:rPr>
          <w:rFonts w:eastAsia="Times New Roman" w:cs="Times New Roman"/>
          <w:kern w:val="0"/>
          <w:szCs w:val="24"/>
        </w:rPr>
        <w:t xml:space="preserve"> (in mg/g).</w:t>
      </w:r>
    </w:p>
    <w:p w:rsidR="00300D94" w:rsidRDefault="003F69A8">
      <w:pPr>
        <w:spacing w:after="120"/>
        <w:jc w:val="both"/>
      </w:pPr>
      <w:r>
        <w:lastRenderedPageBreak/>
        <w:t xml:space="preserve">The intraparticle diffusion </w:t>
      </w:r>
      <w:r>
        <w:rPr>
          <w:rFonts w:eastAsia="Times New Roman" w:cs="Times New Roman"/>
          <w:kern w:val="0"/>
          <w:szCs w:val="24"/>
        </w:rPr>
        <w:t>(ID)</w:t>
      </w:r>
      <w:r>
        <w:t xml:space="preserve"> model is used to describe the adsorption process in cases where the diffusion of the adsorb</w:t>
      </w:r>
      <w:r>
        <w:t xml:space="preserve">ate into the pores of the adsorbent is the rate-limiting step of the adsorption process. In other words, it is applied when the rate of movement of the analyte within the pores is much slower than the rate of its adsorption onto the surface of the </w:t>
      </w:r>
      <w:r>
        <w:rPr>
          <w:color w:val="000000" w:themeColor="text1"/>
        </w:rPr>
        <w:t>adsorben</w:t>
      </w:r>
      <w:r>
        <w:rPr>
          <w:color w:val="000000" w:themeColor="text1"/>
        </w:rPr>
        <w:t xml:space="preserve">t </w:t>
      </w:r>
      <w:r>
        <w:rPr>
          <w:color w:val="000000" w:themeColor="text1"/>
        </w:rPr>
        <w:fldChar w:fldCharType="begin" w:fldLock="1"/>
      </w:r>
      <w:r>
        <w:rPr>
          <w:color w:val="000000" w:themeColor="text1"/>
        </w:rPr>
        <w:instrText xml:space="preserve">ADDIN CSL_CITATION {"citationItems":[{"id":"ITEM-1","itemData":{"DOI":"10.1002/tqem.21927","ISSN":"15206483","abstract":"Pollution of water, air, and soil by industrial effluents is a major problem nowadays. A variety of contaminants are too responsible </w:instrText>
      </w:r>
      <w:r>
        <w:rPr>
          <w:color w:val="000000" w:themeColor="text1"/>
        </w:rPr>
        <w:instrText>for changing the physicochemical properties of the receiving body. There are practical treatment solutions available to clean up contaminants from various resources. The term “adsorption” refers to one of them. The purpose of the research work is to remove</w:instrText>
      </w:r>
      <w:r>
        <w:rPr>
          <w:color w:val="000000" w:themeColor="text1"/>
        </w:rPr>
        <w:instrText xml:space="preserve"> heavy metals from industrial effluent. Mixed adsorbents prepared from activated charcoal and bone charcoals were used to remove the copper and cadmium ions. The experiment carried out in a batch operation and modeling of these data for intraparticle diffu</w:instrText>
      </w:r>
      <w:r>
        <w:rPr>
          <w:color w:val="000000" w:themeColor="text1"/>
        </w:rPr>
        <w:instrText xml:space="preserve">sion and thermodynamic calculations were reported in this research work. At optimum operating condition pH 6; metal ion concentration 50 mg/L; dose 5 g/L; agitation 180 rpm and temperature 40°C maximum 99.41% copper ions and 88.12% cadmium ion removal was </w:instrText>
      </w:r>
      <w:r>
        <w:rPr>
          <w:color w:val="000000" w:themeColor="text1"/>
        </w:rPr>
        <w:instrText>achieved. Cadmium ions were well fitted in the thermodynamic model compared to copper ions, as demonstrated by the higher correlation coefficient R2 (0.9824) value. Intra particle diffusion demonstrated that film diffusion was a rate-limiting step at the s</w:instrText>
      </w:r>
      <w:r>
        <w:rPr>
          <w:color w:val="000000" w:themeColor="text1"/>
        </w:rPr>
        <w:instrText>tart of the reaction, while microporous intraparticle diffusion was the rate-determining phase later on. A Fourier transformation infrared spectroscopy, X-ray diffraction, and scanning electron micrography analysis confirmed the suitability of mixed adsorb</w:instrText>
      </w:r>
      <w:r>
        <w:rPr>
          <w:color w:val="000000" w:themeColor="text1"/>
        </w:rPr>
        <w:instrText>ents for the removal of cadmium and copper metal ions.","author":[{"dropping-particle":"","family":"Tadepalli","given":"Srinivas","non-dropping-particle":"","parse-names":false,"suffix":""},{"dropping-particle":"","family":"Murthy","given":"K. S.R.","non-d</w:instrText>
      </w:r>
      <w:r>
        <w:rPr>
          <w:color w:val="000000" w:themeColor="text1"/>
        </w:rPr>
        <w:instrText>ropping-particle":"","parse-names":false,"suffix":""},{"dropping-particle":"","family":"Sahu","given":"Omprakash","non-dropping-particle":"","parse-names":false,"suffix":""}],"container-title":"Environmental Quality Management","id":"ITEM-1","issue":"3","i</w:instrText>
      </w:r>
      <w:r>
        <w:rPr>
          <w:color w:val="000000" w:themeColor="text1"/>
        </w:rPr>
        <w:instrText>ssued":{"date-parts":[["2023"]]},"title":"Interparticle diffusion and thermodynamic modeling studies for the removal of heavy metals using mixed adsorbents in industrial effluents","type":"article-journal","volume":"32"},"uris":["http://www.mendeley.com/do</w:instrText>
      </w:r>
      <w:r>
        <w:rPr>
          <w:color w:val="000000" w:themeColor="text1"/>
        </w:rPr>
        <w:instrText>cuments/?uuid=ee015133-19d9-3e93-9b52-dcd3581b90f4"]}],"mendeley":{"formattedCitation":"[21]","plainTextFormattedCitation":"[21]","previouslyFormattedCitation":"[105]"},"properties":{"noteIndex":0},"schema":"https://github.com/citation-style-language/schem</w:instrText>
      </w:r>
      <w:r>
        <w:rPr>
          <w:color w:val="000000" w:themeColor="text1"/>
        </w:rPr>
        <w:instrText>a/raw/master/csl-citation.json"}</w:instrText>
      </w:r>
      <w:r>
        <w:rPr>
          <w:color w:val="000000" w:themeColor="text1"/>
        </w:rPr>
        <w:fldChar w:fldCharType="separate"/>
      </w:r>
      <w:r>
        <w:rPr>
          <w:color w:val="000000" w:themeColor="text1"/>
        </w:rPr>
        <w:t>[21]</w:t>
      </w:r>
      <w:r>
        <w:rPr>
          <w:color w:val="000000" w:themeColor="text1"/>
        </w:rPr>
        <w:fldChar w:fldCharType="end"/>
      </w:r>
      <w:r>
        <w:rPr>
          <w:color w:val="000000" w:themeColor="text1"/>
        </w:rPr>
        <w:t xml:space="preserve">. </w:t>
      </w:r>
      <w:r>
        <w:t>The model is represented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2697"/>
      </w:tblGrid>
      <w:tr w:rsidR="00300D94">
        <w:trPr>
          <w:trHeight w:val="405"/>
          <w:jc w:val="center"/>
        </w:trPr>
        <w:tc>
          <w:tcPr>
            <w:tcW w:w="4669" w:type="dxa"/>
          </w:tcPr>
          <w:p w:rsidR="00300D94" w:rsidRDefault="003F69A8">
            <w:pPr>
              <w:spacing w:before="120" w:after="120"/>
              <w:jc w:val="both"/>
              <w:rPr>
                <w:rFonts w:eastAsiaTheme="minorEastAsia"/>
                <w:kern w:val="0"/>
                <w:sz w:val="20"/>
                <w:szCs w:val="20"/>
                <w:lang w:bidi="fa-IR"/>
              </w:rPr>
            </w:pPr>
            <m:oMathPara>
              <m:oMath>
                <m:sSub>
                  <m:sSubPr>
                    <m:ctrlPr>
                      <w:rPr>
                        <w:rFonts w:ascii="Cambria Math" w:hAnsi="Cambria Math"/>
                        <w:i/>
                        <w:kern w:val="0"/>
                        <w:sz w:val="20"/>
                        <w:szCs w:val="20"/>
                        <w:lang w:bidi="fa-IR"/>
                      </w:rPr>
                    </m:ctrlPr>
                  </m:sSubPr>
                  <m:e>
                    <m:r>
                      <w:rPr>
                        <w:rFonts w:ascii="Cambria Math" w:hAnsi="Cambria Math"/>
                        <w:kern w:val="0"/>
                        <w:sz w:val="20"/>
                        <w:szCs w:val="20"/>
                        <w:lang w:bidi="fa-IR"/>
                      </w:rPr>
                      <m:t>q</m:t>
                    </m:r>
                  </m:e>
                  <m:sub>
                    <m:r>
                      <w:rPr>
                        <w:rFonts w:ascii="Cambria Math" w:hAnsi="Cambria Math"/>
                        <w:kern w:val="0"/>
                        <w:sz w:val="20"/>
                        <w:szCs w:val="20"/>
                        <w:lang w:bidi="fa-IR"/>
                      </w:rPr>
                      <m:t>t</m:t>
                    </m:r>
                  </m:sub>
                </m:sSub>
                <m:r>
                  <w:rPr>
                    <w:rFonts w:ascii="Cambria Math" w:hAnsi="Cambria Math"/>
                    <w:kern w:val="0"/>
                    <w:sz w:val="20"/>
                    <w:szCs w:val="20"/>
                    <w:lang w:bidi="fa-IR"/>
                  </w:rPr>
                  <m:t>=</m:t>
                </m:r>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i</m:t>
                    </m:r>
                  </m:sub>
                </m:sSub>
                <m:sSup>
                  <m:sSupPr>
                    <m:ctrlPr>
                      <w:rPr>
                        <w:rFonts w:ascii="Cambria Math" w:hAnsi="Cambria Math"/>
                        <w:i/>
                        <w:kern w:val="0"/>
                        <w:sz w:val="20"/>
                        <w:szCs w:val="20"/>
                        <w:lang w:bidi="fa-IR"/>
                      </w:rPr>
                    </m:ctrlPr>
                  </m:sSupPr>
                  <m:e>
                    <m:r>
                      <w:rPr>
                        <w:rFonts w:ascii="Cambria Math" w:hAnsi="Cambria Math"/>
                        <w:kern w:val="0"/>
                        <w:sz w:val="20"/>
                        <w:szCs w:val="20"/>
                        <w:lang w:bidi="fa-IR"/>
                      </w:rPr>
                      <m:t>t</m:t>
                    </m:r>
                  </m:e>
                  <m:sup>
                    <m:r>
                      <w:rPr>
                        <w:rFonts w:ascii="Cambria Math" w:hAnsi="Cambria Math"/>
                        <w:kern w:val="0"/>
                        <w:sz w:val="20"/>
                        <w:szCs w:val="20"/>
                        <w:lang w:bidi="fa-IR"/>
                      </w:rPr>
                      <m:t>0.5</m:t>
                    </m:r>
                  </m:sup>
                </m:sSup>
                <m:r>
                  <w:rPr>
                    <w:rFonts w:ascii="Cambria Math" w:hAnsi="Cambria Math"/>
                    <w:kern w:val="0"/>
                    <w:sz w:val="20"/>
                    <w:szCs w:val="20"/>
                    <w:lang w:bidi="fa-IR"/>
                  </w:rPr>
                  <m:t>+</m:t>
                </m:r>
                <m:r>
                  <w:rPr>
                    <w:rFonts w:ascii="Cambria Math" w:hAnsi="Cambria Math"/>
                    <w:kern w:val="0"/>
                    <w:sz w:val="20"/>
                    <w:szCs w:val="20"/>
                    <w:lang w:bidi="fa-IR"/>
                  </w:rPr>
                  <m:t>C</m:t>
                </m:r>
              </m:oMath>
            </m:oMathPara>
          </w:p>
        </w:tc>
        <w:tc>
          <w:tcPr>
            <w:tcW w:w="2697" w:type="dxa"/>
          </w:tcPr>
          <w:p w:rsidR="00300D94" w:rsidRDefault="003F69A8">
            <w:pPr>
              <w:spacing w:before="120" w:after="120"/>
              <w:jc w:val="both"/>
              <w:rPr>
                <w:kern w:val="0"/>
                <w:sz w:val="20"/>
                <w:szCs w:val="20"/>
              </w:rPr>
            </w:pPr>
            <w:r>
              <w:rPr>
                <w:kern w:val="0"/>
                <w:sz w:val="20"/>
                <w:szCs w:val="20"/>
              </w:rPr>
              <w:t>(6)</w:t>
            </w:r>
          </w:p>
        </w:tc>
      </w:tr>
    </w:tbl>
    <w:p w:rsidR="00300D94" w:rsidRDefault="003F69A8">
      <w:pPr>
        <w:pStyle w:val="NormalWeb"/>
        <w:spacing w:before="0" w:beforeAutospacing="0" w:after="120" w:afterAutospacing="0" w:line="360" w:lineRule="auto"/>
        <w:jc w:val="both"/>
      </w:pPr>
      <w:r>
        <w:t xml:space="preserve">The </w:t>
      </w:r>
      <w:r>
        <w:rPr>
          <w:i/>
          <w:iCs/>
        </w:rPr>
        <w:t xml:space="preserve">C </w:t>
      </w:r>
      <w:r>
        <w:t xml:space="preserve">is a constant related to the thickness of the boundary layer in this formula, the more pronounced the impact of the boundary layer. The expression </w:t>
      </w:r>
      <w:r>
        <w:rPr>
          <w:i/>
          <w:iCs/>
        </w:rPr>
        <w:t>q</w:t>
      </w:r>
      <w:r>
        <w:rPr>
          <w:vertAlign w:val="subscript"/>
        </w:rPr>
        <w:t>t</w:t>
      </w:r>
      <w:r>
        <w:t xml:space="preserve"> gives t</w:t>
      </w:r>
      <w:r>
        <w:t xml:space="preserve">he absorption at time t, while </w:t>
      </w:r>
      <w:r>
        <w:rPr>
          <w:i/>
          <w:iCs/>
        </w:rPr>
        <w:t>k</w:t>
      </w:r>
      <w:r>
        <w:rPr>
          <w:vertAlign w:val="subscript"/>
        </w:rPr>
        <w:t>I</w:t>
      </w:r>
      <w:r>
        <w:t xml:space="preserve"> (mg/g.min</w:t>
      </w:r>
      <w:r>
        <w:rPr>
          <w:vertAlign w:val="superscript"/>
        </w:rPr>
        <w:t>0.5</w:t>
      </w:r>
      <w:r>
        <w:t xml:space="preserve">) expresses the intraparticle </w:t>
      </w:r>
      <w:r>
        <w:rPr>
          <w:color w:val="000000" w:themeColor="text1"/>
        </w:rPr>
        <w:t xml:space="preserve">diffusion rate constant </w:t>
      </w:r>
      <w:r>
        <w:rPr>
          <w:color w:val="000000" w:themeColor="text1"/>
        </w:rPr>
        <w:fldChar w:fldCharType="begin" w:fldLock="1"/>
      </w:r>
      <w:r>
        <w:rPr>
          <w:color w:val="000000" w:themeColor="text1"/>
        </w:rPr>
        <w:instrText>ADDIN CSL_CITATION {"citationItems":[{"id":"ITEM-1","itemData":{"DOI":"10.1016/j.chemosphere.2022.136732","ISSN":"18791298","abstract":"Adsorption is a wide</w:instrText>
      </w:r>
      <w:r>
        <w:rPr>
          <w:color w:val="000000" w:themeColor="text1"/>
        </w:rPr>
        <w:instrText>ly used unit process in various fields, such as chemical, environmental and pharmaceutical, etc. The intraparticle diffusion adsorption kinetics model is one of the most widely used adsorption kinetics models. However, the application and solving method of</w:instrText>
      </w:r>
      <w:r>
        <w:rPr>
          <w:color w:val="000000" w:themeColor="text1"/>
        </w:rPr>
        <w:instrText xml:space="preserve"> this model have yet to be discussed. This model has two forms (qt = kt1/2 and qt = kt1/2 + constant, where qt is the adsorption capacity at time t, k and constant are the model parameters), which have not been unified yet. Moreover, the interpretation of </w:instrText>
      </w:r>
      <w:r>
        <w:rPr>
          <w:color w:val="000000" w:themeColor="text1"/>
        </w:rPr>
        <w:instrText xml:space="preserve">this kinetics model lacks a theoretical basis (if the line passes through the origin point (0, 0), the adsorption is dominated by the intraparticle diffusion; if not, it is a multiple adsorption process). In this study, we analyzed the proper equations of </w:instrText>
      </w:r>
      <w:r>
        <w:rPr>
          <w:color w:val="000000" w:themeColor="text1"/>
        </w:rPr>
        <w:instrText>the intraparticle diffusion model and their applications, discussed the interpretation of the mass transfer steps revealed by this model, and provided the solving methods. The result indicated that the piecewise function qt = k1t1/2 (0 ≤ t ≤ t1); qt - qt =</w:instrText>
      </w:r>
      <w:r>
        <w:rPr>
          <w:color w:val="000000" w:themeColor="text1"/>
        </w:rPr>
        <w:instrText xml:space="preserve"> t1 = k2(t – t1)1/2 (t1 &lt; t ≤ t2) is the proper form of this model. The adsorbate diffusion in the pores inside the adsorbent is the mass transfer step revealed by this model. The statistical parameters should be used to evaluate the fitting results instea</w:instrText>
      </w:r>
      <w:r>
        <w:rPr>
          <w:color w:val="000000" w:themeColor="text1"/>
        </w:rPr>
        <w:instrText>d of judging whether the model lines pass through the origin point (0, 0). We provide the solving methods to use the Origin and Microsoft EXCEL software to solve the model. Our study established the method for application of the intraparticle diffusion mod</w:instrText>
      </w:r>
      <w:r>
        <w:rPr>
          <w:color w:val="000000" w:themeColor="text1"/>
        </w:rPr>
        <w:instrText>el.","author":[{"dropping-particle":"","family":"Wang","given":"Jianlong","non-dropping-particle":"","parse-names":false,"suffix":""},{"dropping-particle":"","family":"Guo","given":"Xuan","non-dropping-particle":"","parse-names":false,"suffix":""}],"contai</w:instrText>
      </w:r>
      <w:r>
        <w:rPr>
          <w:color w:val="000000" w:themeColor="text1"/>
        </w:rPr>
        <w:instrText>ner-title":"Chemosphere","id":"ITEM-1","issued":{"date-parts":[["2022"]]},"title":"Rethinking of the intraparticle diffusion adsorption kinetics model: Interpretation, solving methods and applications","type":"article-journal","volume":"309"},"uris":["http</w:instrText>
      </w:r>
      <w:r>
        <w:rPr>
          <w:color w:val="000000" w:themeColor="text1"/>
        </w:rPr>
        <w:instrText>://www.mendeley.com/documents/?uuid=0c929710-ded8-369a-a6e9-953a63143a3b"]},{"id":"ITEM-2","itemData":{"DOI":"10.1016/j.surfin.2020.100791","ISSN":"24680230","abstract":"In this work, a commercial resin with a well-developed internal pore structure was cho</w:instrText>
      </w:r>
      <w:r>
        <w:rPr>
          <w:color w:val="000000" w:themeColor="text1"/>
        </w:rPr>
        <w:instrText>sen to adsorb four parabens used as probe molecules. The main novelty was to propose and validate a phenomenological transient adsorption model based on conservation law in both phases coupled with Langmuir's equilibrium law and Fick's mass transfer rate l</w:instrText>
      </w:r>
      <w:r>
        <w:rPr>
          <w:color w:val="000000" w:themeColor="text1"/>
        </w:rPr>
        <w:instrText>aw inside the pores. With such an aim, a heterogeneous three-parameter intraparticle diffusion model, IPDM, was formulated, and its numerical solution was fitted to time-dependent concentration data by minimizing the sum of squared residuals. Equilibrium c</w:instrText>
      </w:r>
      <w:r>
        <w:rPr>
          <w:color w:val="000000" w:themeColor="text1"/>
        </w:rPr>
        <w:instrText>onstants were also predicted by fitting Langmuir isotherm to equilibrium data. A monolayer capacity of 0.81 mmol/g was calculated for the four parabens regardless of the number of carbons in the ester group. With the optimal parameters values from the IPDM</w:instrText>
      </w:r>
      <w:r>
        <w:rPr>
          <w:color w:val="000000" w:themeColor="text1"/>
        </w:rPr>
        <w:instrText xml:space="preserve"> fitting process, a system of ODEs comprising local sensitivity coefficients as dependent variables was solved to compute the parameters’ variance-covariance matrix and infer their ranges for a 95% marginal confidence interval. In order to test the validit</w:instrText>
      </w:r>
      <w:r>
        <w:rPr>
          <w:color w:val="000000" w:themeColor="text1"/>
        </w:rPr>
        <w:instrText>y of the proposed model, an attempt to crosscheck between the parameters obtained by the estimation of the equilibrium related parameter, κ, and the modified capacity parameter, ξp′, and the ones obtained by fitting the Langmuir's isotherm to equilibrium d</w:instrText>
      </w:r>
      <w:r>
        <w:rPr>
          <w:color w:val="000000" w:themeColor="text1"/>
        </w:rPr>
        <w:instrText xml:space="preserve">ata was carried out. As far as equilibrium related parameters concern, there is a relative agreement inside the limits of the confidence range between the estimated values of the amount adsorbed in equilibrium with initial bulk solution concentration, q0, </w:instrText>
      </w:r>
      <w:r>
        <w:rPr>
          <w:color w:val="000000" w:themeColor="text1"/>
        </w:rPr>
        <w:instrText>and Langmuir's equilibrium constant, K, adjusted to kinetic and equilibrium data, independently. Additionally, the order of magnitude of pore diffusivity obtained in this work is in accordance with the one predicted by Wilke-Chang correlation and is invers</w:instrText>
      </w:r>
      <w:r>
        <w:rPr>
          <w:color w:val="000000" w:themeColor="text1"/>
        </w:rPr>
        <w:instrText>ely proportional to the van der Waals volume raised to the power 0.53 in close agreement with the literature.","author":[{"dropping-particle":"","family":"Silva","given":"Luís M.S.","non-dropping-particle":"","parse-names":false,"suffix":""},{"dropping-par</w:instrText>
      </w:r>
      <w:r>
        <w:rPr>
          <w:color w:val="000000" w:themeColor="text1"/>
        </w:rPr>
        <w:instrText>ticle":"","family":"Muñoz-Peña","given":"Maria J.","non-dropping-particle":"","parse-names":false,"suffix":""},{"dropping-particle":"","family":"Domínguez-Vargas","given":"Joaquín R.","non-dropping-particle":"","parse-names":false,"suffix":""},{"dropping-p</w:instrText>
      </w:r>
      <w:r>
        <w:rPr>
          <w:color w:val="000000" w:themeColor="text1"/>
        </w:rPr>
        <w:instrText>article":"","family":"González","given":"Teresa","non-dropping-particle":"","parse-names":false,"suffix":""},{"dropping-particle":"","family":"Cuerda-Correa","given":"Eduardo M.","non-dropping-particle":"","parse-names":false,"suffix":""}],"container-title</w:instrText>
      </w:r>
      <w:r>
        <w:rPr>
          <w:color w:val="000000" w:themeColor="text1"/>
        </w:rPr>
        <w:instrText>":"Surfaces and Interfaces","id":"ITEM-2","issued":{"date-parts":[["2021"]]},"title":"Kinetic and equilibrium adsorption parameters estimation based on a heterogeneous intraparticle diffusion model","type":"article-journal","volume":"22"},"uris":["http://w</w:instrText>
      </w:r>
      <w:r>
        <w:rPr>
          <w:color w:val="000000" w:themeColor="text1"/>
        </w:rPr>
        <w:instrText>ww.mendeley.com/documents/?uuid=5f6452e6-eb21-36f5-ac62-537a9bee1db4"]}],"mendeley":{"formattedCitation":"[22, 23]","plainTextFormattedCitation":"[22, 23]","previouslyFormattedCitation":"[106,107]"},"properties":{"noteIndex":0},"schema":"https://github.com</w:instrText>
      </w:r>
      <w:r>
        <w:rPr>
          <w:color w:val="000000" w:themeColor="text1"/>
        </w:rPr>
        <w:instrText>/citation-style-language/schema/raw/master/csl-citation.json"}</w:instrText>
      </w:r>
      <w:r>
        <w:rPr>
          <w:color w:val="000000" w:themeColor="text1"/>
        </w:rPr>
        <w:fldChar w:fldCharType="separate"/>
      </w:r>
      <w:r>
        <w:rPr>
          <w:color w:val="000000" w:themeColor="text1"/>
        </w:rPr>
        <w:t>[22, 23]</w:t>
      </w:r>
      <w:r>
        <w:rPr>
          <w:color w:val="000000" w:themeColor="text1"/>
        </w:rPr>
        <w:fldChar w:fldCharType="end"/>
      </w:r>
      <w:r>
        <w:rPr>
          <w:color w:val="000000" w:themeColor="text1"/>
        </w:rPr>
        <w:t>. Fig</w:t>
      </w:r>
      <w:r>
        <w:t>. S3 and Table S3 provide diagrams of PFO, PSO, and ID kinetic models for Au(III) adsorption on OCBS@Fe</w:t>
      </w:r>
      <w:r>
        <w:rPr>
          <w:vertAlign w:val="subscript"/>
        </w:rPr>
        <w:t>3</w:t>
      </w:r>
      <w:r>
        <w:t>O</w:t>
      </w:r>
      <w:r>
        <w:rPr>
          <w:vertAlign w:val="subscript"/>
        </w:rPr>
        <w:t>4</w:t>
      </w:r>
      <w:r>
        <w:t>@UiO-66-SH adsorbent and their determined values.</w:t>
      </w:r>
    </w:p>
    <w:tbl>
      <w:tblPr>
        <w:tblStyle w:val="TableGrid"/>
        <w:tblW w:w="11232"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1"/>
        <w:gridCol w:w="5391"/>
      </w:tblGrid>
      <w:tr w:rsidR="00300D94">
        <w:trPr>
          <w:trHeight w:val="4847"/>
        </w:trPr>
        <w:tc>
          <w:tcPr>
            <w:tcW w:w="5841" w:type="dxa"/>
          </w:tcPr>
          <w:p w:rsidR="00300D94" w:rsidRDefault="003F69A8">
            <w:pPr>
              <w:tabs>
                <w:tab w:val="left" w:pos="432"/>
              </w:tabs>
              <w:spacing w:before="120" w:after="120"/>
              <w:jc w:val="both"/>
              <w:rPr>
                <w:b/>
                <w:bCs/>
                <w:kern w:val="0"/>
                <w:sz w:val="20"/>
                <w:szCs w:val="20"/>
              </w:rPr>
            </w:pPr>
            <w:r>
              <w:rPr>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482600</wp:posOffset>
                      </wp:positionH>
                      <wp:positionV relativeFrom="paragraph">
                        <wp:posOffset>213360</wp:posOffset>
                      </wp:positionV>
                      <wp:extent cx="352425" cy="31051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2425" cy="310515"/>
                              </a:xfrm>
                              <a:prstGeom prst="rect">
                                <a:avLst/>
                              </a:prstGeom>
                              <a:solidFill>
                                <a:schemeClr val="lt1"/>
                              </a:solidFill>
                              <a:ln w="6350">
                                <a:solidFill>
                                  <a:schemeClr val="bg1"/>
                                </a:solidFill>
                              </a:ln>
                            </wps:spPr>
                            <wps:txbx>
                              <w:txbxContent>
                                <w:p w:rsidR="00300D94" w:rsidRDefault="003F69A8">
                                  <w:pPr>
                                    <w:rPr>
                                      <w:sz w:val="22"/>
                                      <w:szCs w:val="24"/>
                                    </w:rPr>
                                  </w:pPr>
                                  <w:r>
                                    <w:rPr>
                                      <w:sz w:val="22"/>
                                      <w:szCs w:val="24"/>
                                    </w:rPr>
                                    <w:t>(a)</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8pt;margin-top:16.8pt;height:24.45pt;width:27.75pt;mso-wrap-style:none;z-index:251660288;mso-width-relative:page;mso-height-relative:page;" fillcolor="#FFFFFF [3201]" filled="t" stroked="t" coordsize="21600,21600" o:gfxdata="UEsDBAoAAAAAAIdO4kAAAAAAAAAAAAAAAAAEAAAAZHJzL1BLAwQUAAAACACHTuJAyggDC9cAAAAI&#10;AQAADwAAAGRycy9kb3ducmV2LnhtbE2PT0+DQBTE7yZ+h81r4s0uCyk2yKPRJl6MFymJ1y37Ctj9&#10;Q9gtxW/v9qTHyUxmflPuFqPZTJMfnEUQ6wQY2dapwXYIzeHtcQvMB2mV1M4Swg952FX3d6UslLva&#10;T5rr0LFYYn0hEfoQxoJz3/ZkpF+7kWz0Tm4yMkQ5dVxN8hrLjeZpkuTcyMHGhV6OtO+pPdcXg/D+&#10;nTVhfq1PH+m+0ZS/iK9uEYgPK5E8Awu0hL8w3PAjOlSR6eguVnmmEZ7yeCUgZFkO7OZnYgPsiLBN&#10;N8Crkv8/UP0CUEsDBBQAAAAIAIdO4kD94GcUPQIAALQEAAAOAAAAZHJzL2Uyb0RvYy54bWytVEuP&#10;2jAQvlfqf7B8L+G5tIiwoiCqSqi7Elv1bByHWLI9lm1I6K/v2Aksu+2BQzmYefHNzDczzB8brchJ&#10;OC/B5HTQ61MiDIdCmkNOf75sPn2mxAdmCqbAiJyehaePi48f5rWdiSFUoArhCIIYP6ttTqsQ7CzL&#10;PK+EZr4HVhh0luA0C6i6Q1Y4ViO6Vtmw33/IanCFdcCF92hdt07aIbp7AKEsJRdr4EctTGhRnVAs&#10;YEu+ktbTRaq2LAUPT2XpRSAqp9hpSC8mQXkf32wxZ7ODY7aSvCuB3VPCu540kwaTXqHWLDBydPIv&#10;KC25Aw9l6HHQWdtIYgS7GPTfcbOrmBWpF6Ta2yvp/v/B8h+nZ0dkkdMpJYZpHPiLaAL5Cg2ZRnZq&#10;62cYtLMYFho0485c7B6NsemmdDp+YzsE/cjt+cptBONoHE2G4+GEEo6u0aA/GUwiSvb6Y+t8+CZA&#10;kyjk1OHoEqPstPWhDb2ExFwelCw2UqmkuMN+pRw5MRzzJn069DdhypA6pw+jST8hv/H5eyCwXGWw&#10;6khK23yUQrNvOqb2UJyRKAftonnLNxLb2TIfnpnDzUJu8PbCEz6lAqwGOomSCtzvf9ljPA4cvZTU&#10;uKk5NXiYlKjvBhfhy2A8joudlPFkOkTF3Xr2tx5z1CtAjgZ445YnMcYHdRFLB/oXHugy5kQXMxwz&#10;5zRcxFVorwcPnIvlMgXhKlsWtmZneYSOEzGwPAYoZZpcJKllpuMOlznNvju8eC23eop6/bNZ/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CAML1wAAAAgBAAAPAAAAAAAAAAEAIAAAACIAAABkcnMv&#10;ZG93bnJldi54bWxQSwECFAAUAAAACACHTuJA/eBnFD0CAAC0BAAADgAAAAAAAAABACAAAAAmAQAA&#10;ZHJzL2Uyb0RvYy54bWxQSwUGAAAAAAYABgBZAQAA1QUAAAAA&#10;">
                      <v:fill on="t" focussize="0,0"/>
                      <v:stroke weight="0.5pt" color="#FFFFFF [3212]" joinstyle="round"/>
                      <v:imagedata o:title=""/>
                      <o:lock v:ext="edit" aspectratio="f"/>
                      <v:textbox>
                        <w:txbxContent>
                          <w:p w14:paraId="542C3964">
                            <w:pPr>
                              <w:rPr>
                                <w:sz w:val="22"/>
                                <w:szCs w:val="24"/>
                              </w:rPr>
                            </w:pPr>
                            <w:r>
                              <w:rPr>
                                <w:sz w:val="22"/>
                                <w:szCs w:val="24"/>
                              </w:rPr>
                              <w:t>(a)</w:t>
                            </w:r>
                          </w:p>
                        </w:txbxContent>
                      </v:textbox>
                    </v:shape>
                  </w:pict>
                </mc:Fallback>
              </mc:AlternateContent>
            </w:r>
            <w:r>
              <w:object w:dxaOrig="5235" w:dyaOrig="3885">
                <v:shape id="_x0000_i1028" type="#_x0000_t75" style="width:261.5pt;height:194.1pt" o:ole="">
                  <v:imagedata r:id="rId16" o:title=""/>
                </v:shape>
                <o:OLEObject Type="Embed" ProgID="PBrush" ShapeID="_x0000_i1028" DrawAspect="Content" ObjectID="_1801384385" r:id="rId17"/>
              </w:object>
            </w:r>
          </w:p>
        </w:tc>
        <w:tc>
          <w:tcPr>
            <w:tcW w:w="5391" w:type="dxa"/>
          </w:tcPr>
          <w:p w:rsidR="00300D94" w:rsidRDefault="003F69A8">
            <w:pPr>
              <w:tabs>
                <w:tab w:val="left" w:pos="432"/>
              </w:tabs>
              <w:spacing w:before="120" w:after="120"/>
              <w:ind w:left="-138"/>
              <w:jc w:val="both"/>
              <w:rPr>
                <w:b/>
                <w:bCs/>
                <w:kern w:val="0"/>
                <w:sz w:val="20"/>
                <w:szCs w:val="20"/>
              </w:rPr>
            </w:pPr>
            <w:r>
              <w:rPr>
                <w:noProof/>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531495</wp:posOffset>
                      </wp:positionH>
                      <wp:positionV relativeFrom="paragraph">
                        <wp:posOffset>260985</wp:posOffset>
                      </wp:positionV>
                      <wp:extent cx="352425" cy="310515"/>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52425" cy="310515"/>
                              </a:xfrm>
                              <a:prstGeom prst="rect">
                                <a:avLst/>
                              </a:prstGeom>
                              <a:solidFill>
                                <a:schemeClr val="lt1"/>
                              </a:solidFill>
                              <a:ln w="6350">
                                <a:solidFill>
                                  <a:schemeClr val="bg1"/>
                                </a:solidFill>
                              </a:ln>
                            </wps:spPr>
                            <wps:txbx>
                              <w:txbxContent>
                                <w:p w:rsidR="00300D94" w:rsidRDefault="003F69A8">
                                  <w:pPr>
                                    <w:rPr>
                                      <w:sz w:val="22"/>
                                      <w:szCs w:val="24"/>
                                    </w:rPr>
                                  </w:pPr>
                                  <w:r>
                                    <w:rPr>
                                      <w:sz w:val="22"/>
                                      <w:szCs w:val="24"/>
                                    </w:rPr>
                                    <w:t>(b)</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1.85pt;margin-top:20.55pt;height:24.45pt;width:27.75pt;mso-wrap-style:none;z-index:251659264;mso-width-relative:page;mso-height-relative:page;" fillcolor="#FFFFFF [3201]" filled="t" stroked="t" coordsize="21600,21600" o:gfxdata="UEsDBAoAAAAAAIdO4kAAAAAAAAAAAAAAAAAEAAAAZHJzL1BLAwQUAAAACACHTuJABRa4VdYAAAAI&#10;AQAADwAAAGRycy9kb3ducmV2LnhtbE2PMU/DMBSEdyT+g/WQ2KjtBJU2xKmgEgtiIURidePXJGA/&#10;R7Gbhn+PO8F4utPdd+VucZbNOIXBkwK5EsCQWm8G6hQ0Hy93G2AhajLaekIFPxhgV11flbow/kzv&#10;ONexY6mEQqEV9DGOBeeh7dHpsPIjUvKOfnI6Jjl13Ez6nMqd5ZkQa+70QGmh1yPue2y/65NT8PqV&#10;N3F+ro9v2b6xuH6Sn90ilbq9keIRWMQl/oXhgp/QoUpMB38iE5hVsMkfUlLBvZTALn6+zYAdFGyF&#10;AF6V/P+B6hdQSwMEFAAAAAgAh07iQGpVSLQ9AgAAtAQAAA4AAABkcnMvZTJvRG9jLnhtbK1UTY8a&#10;MQy9V+p/iHIvw3e3iGFFQVSVUHcltuo5ZDJMpCSOksAM/fV1MgPLbnvgUA7Bsc2L37PN/LHRipyE&#10;8xJMTge9PiXCcCikOeT058vm0wMlPjBTMAVG5PQsPH1cfPwwr+1MDKECVQhHEMT4WW1zWoVgZ1nm&#10;eSU08z2wwmCwBKdZwKs7ZIVjNaJrlQ37/WlWgyusAy68R++6DdIO0d0DCGUpuVgDP2phQovqhGIB&#10;KflKWk8XqdqyFDw8laUXgaicItOQTnwE7X08s8WczQ6O2UryrgR2TwnvOGkmDT56hVqzwMjRyb+g&#10;tOQOPJShx0FnLZGkCLIY9N9ps6uYFYkLSu3tVXT//2D5j9OzI7LI6ZQSwzQ2/EU0gXyFhkyjOrX1&#10;M0zaWUwLDbpxZi5+j85Iuimdjt9Ih2ActT1ftY1gHJ2jyXA8nFDCMTQa9CeDSUTJXn9snQ/fBGgS&#10;jZw6bF1SlJ22PrSpl5T4lgcli41UKl3cYb9SjpwYtnmTPh36mzRlSI1ER5N+Qn4T8/dAYLnKYNVR&#10;lJZ8tEKzbzql9lCcUSgH7aB5yzcS6WyZD8/M4WShNrh74QmPUgFWA51FSQXu97/8MR8bjlFKapzU&#10;nBpcTErUd4OD8GUwHsfBTpfx5PMQL+42sr+NmKNeAWo0wB23PJkxP6iLWTrQv3BBl/FNDDHD8eWc&#10;hou5Cu324IJzsVymJBxly8LW7CyP0LEjBpbHAKVMnYsitcp02uEwp953ixe35faesl7/bB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UWuFXWAAAACAEAAA8AAAAAAAAAAQAgAAAAIgAAAGRycy9k&#10;b3ducmV2LnhtbFBLAQIUABQAAAAIAIdO4kBqVUi0PQIAALQEAAAOAAAAAAAAAAEAIAAAACUBAABk&#10;cnMvZTJvRG9jLnhtbFBLBQYAAAAABgAGAFkBAADUBQAAAAA=&#10;">
                      <v:fill on="t" focussize="0,0"/>
                      <v:stroke weight="0.5pt" color="#FFFFFF [3212]" joinstyle="round"/>
                      <v:imagedata o:title=""/>
                      <o:lock v:ext="edit" aspectratio="f"/>
                      <v:textbox>
                        <w:txbxContent>
                          <w:p w14:paraId="5D201B7E">
                            <w:pPr>
                              <w:rPr>
                                <w:sz w:val="22"/>
                                <w:szCs w:val="24"/>
                              </w:rPr>
                            </w:pPr>
                            <w:r>
                              <w:rPr>
                                <w:sz w:val="22"/>
                                <w:szCs w:val="24"/>
                              </w:rPr>
                              <w:t>(b)</w:t>
                            </w:r>
                          </w:p>
                        </w:txbxContent>
                      </v:textbox>
                    </v:shape>
                  </w:pict>
                </mc:Fallback>
              </mc:AlternateContent>
            </w:r>
            <w:r>
              <w:object w:dxaOrig="5325" w:dyaOrig="3765">
                <v:shape id="_x0000_i1029" type="#_x0000_t75" style="width:266.1pt;height:188.35pt" o:ole="">
                  <v:imagedata r:id="rId18" o:title=""/>
                </v:shape>
                <o:OLEObject Type="Embed" ProgID="PBrush" ShapeID="_x0000_i1029" DrawAspect="Content" ObjectID="_1801384386" r:id="rId19"/>
              </w:object>
            </w:r>
          </w:p>
          <w:p w:rsidR="00300D94" w:rsidRDefault="003F69A8">
            <w:pPr>
              <w:tabs>
                <w:tab w:val="left" w:pos="3144"/>
              </w:tabs>
              <w:spacing w:after="120"/>
              <w:ind w:left="-594"/>
              <w:jc w:val="left"/>
              <w:rPr>
                <w:kern w:val="0"/>
                <w:sz w:val="20"/>
                <w:szCs w:val="20"/>
              </w:rPr>
            </w:pPr>
            <w:r>
              <w:rPr>
                <w:kern w:val="0"/>
                <w:sz w:val="20"/>
                <w:szCs w:val="20"/>
              </w:rPr>
              <w:tab/>
            </w:r>
          </w:p>
        </w:tc>
      </w:tr>
      <w:tr w:rsidR="00300D94">
        <w:trPr>
          <w:trHeight w:val="4894"/>
        </w:trPr>
        <w:tc>
          <w:tcPr>
            <w:tcW w:w="11232" w:type="dxa"/>
            <w:gridSpan w:val="2"/>
          </w:tcPr>
          <w:p w:rsidR="00300D94" w:rsidRDefault="003F69A8">
            <w:pPr>
              <w:tabs>
                <w:tab w:val="left" w:pos="432"/>
              </w:tabs>
              <w:spacing w:before="120" w:after="120"/>
              <w:jc w:val="center"/>
              <w:rPr>
                <w:b/>
                <w:bCs/>
                <w:kern w:val="0"/>
                <w:sz w:val="20"/>
                <w:szCs w:val="20"/>
              </w:rPr>
            </w:pPr>
            <w:r>
              <w:rPr>
                <w:noProof/>
                <w:kern w:val="0"/>
                <w:sz w:val="20"/>
                <w:szCs w:val="20"/>
              </w:rPr>
              <w:lastRenderedPageBreak/>
              <mc:AlternateContent>
                <mc:Choice Requires="wps">
                  <w:drawing>
                    <wp:anchor distT="0" distB="0" distL="114300" distR="114300" simplePos="0" relativeHeight="251661312" behindDoc="0" locked="0" layoutInCell="1" allowOverlap="1">
                      <wp:simplePos x="0" y="0"/>
                      <wp:positionH relativeFrom="column">
                        <wp:posOffset>4067175</wp:posOffset>
                      </wp:positionH>
                      <wp:positionV relativeFrom="paragraph">
                        <wp:posOffset>257175</wp:posOffset>
                      </wp:positionV>
                      <wp:extent cx="344805" cy="310515"/>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805" cy="310515"/>
                              </a:xfrm>
                              <a:prstGeom prst="rect">
                                <a:avLst/>
                              </a:prstGeom>
                              <a:solidFill>
                                <a:schemeClr val="lt1"/>
                              </a:solidFill>
                              <a:ln w="6350">
                                <a:solidFill>
                                  <a:schemeClr val="bg1"/>
                                </a:solidFill>
                              </a:ln>
                            </wps:spPr>
                            <wps:txbx>
                              <w:txbxContent>
                                <w:p w:rsidR="00300D94" w:rsidRDefault="003F69A8">
                                  <w:pPr>
                                    <w:rPr>
                                      <w:sz w:val="22"/>
                                      <w:szCs w:val="24"/>
                                    </w:rPr>
                                  </w:pPr>
                                  <w:r>
                                    <w:rPr>
                                      <w:sz w:val="22"/>
                                      <w:szCs w:val="24"/>
                                    </w:rPr>
                                    <w:t>(c)</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20.25pt;margin-top:20.25pt;height:24.45pt;width:27.15pt;mso-wrap-style:none;z-index:251661312;mso-width-relative:page;mso-height-relative:page;" fillcolor="#FFFFFF [3201]" filled="t" stroked="t" coordsize="21600,21600" o:gfxdata="UEsDBAoAAAAAAIdO4kAAAAAAAAAAAAAAAAAEAAAAZHJzL1BLAwQUAAAACACHTuJAmds7mtcAAAAJ&#10;AQAADwAAAGRycy9kb3ducmV2LnhtbE2PwU7DMAyG70i8Q2QkbizpKNVW6k4wiQviQqnENWu8ttAk&#10;VZN15e0xXOBkWf70+/uL3WIHMdMUeu8QkpUCQa7xpnctQv32dLMBEaJ2Rg/eEcIXBdiVlxeFzo0/&#10;u1eaq9gKDnEh1whdjGMuZWg6sjqs/EiOb0c/WR15nVppJn3mcDvItVKZtLp3/KHTI+07aj6rk0V4&#10;/rit4/xYHV/W+3qg7CF5b5cE8foqUfcgIi3xD4YffVaHkp0O/uRMEANClqo7RhF+JwPZNuUuB4TN&#10;NgVZFvJ/g/IbUEsDBBQAAAAIAIdO4kCfXjgHPQIAALQEAAAOAAAAZHJzL2Uyb0RvYy54bWytVEuP&#10;2jAQvlfqf7B8Lwmv7RYRVhREVWnVXYmtejaOQyzZHss2JPTXd+wElt32wKEczLz4ZuabGeYPrVbk&#10;KJyXYAo6HOSUCMOhlGZf0J8vm0/3lPjATMkUGFHQk/D0YfHxw7yxMzGCGlQpHEEQ42eNLWgdgp1l&#10;mee10MwPwAqDzgqcZgFVt89KxxpE1yob5fld1oArrQMuvEfrunPSHtHdAghVJblYAz9oYUKH6oRi&#10;AVvytbSeLlK1VSV4eKoqLwJRBcVOQ3oxCcq7+GaLOZvtHbO15H0J7JYS3vWkmTSY9AK1ZoGRg5N/&#10;QWnJHXiowoCDzrpGEiPYxTB/x822ZlakXpBqby+k+/8Hy38cnx2RZUFHlBimceAvog3kK7RkFNlp&#10;rJ9h0NZiWGjRjDtztns0xqbbyun4je0Q9CO3pwu3EYyjcTyZ3OdTSji6xsN8OpxGlOz1x9b58E2A&#10;JlEoqMPRJUbZ8dGHLvQcEnN5ULLcSKWS4va7lXLkyHDMm/Tp0d+EKUOagt6Np3lCfuPzt0Bgucpg&#10;1ZGUrvkohXbX9kztoDwhUQ66RfOWbyS288h8eGYONwu5wdsLT/hUCrAa6CVKanC//2WP8Thw9FLS&#10;4KYW1OBhUqK+G1yEL8PJJC52UibTzyNU3LVnd+0xB70C5GiIN255EmN8UGexcqB/4YEuY050McMx&#10;c0HDWVyF7nrwwLlYLlMQrrJl4dFsLY/QcSIGlocAlUyTiyR1zPTc4TKn2feHF6/lWk9Rr382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Z2zua1wAAAAkBAAAPAAAAAAAAAAEAIAAAACIAAABkcnMv&#10;ZG93bnJldi54bWxQSwECFAAUAAAACACHTuJAn144Bz0CAAC0BAAADgAAAAAAAAABACAAAAAmAQAA&#10;ZHJzL2Uyb0RvYy54bWxQSwUGAAAAAAYABgBZAQAA1QUAAAAA&#10;">
                      <v:fill on="t" focussize="0,0"/>
                      <v:stroke weight="0.5pt" color="#FFFFFF [3212]" joinstyle="round"/>
                      <v:imagedata o:title=""/>
                      <o:lock v:ext="edit" aspectratio="f"/>
                      <v:textbox>
                        <w:txbxContent>
                          <w:p w14:paraId="26F28846">
                            <w:pPr>
                              <w:rPr>
                                <w:sz w:val="22"/>
                                <w:szCs w:val="24"/>
                              </w:rPr>
                            </w:pPr>
                            <w:r>
                              <w:rPr>
                                <w:sz w:val="22"/>
                                <w:szCs w:val="24"/>
                              </w:rPr>
                              <w:t>(c)</w:t>
                            </w:r>
                          </w:p>
                        </w:txbxContent>
                      </v:textbox>
                    </v:shape>
                  </w:pict>
                </mc:Fallback>
              </mc:AlternateContent>
            </w:r>
            <w:r>
              <w:object w:dxaOrig="6120" w:dyaOrig="4290">
                <v:shape id="_x0000_i1030" type="#_x0000_t75" style="width:305.85pt;height:214.25pt" o:ole="">
                  <v:imagedata r:id="rId20" o:title=""/>
                </v:shape>
                <o:OLEObject Type="Embed" ProgID="PBrush" ShapeID="_x0000_i1030" DrawAspect="Content" ObjectID="_1801384387" r:id="rId21"/>
              </w:object>
            </w:r>
          </w:p>
        </w:tc>
      </w:tr>
    </w:tbl>
    <w:p w:rsidR="00300D94" w:rsidRDefault="003F69A8">
      <w:pPr>
        <w:tabs>
          <w:tab w:val="left" w:pos="432"/>
        </w:tabs>
        <w:spacing w:before="120" w:after="120"/>
        <w:jc w:val="both"/>
      </w:pPr>
      <w:r>
        <w:rPr>
          <w:b/>
          <w:bCs/>
        </w:rPr>
        <w:t>Fig. S3</w:t>
      </w:r>
      <w:r>
        <w:t xml:space="preserve"> Plots of (a) PFO, (b) PSO kinetic models, and (c) ID model for Au(III) adsorption onto OCBS@Fe</w:t>
      </w:r>
      <w:r>
        <w:rPr>
          <w:vertAlign w:val="subscript"/>
        </w:rPr>
        <w:t>3</w:t>
      </w:r>
      <w:r>
        <w:t>O</w:t>
      </w:r>
      <w:r>
        <w:rPr>
          <w:vertAlign w:val="subscript"/>
        </w:rPr>
        <w:t>4</w:t>
      </w:r>
      <w:r>
        <w:t>@UiO-66-SH adsorbent.</w:t>
      </w:r>
    </w:p>
    <w:p w:rsidR="00300D94" w:rsidRDefault="00300D94">
      <w:pPr>
        <w:pStyle w:val="NormalWeb"/>
        <w:spacing w:before="0" w:beforeAutospacing="0" w:after="120" w:afterAutospacing="0" w:line="360" w:lineRule="auto"/>
        <w:jc w:val="both"/>
        <w:rPr>
          <w:b/>
          <w:bCs/>
        </w:rPr>
      </w:pPr>
    </w:p>
    <w:p w:rsidR="00300D94" w:rsidRDefault="003F69A8">
      <w:pPr>
        <w:tabs>
          <w:tab w:val="left" w:pos="432"/>
        </w:tabs>
        <w:spacing w:before="120" w:after="120"/>
        <w:jc w:val="both"/>
      </w:pPr>
      <w:r>
        <w:rPr>
          <w:b/>
          <w:bCs/>
        </w:rPr>
        <w:t xml:space="preserve">Table S3 </w:t>
      </w:r>
      <w:r>
        <w:t>PFO, PDO, and ID kinetic models for Au(III) adsorption onto</w:t>
      </w:r>
      <w:r>
        <w:t xml:space="preserve"> OCBS@Fe</w:t>
      </w:r>
      <w:r>
        <w:rPr>
          <w:vertAlign w:val="subscript"/>
        </w:rPr>
        <w:t>3</w:t>
      </w:r>
      <w:r>
        <w:t>O</w:t>
      </w:r>
      <w:r>
        <w:rPr>
          <w:vertAlign w:val="subscript"/>
        </w:rPr>
        <w:t>4</w:t>
      </w:r>
      <w:r>
        <w:t>@UiO-66-SH adsorbent</w:t>
      </w:r>
    </w:p>
    <w:tbl>
      <w:tblPr>
        <w:tblStyle w:val="TableGrid"/>
        <w:tblW w:w="5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96"/>
        <w:gridCol w:w="1563"/>
      </w:tblGrid>
      <w:tr w:rsidR="00300D94">
        <w:trPr>
          <w:jc w:val="center"/>
        </w:trPr>
        <w:tc>
          <w:tcPr>
            <w:tcW w:w="1980" w:type="dxa"/>
            <w:tcBorders>
              <w:top w:val="single" w:sz="4" w:space="0" w:color="auto"/>
              <w:bottom w:val="single" w:sz="4" w:space="0" w:color="auto"/>
            </w:tcBorders>
            <w:vAlign w:val="center"/>
          </w:tcPr>
          <w:p w:rsidR="00300D94" w:rsidRDefault="003F69A8">
            <w:pPr>
              <w:tabs>
                <w:tab w:val="left" w:pos="432"/>
              </w:tabs>
              <w:spacing w:line="240" w:lineRule="auto"/>
              <w:jc w:val="center"/>
              <w:rPr>
                <w:b/>
                <w:bCs/>
                <w:kern w:val="0"/>
                <w:sz w:val="20"/>
                <w:szCs w:val="20"/>
              </w:rPr>
            </w:pPr>
            <w:bookmarkStart w:id="2" w:name="_Hlk179715642"/>
            <w:r>
              <w:rPr>
                <w:b/>
                <w:bCs/>
                <w:kern w:val="0"/>
                <w:sz w:val="20"/>
                <w:szCs w:val="20"/>
              </w:rPr>
              <w:t>Model</w:t>
            </w:r>
          </w:p>
        </w:tc>
        <w:tc>
          <w:tcPr>
            <w:tcW w:w="2196" w:type="dxa"/>
            <w:tcBorders>
              <w:top w:val="single" w:sz="4" w:space="0" w:color="auto"/>
              <w:bottom w:val="single" w:sz="4" w:space="0" w:color="auto"/>
            </w:tcBorders>
            <w:vAlign w:val="center"/>
          </w:tcPr>
          <w:p w:rsidR="00300D94" w:rsidRDefault="003F69A8">
            <w:pPr>
              <w:tabs>
                <w:tab w:val="left" w:pos="432"/>
              </w:tabs>
              <w:spacing w:line="240" w:lineRule="auto"/>
              <w:jc w:val="center"/>
              <w:rPr>
                <w:b/>
                <w:bCs/>
                <w:kern w:val="0"/>
                <w:sz w:val="20"/>
                <w:szCs w:val="20"/>
              </w:rPr>
            </w:pPr>
            <w:r>
              <w:rPr>
                <w:b/>
                <w:bCs/>
                <w:kern w:val="0"/>
                <w:sz w:val="20"/>
                <w:szCs w:val="20"/>
              </w:rPr>
              <w:t>Parameter</w:t>
            </w:r>
          </w:p>
        </w:tc>
        <w:tc>
          <w:tcPr>
            <w:tcW w:w="1563" w:type="dxa"/>
            <w:tcBorders>
              <w:top w:val="single" w:sz="4" w:space="0" w:color="auto"/>
              <w:bottom w:val="single" w:sz="4" w:space="0" w:color="auto"/>
            </w:tcBorders>
            <w:vAlign w:val="center"/>
          </w:tcPr>
          <w:p w:rsidR="00300D94" w:rsidRDefault="003F69A8">
            <w:pPr>
              <w:tabs>
                <w:tab w:val="left" w:pos="432"/>
              </w:tabs>
              <w:spacing w:line="240" w:lineRule="auto"/>
              <w:jc w:val="center"/>
              <w:rPr>
                <w:b/>
                <w:bCs/>
                <w:kern w:val="0"/>
                <w:sz w:val="20"/>
                <w:szCs w:val="20"/>
              </w:rPr>
            </w:pPr>
            <w:r>
              <w:rPr>
                <w:b/>
                <w:bCs/>
                <w:kern w:val="0"/>
                <w:sz w:val="20"/>
                <w:szCs w:val="20"/>
              </w:rPr>
              <w:t>Value</w:t>
            </w:r>
          </w:p>
        </w:tc>
      </w:tr>
      <w:tr w:rsidR="00300D94">
        <w:trPr>
          <w:trHeight w:val="152"/>
          <w:jc w:val="center"/>
        </w:trPr>
        <w:tc>
          <w:tcPr>
            <w:tcW w:w="1980" w:type="dxa"/>
            <w:vMerge w:val="restart"/>
            <w:tcBorders>
              <w:top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 xml:space="preserve">PFO </w:t>
            </w:r>
          </w:p>
        </w:tc>
        <w:tc>
          <w:tcPr>
            <w:tcW w:w="2196" w:type="dxa"/>
            <w:tcBorders>
              <w:top w:val="single" w:sz="4" w:space="0" w:color="auto"/>
            </w:tcBorders>
            <w:vAlign w:val="center"/>
          </w:tcPr>
          <w:p w:rsidR="00300D94" w:rsidRDefault="003F69A8">
            <w:pPr>
              <w:tabs>
                <w:tab w:val="left" w:pos="432"/>
              </w:tabs>
              <w:spacing w:line="240" w:lineRule="auto"/>
              <w:jc w:val="center"/>
              <w:rPr>
                <w:kern w:val="0"/>
                <w:sz w:val="20"/>
                <w:szCs w:val="20"/>
              </w:rPr>
            </w:pPr>
            <w:r>
              <w:rPr>
                <w:i/>
                <w:iCs/>
                <w:kern w:val="0"/>
                <w:sz w:val="20"/>
                <w:szCs w:val="20"/>
              </w:rPr>
              <w:t>k</w:t>
            </w:r>
            <w:r>
              <w:rPr>
                <w:kern w:val="0"/>
                <w:sz w:val="20"/>
                <w:szCs w:val="20"/>
                <w:vertAlign w:val="subscript"/>
              </w:rPr>
              <w:t>1</w:t>
            </w:r>
            <w:r>
              <w:rPr>
                <w:kern w:val="0"/>
                <w:sz w:val="20"/>
                <w:szCs w:val="20"/>
              </w:rPr>
              <w:t xml:space="preserve"> (min</w:t>
            </w:r>
            <w:r>
              <w:rPr>
                <w:rFonts w:asciiTheme="majorBidi" w:eastAsia="Times New Roman" w:hAnsiTheme="majorBidi" w:cstheme="majorBidi"/>
                <w:kern w:val="0"/>
                <w:sz w:val="20"/>
                <w:szCs w:val="24"/>
                <w:vertAlign w:val="superscript"/>
              </w:rPr>
              <w:t>-1</w:t>
            </w:r>
            <w:r>
              <w:rPr>
                <w:kern w:val="0"/>
                <w:sz w:val="20"/>
                <w:szCs w:val="20"/>
              </w:rPr>
              <w:t>)</w:t>
            </w:r>
          </w:p>
        </w:tc>
        <w:tc>
          <w:tcPr>
            <w:tcW w:w="1563" w:type="dxa"/>
            <w:tcBorders>
              <w:top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0.1324</w:t>
            </w:r>
          </w:p>
        </w:tc>
      </w:tr>
      <w:tr w:rsidR="00300D94">
        <w:trPr>
          <w:trHeight w:val="152"/>
          <w:jc w:val="center"/>
        </w:trPr>
        <w:tc>
          <w:tcPr>
            <w:tcW w:w="1980" w:type="dxa"/>
            <w:vMerge/>
            <w:vAlign w:val="center"/>
          </w:tcPr>
          <w:p w:rsidR="00300D94" w:rsidRDefault="00300D94">
            <w:pPr>
              <w:tabs>
                <w:tab w:val="left" w:pos="432"/>
              </w:tabs>
              <w:spacing w:line="240" w:lineRule="auto"/>
              <w:jc w:val="center"/>
              <w:rPr>
                <w:kern w:val="0"/>
                <w:sz w:val="20"/>
                <w:szCs w:val="20"/>
              </w:rPr>
            </w:pPr>
          </w:p>
        </w:tc>
        <w:tc>
          <w:tcPr>
            <w:tcW w:w="2196" w:type="dxa"/>
            <w:vAlign w:val="center"/>
          </w:tcPr>
          <w:p w:rsidR="00300D94" w:rsidRDefault="003F69A8">
            <w:pPr>
              <w:tabs>
                <w:tab w:val="left" w:pos="432"/>
              </w:tabs>
              <w:spacing w:line="240" w:lineRule="auto"/>
              <w:jc w:val="center"/>
              <w:rPr>
                <w:kern w:val="0"/>
                <w:sz w:val="20"/>
                <w:szCs w:val="20"/>
              </w:rPr>
            </w:pPr>
            <w:r>
              <w:rPr>
                <w:i/>
                <w:iCs/>
                <w:kern w:val="0"/>
                <w:sz w:val="20"/>
                <w:szCs w:val="20"/>
              </w:rPr>
              <w:t>q</w:t>
            </w:r>
            <w:r>
              <w:rPr>
                <w:kern w:val="0"/>
                <w:sz w:val="20"/>
                <w:szCs w:val="20"/>
                <w:vertAlign w:val="subscript"/>
              </w:rPr>
              <w:t>e</w:t>
            </w:r>
            <w:r>
              <w:rPr>
                <w:kern w:val="0"/>
                <w:sz w:val="20"/>
                <w:szCs w:val="20"/>
              </w:rPr>
              <w:t xml:space="preserve"> (mg/g)</w:t>
            </w:r>
          </w:p>
        </w:tc>
        <w:tc>
          <w:tcPr>
            <w:tcW w:w="1563" w:type="dxa"/>
            <w:vAlign w:val="center"/>
          </w:tcPr>
          <w:p w:rsidR="00300D94" w:rsidRDefault="003F69A8">
            <w:pPr>
              <w:tabs>
                <w:tab w:val="left" w:pos="432"/>
              </w:tabs>
              <w:spacing w:line="240" w:lineRule="auto"/>
              <w:jc w:val="center"/>
              <w:rPr>
                <w:kern w:val="0"/>
                <w:sz w:val="20"/>
                <w:szCs w:val="20"/>
              </w:rPr>
            </w:pPr>
            <w:r>
              <w:rPr>
                <w:kern w:val="0"/>
                <w:sz w:val="20"/>
                <w:szCs w:val="20"/>
              </w:rPr>
              <w:t>1564.5</w:t>
            </w:r>
          </w:p>
        </w:tc>
      </w:tr>
      <w:tr w:rsidR="00300D94">
        <w:trPr>
          <w:trHeight w:val="152"/>
          <w:jc w:val="center"/>
        </w:trPr>
        <w:tc>
          <w:tcPr>
            <w:tcW w:w="1980" w:type="dxa"/>
            <w:vMerge/>
            <w:tcBorders>
              <w:bottom w:val="single" w:sz="4" w:space="0" w:color="auto"/>
            </w:tcBorders>
            <w:vAlign w:val="center"/>
          </w:tcPr>
          <w:p w:rsidR="00300D94" w:rsidRDefault="00300D94">
            <w:pPr>
              <w:tabs>
                <w:tab w:val="left" w:pos="432"/>
              </w:tabs>
              <w:spacing w:line="240" w:lineRule="auto"/>
              <w:jc w:val="center"/>
              <w:rPr>
                <w:kern w:val="0"/>
                <w:sz w:val="20"/>
                <w:szCs w:val="20"/>
              </w:rPr>
            </w:pPr>
          </w:p>
        </w:tc>
        <w:tc>
          <w:tcPr>
            <w:tcW w:w="2196"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R</w:t>
            </w:r>
            <w:r>
              <w:rPr>
                <w:kern w:val="0"/>
                <w:sz w:val="20"/>
                <w:szCs w:val="20"/>
                <w:vertAlign w:val="superscript"/>
              </w:rPr>
              <w:t>2</w:t>
            </w:r>
          </w:p>
        </w:tc>
        <w:tc>
          <w:tcPr>
            <w:tcW w:w="1563"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0.9976</w:t>
            </w:r>
          </w:p>
        </w:tc>
      </w:tr>
      <w:tr w:rsidR="00300D94">
        <w:trPr>
          <w:trHeight w:val="152"/>
          <w:jc w:val="center"/>
        </w:trPr>
        <w:tc>
          <w:tcPr>
            <w:tcW w:w="1980" w:type="dxa"/>
            <w:vMerge w:val="restart"/>
            <w:tcBorders>
              <w:top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 xml:space="preserve">PSO </w:t>
            </w:r>
          </w:p>
        </w:tc>
        <w:tc>
          <w:tcPr>
            <w:tcW w:w="2196" w:type="dxa"/>
            <w:tcBorders>
              <w:top w:val="single" w:sz="4" w:space="0" w:color="auto"/>
            </w:tcBorders>
            <w:vAlign w:val="center"/>
          </w:tcPr>
          <w:p w:rsidR="00300D94" w:rsidRDefault="003F69A8">
            <w:pPr>
              <w:tabs>
                <w:tab w:val="left" w:pos="432"/>
              </w:tabs>
              <w:spacing w:line="240" w:lineRule="auto"/>
              <w:jc w:val="center"/>
              <w:rPr>
                <w:kern w:val="0"/>
                <w:sz w:val="20"/>
                <w:szCs w:val="20"/>
              </w:rPr>
            </w:pPr>
            <w:r>
              <w:rPr>
                <w:i/>
                <w:iCs/>
                <w:kern w:val="0"/>
                <w:sz w:val="20"/>
                <w:szCs w:val="20"/>
              </w:rPr>
              <w:t>k</w:t>
            </w:r>
            <w:r>
              <w:rPr>
                <w:kern w:val="0"/>
                <w:sz w:val="20"/>
                <w:szCs w:val="20"/>
                <w:vertAlign w:val="subscript"/>
              </w:rPr>
              <w:t xml:space="preserve">2 </w:t>
            </w:r>
            <w:r>
              <w:rPr>
                <w:kern w:val="0"/>
                <w:sz w:val="20"/>
                <w:szCs w:val="20"/>
              </w:rPr>
              <w:t>(g/mg.min)</w:t>
            </w:r>
          </w:p>
        </w:tc>
        <w:tc>
          <w:tcPr>
            <w:tcW w:w="1563" w:type="dxa"/>
            <w:tcBorders>
              <w:top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0.0009</w:t>
            </w:r>
          </w:p>
        </w:tc>
      </w:tr>
      <w:tr w:rsidR="00300D94">
        <w:trPr>
          <w:trHeight w:val="152"/>
          <w:jc w:val="center"/>
        </w:trPr>
        <w:tc>
          <w:tcPr>
            <w:tcW w:w="1980" w:type="dxa"/>
            <w:vMerge/>
            <w:vAlign w:val="center"/>
          </w:tcPr>
          <w:p w:rsidR="00300D94" w:rsidRDefault="00300D94">
            <w:pPr>
              <w:tabs>
                <w:tab w:val="left" w:pos="432"/>
              </w:tabs>
              <w:spacing w:line="240" w:lineRule="auto"/>
              <w:jc w:val="center"/>
              <w:rPr>
                <w:kern w:val="0"/>
                <w:sz w:val="20"/>
                <w:szCs w:val="20"/>
              </w:rPr>
            </w:pPr>
          </w:p>
        </w:tc>
        <w:tc>
          <w:tcPr>
            <w:tcW w:w="2196" w:type="dxa"/>
            <w:vAlign w:val="center"/>
          </w:tcPr>
          <w:p w:rsidR="00300D94" w:rsidRDefault="003F69A8">
            <w:pPr>
              <w:tabs>
                <w:tab w:val="left" w:pos="432"/>
              </w:tabs>
              <w:spacing w:line="240" w:lineRule="auto"/>
              <w:jc w:val="center"/>
              <w:rPr>
                <w:kern w:val="0"/>
                <w:sz w:val="20"/>
                <w:szCs w:val="20"/>
              </w:rPr>
            </w:pPr>
            <w:r>
              <w:rPr>
                <w:i/>
                <w:iCs/>
                <w:kern w:val="0"/>
                <w:sz w:val="20"/>
                <w:szCs w:val="20"/>
              </w:rPr>
              <w:t>q</w:t>
            </w:r>
            <w:r>
              <w:rPr>
                <w:kern w:val="0"/>
                <w:sz w:val="20"/>
                <w:szCs w:val="20"/>
                <w:vertAlign w:val="subscript"/>
              </w:rPr>
              <w:t xml:space="preserve">e </w:t>
            </w:r>
            <w:r>
              <w:rPr>
                <w:kern w:val="0"/>
                <w:sz w:val="20"/>
                <w:szCs w:val="20"/>
              </w:rPr>
              <w:t>(mg/g)</w:t>
            </w:r>
          </w:p>
        </w:tc>
        <w:tc>
          <w:tcPr>
            <w:tcW w:w="1563" w:type="dxa"/>
            <w:vAlign w:val="center"/>
          </w:tcPr>
          <w:p w:rsidR="00300D94" w:rsidRDefault="003F69A8">
            <w:pPr>
              <w:tabs>
                <w:tab w:val="left" w:pos="432"/>
              </w:tabs>
              <w:spacing w:line="240" w:lineRule="auto"/>
              <w:jc w:val="center"/>
              <w:rPr>
                <w:kern w:val="0"/>
                <w:sz w:val="20"/>
                <w:szCs w:val="20"/>
              </w:rPr>
            </w:pPr>
            <w:r>
              <w:rPr>
                <w:kern w:val="0"/>
                <w:sz w:val="20"/>
                <w:szCs w:val="20"/>
              </w:rPr>
              <w:t>1111.1</w:t>
            </w:r>
          </w:p>
        </w:tc>
      </w:tr>
      <w:tr w:rsidR="00300D94">
        <w:trPr>
          <w:trHeight w:val="152"/>
          <w:jc w:val="center"/>
        </w:trPr>
        <w:tc>
          <w:tcPr>
            <w:tcW w:w="1980" w:type="dxa"/>
            <w:vMerge/>
            <w:tcBorders>
              <w:bottom w:val="single" w:sz="4" w:space="0" w:color="auto"/>
            </w:tcBorders>
            <w:vAlign w:val="center"/>
          </w:tcPr>
          <w:p w:rsidR="00300D94" w:rsidRDefault="00300D94">
            <w:pPr>
              <w:tabs>
                <w:tab w:val="left" w:pos="432"/>
              </w:tabs>
              <w:spacing w:line="240" w:lineRule="auto"/>
              <w:jc w:val="center"/>
              <w:rPr>
                <w:kern w:val="0"/>
                <w:sz w:val="20"/>
                <w:szCs w:val="20"/>
              </w:rPr>
            </w:pPr>
          </w:p>
        </w:tc>
        <w:tc>
          <w:tcPr>
            <w:tcW w:w="2196"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R</w:t>
            </w:r>
            <w:r>
              <w:rPr>
                <w:kern w:val="0"/>
                <w:sz w:val="20"/>
                <w:szCs w:val="20"/>
                <w:vertAlign w:val="superscript"/>
              </w:rPr>
              <w:t>2</w:t>
            </w:r>
          </w:p>
        </w:tc>
        <w:tc>
          <w:tcPr>
            <w:tcW w:w="1563"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0.9797</w:t>
            </w:r>
          </w:p>
        </w:tc>
      </w:tr>
      <w:tr w:rsidR="00300D94">
        <w:trPr>
          <w:trHeight w:val="152"/>
          <w:jc w:val="center"/>
        </w:trPr>
        <w:tc>
          <w:tcPr>
            <w:tcW w:w="1980" w:type="dxa"/>
            <w:vMerge w:val="restart"/>
            <w:tcBorders>
              <w:top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ID</w:t>
            </w:r>
          </w:p>
        </w:tc>
        <w:tc>
          <w:tcPr>
            <w:tcW w:w="2196" w:type="dxa"/>
            <w:tcBorders>
              <w:top w:val="single" w:sz="4" w:space="0" w:color="auto"/>
            </w:tcBorders>
            <w:vAlign w:val="center"/>
          </w:tcPr>
          <w:p w:rsidR="00300D94" w:rsidRDefault="003F69A8">
            <w:pPr>
              <w:tabs>
                <w:tab w:val="left" w:pos="432"/>
              </w:tabs>
              <w:spacing w:line="240" w:lineRule="auto"/>
              <w:jc w:val="center"/>
              <w:rPr>
                <w:i/>
                <w:iCs/>
                <w:kern w:val="0"/>
                <w:sz w:val="20"/>
                <w:szCs w:val="20"/>
              </w:rPr>
            </w:pPr>
            <w:r>
              <w:rPr>
                <w:i/>
                <w:iCs/>
                <w:kern w:val="0"/>
                <w:sz w:val="20"/>
                <w:szCs w:val="20"/>
              </w:rPr>
              <w:t xml:space="preserve">C </w:t>
            </w:r>
          </w:p>
        </w:tc>
        <w:tc>
          <w:tcPr>
            <w:tcW w:w="1563" w:type="dxa"/>
            <w:tcBorders>
              <w:top w:val="single" w:sz="4" w:space="0" w:color="auto"/>
            </w:tcBorders>
            <w:vAlign w:val="center"/>
          </w:tcPr>
          <w:p w:rsidR="00300D94" w:rsidRDefault="003F69A8">
            <w:pPr>
              <w:tabs>
                <w:tab w:val="left" w:pos="432"/>
              </w:tabs>
              <w:spacing w:line="240" w:lineRule="auto"/>
              <w:jc w:val="center"/>
              <w:rPr>
                <w:rFonts w:eastAsiaTheme="minorEastAsia"/>
                <w:kern w:val="0"/>
                <w:sz w:val="20"/>
                <w:szCs w:val="20"/>
              </w:rPr>
            </w:pPr>
            <w:r>
              <w:rPr>
                <w:rFonts w:eastAsiaTheme="minorEastAsia"/>
                <w:kern w:val="0"/>
                <w:sz w:val="20"/>
                <w:szCs w:val="20"/>
              </w:rPr>
              <w:t>149.3</w:t>
            </w:r>
          </w:p>
        </w:tc>
      </w:tr>
      <w:tr w:rsidR="00300D94">
        <w:trPr>
          <w:trHeight w:val="333"/>
          <w:jc w:val="center"/>
        </w:trPr>
        <w:tc>
          <w:tcPr>
            <w:tcW w:w="1980" w:type="dxa"/>
            <w:vMerge/>
            <w:vAlign w:val="center"/>
          </w:tcPr>
          <w:p w:rsidR="00300D94" w:rsidRDefault="00300D94">
            <w:pPr>
              <w:tabs>
                <w:tab w:val="left" w:pos="432"/>
              </w:tabs>
              <w:spacing w:line="240" w:lineRule="auto"/>
              <w:jc w:val="center"/>
              <w:rPr>
                <w:kern w:val="0"/>
                <w:sz w:val="20"/>
                <w:szCs w:val="20"/>
              </w:rPr>
            </w:pPr>
          </w:p>
        </w:tc>
        <w:tc>
          <w:tcPr>
            <w:tcW w:w="2196" w:type="dxa"/>
            <w:vAlign w:val="center"/>
          </w:tcPr>
          <w:p w:rsidR="00300D94" w:rsidRDefault="003F69A8">
            <w:pPr>
              <w:tabs>
                <w:tab w:val="left" w:pos="432"/>
              </w:tabs>
              <w:spacing w:line="240" w:lineRule="auto"/>
              <w:jc w:val="center"/>
              <w:rPr>
                <w:kern w:val="0"/>
                <w:sz w:val="20"/>
                <w:szCs w:val="20"/>
              </w:rPr>
            </w:pPr>
            <w:r>
              <w:rPr>
                <w:i/>
                <w:iCs/>
                <w:kern w:val="0"/>
                <w:sz w:val="20"/>
                <w:szCs w:val="20"/>
              </w:rPr>
              <w:t>k</w:t>
            </w:r>
            <w:r>
              <w:rPr>
                <w:kern w:val="0"/>
                <w:sz w:val="20"/>
                <w:szCs w:val="20"/>
                <w:vertAlign w:val="subscript"/>
              </w:rPr>
              <w:t xml:space="preserve">I </w:t>
            </w:r>
            <w:r>
              <w:rPr>
                <w:kern w:val="0"/>
                <w:sz w:val="20"/>
                <w:szCs w:val="20"/>
              </w:rPr>
              <w:t>(mg/g.min</w:t>
            </w:r>
            <w:r>
              <w:rPr>
                <w:kern w:val="0"/>
                <w:sz w:val="20"/>
                <w:szCs w:val="20"/>
                <w:vertAlign w:val="superscript"/>
              </w:rPr>
              <w:t>0.5</w:t>
            </w:r>
            <w:r>
              <w:rPr>
                <w:kern w:val="0"/>
                <w:sz w:val="20"/>
                <w:szCs w:val="20"/>
              </w:rPr>
              <w:t>)</w:t>
            </w:r>
          </w:p>
        </w:tc>
        <w:tc>
          <w:tcPr>
            <w:tcW w:w="1563" w:type="dxa"/>
            <w:vAlign w:val="center"/>
          </w:tcPr>
          <w:p w:rsidR="00300D94" w:rsidRDefault="003F69A8">
            <w:pPr>
              <w:tabs>
                <w:tab w:val="left" w:pos="432"/>
              </w:tabs>
              <w:spacing w:line="240" w:lineRule="auto"/>
              <w:jc w:val="center"/>
              <w:rPr>
                <w:kern w:val="0"/>
                <w:sz w:val="20"/>
                <w:szCs w:val="20"/>
              </w:rPr>
            </w:pPr>
            <w:r>
              <w:rPr>
                <w:kern w:val="0"/>
                <w:sz w:val="20"/>
                <w:szCs w:val="20"/>
              </w:rPr>
              <w:t>108.42</w:t>
            </w:r>
          </w:p>
        </w:tc>
      </w:tr>
      <w:tr w:rsidR="00300D94">
        <w:trPr>
          <w:trHeight w:val="152"/>
          <w:jc w:val="center"/>
        </w:trPr>
        <w:tc>
          <w:tcPr>
            <w:tcW w:w="1980" w:type="dxa"/>
            <w:vMerge/>
            <w:tcBorders>
              <w:bottom w:val="single" w:sz="4" w:space="0" w:color="auto"/>
            </w:tcBorders>
            <w:vAlign w:val="center"/>
          </w:tcPr>
          <w:p w:rsidR="00300D94" w:rsidRDefault="00300D94">
            <w:pPr>
              <w:tabs>
                <w:tab w:val="left" w:pos="432"/>
              </w:tabs>
              <w:spacing w:line="240" w:lineRule="auto"/>
              <w:jc w:val="center"/>
              <w:rPr>
                <w:kern w:val="0"/>
                <w:sz w:val="20"/>
                <w:szCs w:val="20"/>
              </w:rPr>
            </w:pPr>
          </w:p>
        </w:tc>
        <w:tc>
          <w:tcPr>
            <w:tcW w:w="2196"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R</w:t>
            </w:r>
            <w:r>
              <w:rPr>
                <w:kern w:val="0"/>
                <w:sz w:val="20"/>
                <w:szCs w:val="20"/>
                <w:vertAlign w:val="superscript"/>
              </w:rPr>
              <w:t>2</w:t>
            </w:r>
          </w:p>
        </w:tc>
        <w:tc>
          <w:tcPr>
            <w:tcW w:w="1563" w:type="dxa"/>
            <w:tcBorders>
              <w:bottom w:val="single" w:sz="4" w:space="0" w:color="auto"/>
            </w:tcBorders>
            <w:vAlign w:val="center"/>
          </w:tcPr>
          <w:p w:rsidR="00300D94" w:rsidRDefault="003F69A8">
            <w:pPr>
              <w:tabs>
                <w:tab w:val="left" w:pos="432"/>
              </w:tabs>
              <w:spacing w:line="240" w:lineRule="auto"/>
              <w:jc w:val="center"/>
              <w:rPr>
                <w:kern w:val="0"/>
                <w:sz w:val="20"/>
                <w:szCs w:val="20"/>
              </w:rPr>
            </w:pPr>
            <w:r>
              <w:rPr>
                <w:kern w:val="0"/>
                <w:sz w:val="20"/>
                <w:szCs w:val="20"/>
              </w:rPr>
              <w:t>0.8656</w:t>
            </w:r>
          </w:p>
        </w:tc>
      </w:tr>
      <w:bookmarkEnd w:id="2"/>
    </w:tbl>
    <w:p w:rsidR="00300D94" w:rsidRDefault="00300D94">
      <w:pPr>
        <w:pStyle w:val="NormalWeb"/>
        <w:spacing w:before="0" w:beforeAutospacing="0" w:after="120" w:afterAutospacing="0" w:line="360" w:lineRule="auto"/>
        <w:jc w:val="both"/>
      </w:pPr>
    </w:p>
    <w:p w:rsidR="00300D94" w:rsidRDefault="003F69A8">
      <w:pPr>
        <w:pStyle w:val="NormalWeb"/>
        <w:spacing w:before="0" w:beforeAutospacing="0" w:after="120" w:afterAutospacing="0" w:line="360" w:lineRule="auto"/>
        <w:jc w:val="both"/>
      </w:pPr>
      <w:r>
        <w:t xml:space="preserve">The PFO model possesses a robust </w:t>
      </w:r>
      <w:r>
        <w:t>correlation with the results of experiments, as evidenced by its high R</w:t>
      </w:r>
      <w:r>
        <w:rPr>
          <w:vertAlign w:val="superscript"/>
        </w:rPr>
        <w:t>2</w:t>
      </w:r>
      <w:r>
        <w:t xml:space="preserve"> of 0.9976. The model’s calculated </w:t>
      </w:r>
      <w:r>
        <w:rPr>
          <w:i/>
        </w:rPr>
        <w:t>q</w:t>
      </w:r>
      <w:r>
        <w:rPr>
          <w:vertAlign w:val="subscript"/>
        </w:rPr>
        <w:t>e</w:t>
      </w:r>
      <w:r>
        <w:t>, 1564.5 mg/g, is close to the experimental value (1587 mg/g) and shows only 1% difference. A model that so accurately represents adsorption kineti</w:t>
      </w:r>
      <w:r>
        <w:t>cs has demonstrated that the time spent occupying an adsorption site is directly correlated with the number of available unoccupied sites. The adsorption process progresses reasonably quickly, reflected by the rate constant (</w:t>
      </w:r>
      <w:r>
        <w:rPr>
          <w:i/>
          <w:iCs/>
        </w:rPr>
        <w:t>k</w:t>
      </w:r>
      <w:r>
        <w:rPr>
          <w:vertAlign w:val="subscript"/>
        </w:rPr>
        <w:t>1</w:t>
      </w:r>
      <w:r>
        <w:t>) of 0.1324 min</w:t>
      </w:r>
      <w:r>
        <w:rPr>
          <w:vertAlign w:val="superscript"/>
        </w:rPr>
        <w:t>-1</w:t>
      </w:r>
      <w:r>
        <w:t>. The adsorb</w:t>
      </w:r>
      <w:r>
        <w:t xml:space="preserve">ent has a high affinity for </w:t>
      </w:r>
      <w:r>
        <w:lastRenderedPageBreak/>
        <w:t xml:space="preserve">the active sites </w:t>
      </w:r>
      <w:r>
        <w:fldChar w:fldCharType="begin" w:fldLock="1"/>
      </w:r>
      <w:r>
        <w:instrText>ADDIN CSL_CITATION {"citationItems":[{"id":"ITEM-1","itemData":{"DOI":"10.1021/jp061779n","ISSN":"15206106","abstract":"For practical applications of solid/solution adsorption processes, the kinetics of these pr</w:instrText>
      </w:r>
      <w:r>
        <w:instrText>ocesses is at least as much essential as their features at equilibrium. Meanwhile, the general understanding of this kinetics and its corresponding theoretical description are far behind the understanding and the level of theoretical interpretation of adso</w:instrText>
      </w:r>
      <w:r>
        <w:instrText>rption equilibria in these systems. The Lagergren empirical equation proposed at the end of 19th century to describe the kinetics of solute sorption at the solid/solution interfaces has been the most widely used kinetic equation until now. This equation ha</w:instrText>
      </w:r>
      <w:r>
        <w:instrText>s also been called the pseudo-first order kinetic equation because it was intuitively associated with the model of one-site occupancy adsorption kinetics governed by the rate of surface reaction. More recently, its generalization for the two-sites-occupanc</w:instrText>
      </w:r>
      <w:r>
        <w:instrText>y adsorption was proposed and called the pseudo-second-order kinetic equation. However, the general use and the wide applicability of these empirical equations during more than one century have not resulted in a corresponding fundamental search for their t</w:instrText>
      </w:r>
      <w:r>
        <w:instrText>heoretical origin. Here the first theoretical development of these equations is proposed, based on applying the new fundamental approach to kinetics of interfacial transport called the Statistical Rate Theory. It is shown that these empirical equations are</w:instrText>
      </w:r>
      <w:r>
        <w:instrText xml:space="preserve"> simplified forms of a more general equation developed here, for the case when the adsorption kinetics is governed by the rate of surface reactions. The features of that general equation are shown by presenting exhaustive model investigations, and the appl</w:instrText>
      </w:r>
      <w:r>
        <w:instrText>icability of that equation is tested by presenting a quantitative analysis of some experimental data reported in the literature. © 2006 American Chemical Society.","author":[{"dropping-particle":"","family":"Rudzinski","given":"Wladyslaw","non-dropping-par</w:instrText>
      </w:r>
      <w:r>
        <w:instrText>ticle":"","parse-names":false,"suffix":""},{"dropping-particle":"","family":"Plazinski","given":"Wojciech","non-dropping-particle":"","parse-names":false,"suffix":""}],"container-title":"Journal of Physical Chemistry B","id":"ITEM-1","issue":"33","issued":</w:instrText>
      </w:r>
      <w:r>
        <w:instrText>{"date-parts":[["2006"]]},"title":"Kinetics of solute adsorption at solid/solution interfaces: A theoretical development of the empirical pseudo-first and pseudo-second order kinetic rate equations, based on applying the statistical rate theory of interfac</w:instrText>
      </w:r>
      <w:r>
        <w:instrText>ial transport","type":"article-journal","volume":"110"},"uris":["http://www.mendeley.com/documents/?uuid=17d16b1f-71af-3f87-b14e-1d98d7d359e8"]},{"id":"ITEM-2","itemData":{"DOI":"10.1021/jp073249c","ISSN":"19327447","abstract":"It is shown that the popular</w:instrText>
      </w:r>
      <w:r>
        <w:instrText xml:space="preserve"> pseudo-first-order Lagergren equation can be applied to correlate kinetic adsorption data only in the adsorption systems that are not far from equilibrium. Also, it is shown that the Lagergren equation is then the limiting form of the kinetic equations de</w:instrText>
      </w:r>
      <w:r>
        <w:instrText>veloped by assuming both diffusional and surface reaction kinetic models. However, the theoretical interpretation of the coefficients in the Lagergren equation is then different for the two different kinetic models. The comparison of the theoretically pred</w:instrText>
      </w:r>
      <w:r>
        <w:instrText>icted values of these coefficients with their experimentally determined values creates a chance to conclude whether the diffusional or the surface reaction model should be assumed to represent the kinetics of adsorption in an investigated adsorption system</w:instrText>
      </w:r>
      <w:r>
        <w:instrText>. © 2007 American Chemical Society.","author":[{"dropping-particle":"","family":"Rudzinski","given":"Wladyslaw","non-dropping-particle":"","parse-names":false,"suffix":""},{"dropping-particle":"","family":"Plazinski","given":"Wojciech","non-dropping-partic</w:instrText>
      </w:r>
      <w:r>
        <w:instrText>le":"","parse-names":false,"suffix":""}],"container-title":"Journal of Physical Chemistry C","id":"ITEM-2","issue":"41","issued":{"date-parts":[["2007"]]},"title":"Studies of the kinetics of solute adsorption at solid/solution interfaces: On the possibilit</w:instrText>
      </w:r>
      <w:r>
        <w:instrText>y of distinguishing between the diffusional and the surface reaction kinetic models by studying the pseudo-first-order kinetics","type":"article-journal","volume":"111"},"uris":["http://www.mendeley.com/documents/?uuid=b893858c-87d5-3b1e-a8dc-1c5860d4d41f"</w:instrText>
      </w:r>
      <w:r>
        <w:instrText>]}],"mendeley":{"formattedCitation":"[24, 25]","plainTextFormattedCitation":"[24, 25]","previouslyFormattedCitation":"[108,109]"},"properties":{"noteIndex":0},"schema":"https://github.com/citation-style-language/schema/raw/master/csl-citation.json"}</w:instrText>
      </w:r>
      <w:r>
        <w:fldChar w:fldCharType="separate"/>
      </w:r>
      <w:r>
        <w:t>[24, 25</w:t>
      </w:r>
      <w:r>
        <w:t>]</w:t>
      </w:r>
      <w:r>
        <w:fldChar w:fldCharType="end"/>
      </w:r>
      <w:r>
        <w:t>. The kinetic model also shows a high PSO’ R</w:t>
      </w:r>
      <w:r>
        <w:rPr>
          <w:vertAlign w:val="superscript"/>
        </w:rPr>
        <w:t>2</w:t>
      </w:r>
      <w:r>
        <w:t xml:space="preserve"> of 0.9797, lower than the PFO model. Also, the calculated </w:t>
      </w:r>
      <w:r>
        <w:rPr>
          <w:i/>
          <w:iCs/>
        </w:rPr>
        <w:t>q</w:t>
      </w:r>
      <w:r>
        <w:rPr>
          <w:vertAlign w:val="subscript"/>
        </w:rPr>
        <w:t xml:space="preserve">e </w:t>
      </w:r>
      <w:r>
        <w:t xml:space="preserve">(1111.1 mg/g) significantly deviates from the experimental </w:t>
      </w:r>
      <w:r>
        <w:rPr>
          <w:i/>
          <w:iCs/>
        </w:rPr>
        <w:t>q</w:t>
      </w:r>
      <w:r>
        <w:rPr>
          <w:vertAlign w:val="subscript"/>
        </w:rPr>
        <w:t>e</w:t>
      </w:r>
      <w:r>
        <w:t xml:space="preserve"> (1587 mg/g). This idea justifies the claim that other elements influencing the abso</w:t>
      </w:r>
      <w:r>
        <w:t xml:space="preserve">rption process include particle penetration and adsorbent surface renewal </w:t>
      </w:r>
      <w:r>
        <w:fldChar w:fldCharType="begin" w:fldLock="1"/>
      </w:r>
      <w:r>
        <w:instrText>ADDIN CSL_CITATION {"citationItems":[{"id":"ITEM-1","itemData":{"DOI":"10.1007/s13369-018-3304-1","ISSN":"21914281","abstract":"Batch kinetic experiments were performed for the sorpt</w:instrText>
      </w:r>
      <w:r>
        <w:instrText>ion of nickel ions onto nanobentonite. The kinetic data were adjusted with pseudo-first-order and pseudo-second-order kinetics by linear and nonlinear regressions in addition to some fixed suggested fractional orders 1 / 2 ≤ n≤ 5 / 2. The removal process w</w:instrText>
      </w:r>
      <w:r>
        <w:instrText>as found to be well explained by nonlinear pseudo-second-order kinetic expression with 0.5222 mg g - 1 standard deviation, whereas linear regression is improper method for obtaining the kinetic parameters of the studied models specially at lower order valu</w:instrText>
      </w:r>
      <w:r>
        <w:instrText>es. The kinetic rate constants were increased with the value of the prefixed reaction pseudo-order giving optimal pseudo-average order equal to 3.522 with standard deviation 0.0815 mg g - 1. This optimal value is estimated at infinite time which is physica</w:instrText>
      </w:r>
      <w:r>
        <w:instrText>lly become closer to the reality of the studied system. Nevertheless, the theoretical removal capacity (22.95 mg g - 1) calculated by optimal order value is greater than the experimental one (19.15 mg g - 1). This behavior can be attributed to the rapidity</w:instrText>
      </w:r>
      <w:r>
        <w:instrText xml:space="preserve"> of the process to reach the equilibrium state.","author":[{"dropping-particle":"","family":"Alakhras","given":"Fadi","non-dropping-particle":"","parse-names":false,"suffix":""},{"dropping-particle":"","family":"Ouerfelli","given":"Noureddine","non-droppin</w:instrText>
      </w:r>
      <w:r>
        <w:instrText>g-particle":"","parse-names":false,"suffix":""},{"dropping-particle":"","family":"Al-Mazaideh","given":"Ghassab","non-dropping-particle":"","parse-names":false,"suffix":""},{"dropping-particle":"","family":"Ababneh","given":"Taher","non-dropping-particle":</w:instrText>
      </w:r>
      <w:r>
        <w:instrText>"","parse-names":false,"suffix":""},{"dropping-particle":"","family":"Al-Abbad","given":"Eman","non-dropping-particle":"","parse-names":false,"suffix":""},{"dropping-particle":"","family":"Abouzeid","given":"Fatma","non-dropping-particle":"","parse-names":</w:instrText>
      </w:r>
      <w:r>
        <w:instrText>false,"suffix":""}],"container-title":"Arabian Journal for Science and Engineering","id":"ITEM-1","issue":"1","issued":{"date-parts":[["2019"]]},"title":"Optimal Pseudo-Average Order Kinetic Model for Correlating the Removal of Nickel Ions by Adsorption on</w:instrText>
      </w:r>
      <w:r>
        <w:instrText xml:space="preserve"> Nanobentonite","type":"article-journal","volume":"44"},"uris":["http://www.mendeley.com/documents/?uuid=9714373f-5c8f-3b3c-b73a-92bf2556d6c6"]},{"id":"ITEM-2","itemData":{"DOI":"10.22090/jwent.2017.02.007","abstract":"This study describes the adsorption a</w:instrText>
      </w:r>
      <w:r>
        <w:instrText>nd photocatalytic removal of methylene blue (MB) from aqueous solution by surface-modified TiO 2 nanoparticles under ultraviolet irradiation in a batch system. The 5-sulfosalicylic acid grafted TiO 2 (5-SA-TiO 2) as a photocatalyst was characterized by mea</w:instrText>
      </w:r>
      <w:r>
        <w:instrText>ns of XRD, FTIR and SEM techniques. The surface of TiO 2 nanoparticles was modified by 5-sulfosalicylic acid (5-SA) to increase performance by altering surface properties. Notably, in contrast with the adsorption process, the remarkable removal enhancement</w:instrText>
      </w:r>
      <w:r>
        <w:instrText xml:space="preserve"> of MB dye was observed by photocatalytic degradation process from aqueous solution. The adsorption and photocatalytic degradation kinetics of MB using 5-SA-TiO 2 nanoparticles have also been investigated. The results show that the photocatalytic degradati</w:instrText>
      </w:r>
      <w:r>
        <w:instrText xml:space="preserve">on was good fit with the pseudo-first-order kinetic model (R 2 &gt; 0.99). The adsorption isotherm of MB onto modified TiO 2 nanoparticles fitted into the Temkin equation. In addition, thermodynamic studies indicate the spontaneous behavior of adsorption and </w:instrText>
      </w:r>
      <w:r>
        <w:instrText>photocatalytic degradation processes.","author":[{"dropping-particle":"","family":"Mohammadi","given":"Asadollah","non-dropping-particle":"","parse-names":false,"suffix":""},{"dropping-particle":"","family":"Karimi","given":"Ali Aliakbarzadeh","non-droppin</w:instrText>
      </w:r>
      <w:r>
        <w:instrText>g-particle":"","parse-names":false,"suffix":""}],"container-title":"J. Water Environ. Nanotechnol. J. Water Environ. Nanotechnol","id":"ITEM-2","issue":"22","issued":{"date-parts":[["2017"]]},"title":"Methylene Blue Removal Using Surface-Modified TiO 2 Nan</w:instrText>
      </w:r>
      <w:r>
        <w:instrText>oparticles: A Comparative Study on Adsorption and Photocatalytic Degradation","type":"article-journal","volume":"2"},"uris":["http://www.mendeley.com/documents/?uuid=790f5ead-2aa8-3b9c-a915-8e6ee06c6c5c"]},{"id":"ITEM-3","itemData":{"DOI":"10.4314/cajost.v</w:instrText>
      </w:r>
      <w:r>
        <w:instrText xml:space="preserve">4i1.3","ISSN":"2705-313X","abstract":"Adsorption Kinetics describes the rate at which solute is adsorbed and the resident time of the adsorbates on the solid-liquid interface. Adsorption isotherms play important role in determining the interaction between </w:instrText>
      </w:r>
      <w:r>
        <w:instrText>adsorbate and adsorbent and the optimum adsorption capacity of adsorbent. This article considered selected adsorption kinetics and isotherms models. Pseudo first order, Pseudo second order, Elovich, Bhattacharya and Venkobachar, and Natarajan and Khalaf we</w:instrText>
      </w:r>
      <w:r>
        <w:instrText>re adsorption kinetics reviewed on the assumption that the process behaves as heterogeneous reaction at solid-liquid interface. Adsorption kinetics equation presented takes the form of straight line, the slopes and intercepts of the plots are used to deter</w:instrText>
      </w:r>
      <w:r>
        <w:instrText>mine adsorption capacity of adsorbent, rate constant, rate of adsorption and intraparticle diffusion. Value of correlation coefficient obtained is used in determining the adsorption kinetics model that best describe the adsorption process. Langmuir, Freund</w:instrText>
      </w:r>
      <w:r>
        <w:instrText>lich, Radlich-Peterson, Temkin and Dubinin-Radushkevic adsorption isotherms were presented. Their slopes and intercepts provide insight on adsorption affinity, mean free energy, whether the adsorption is physisorption or chemisorptions, single or multilaye</w:instrText>
      </w:r>
      <w:r>
        <w:instrText>r. Adsorption kinetics and isotherms reviewed provide essential information required for understanding adsorption process.\r Keywords:   Adsorption; kinetics; isotherms; pseudo first order; Langmuir","author":[{"dropping-particle":"","family":"Musah","give</w:instrText>
      </w:r>
      <w:r>
        <w:instrText>n":"Monday","non-dropping-particle":"","parse-names":false,"suffix":""},{"dropping-particle":"","family":"Azeh","given":"Yakubu","non-dropping-particle":"","parse-names":false,"suffix":""},{"dropping-particle":"","family":"Mathew","given":"John","non-dropp</w:instrText>
      </w:r>
      <w:r>
        <w:instrText>ing-particle":"","parse-names":false,"suffix":""},{"dropping-particle":"","family":"Umar","given":"Musa","non-dropping-particle":"","parse-names":false,"suffix":""},{"dropping-particle":"","family":"Abdulhamid","given":"Zulaihat","non-dropping-particle":""</w:instrText>
      </w:r>
      <w:r>
        <w:instrText>,"parse-names":false,"suffix":""},{"dropping-particle":"","family":"Muhammad","given":"Aishetu","non-dropping-particle":"","parse-names":false,"suffix":""}],"container-title":"Caliphate Journal of Science and Technology","id":"ITEM-3","issue":"1","issued":</w:instrText>
      </w:r>
      <w:r>
        <w:instrText>{"date-parts":[["2022"]]},"title":"Adsorption Kinetics and Isotherm Models: A Review","type":"article-journal","volume":"4"},"uris":["http://www.mendeley.com/documents/?uuid=57f8f272-6c54-3ea8-8f7e-3af42f02896e"]}],"mendeley":{"formattedCitation":"[26–28]"</w:instrText>
      </w:r>
      <w:r>
        <w:instrText>,"plainTextFormattedCitation":"[26–28]","previouslyFormattedCitation":"[110–112]"},"properties":{"noteIndex":0},"schema":"https://github.com/citation-style-language/schema/raw/master/csl-citation.json"}</w:instrText>
      </w:r>
      <w:r>
        <w:fldChar w:fldCharType="separate"/>
      </w:r>
      <w:r>
        <w:t>[26–28]</w:t>
      </w:r>
      <w:r>
        <w:fldChar w:fldCharType="end"/>
      </w:r>
      <w:r>
        <w:t>. The PFO model, show casing a rate constant</w:t>
      </w:r>
      <w:r>
        <w:t xml:space="preserve"> of 0.1324 min</w:t>
      </w:r>
      <w:r>
        <w:rPr>
          <w:vertAlign w:val="superscript"/>
        </w:rPr>
        <w:t>-1</w:t>
      </w:r>
      <w:r>
        <w:t>, effectively depicts our adsorption kinetics, outperforming the PSO model with a rate constant of 0.0009 g/mg.min.</w:t>
      </w:r>
    </w:p>
    <w:p w:rsidR="00300D94" w:rsidRDefault="003F69A8">
      <w:pPr>
        <w:pStyle w:val="NormalWeb"/>
        <w:spacing w:before="0" w:beforeAutospacing="0" w:after="120" w:afterAutospacing="0" w:line="360" w:lineRule="auto"/>
        <w:jc w:val="both"/>
      </w:pPr>
      <w:r>
        <w:t>Conversely, the ID model has the lowest R</w:t>
      </w:r>
      <w:r>
        <w:rPr>
          <w:vertAlign w:val="superscript"/>
        </w:rPr>
        <w:t>2</w:t>
      </w:r>
      <w:r>
        <w:t xml:space="preserve"> (0.8656), which indicates a low fit with the experimental data compared to other </w:t>
      </w:r>
      <w:r>
        <w:t>models. This low correlation demonstrates that the intraparticle diffusion model may not adequately describe adsorption kinetics. It refers to the movement of adsorbent molecules through the pores of the adsorbent material and is usually not the only facto</w:t>
      </w:r>
      <w:r>
        <w:t>r influencing the adsorption rate</w:t>
      </w:r>
      <w:r>
        <w:rPr>
          <w:rFonts w:hint="cs"/>
          <w:rtl/>
        </w:rPr>
        <w:t xml:space="preserve"> </w:t>
      </w:r>
      <w:r>
        <w:fldChar w:fldCharType="begin" w:fldLock="1"/>
      </w:r>
      <w:r>
        <w:instrText>ADDIN CSL_CITATION {"citationItems":[{"id":"ITEM-1","itemData":{"DOI":"10.1177/0748233715592293","ISSN":"14770393","abstract":"In this research, the removal of Sudan black B (SBB) by cadmium hydroxide nanowires loaded on a</w:instrText>
      </w:r>
      <w:r>
        <w:instrText>ctivated carbon is described. After optimizing the variables involved, Langmuir, Freundlich, Tempkin, and Dubinin-Radushkevich models were applied to fit the experimental data. The adsorbent correlation coefficient and error analysis indicated the applicab</w:instrText>
      </w:r>
      <w:r>
        <w:instrText>ility of Langmuir model for the interpretation of equilibrium data. Different kinetic models were applied to analyze the time evolution of removal data. It was found that low quantity of adsorbent (&lt;0.03 g) is capable of removal of large amount of SBB in r</w:instrText>
      </w:r>
      <w:r>
        <w:instrText>easonably short time (&lt;40 min). The adsorption process was found to be described by both pseudo-second-order kinetics and interparticle diffusion mechanism. The effects of variables such as pH, amount of adsorbent, and contact time on batch adsorption proc</w:instrText>
      </w:r>
      <w:r>
        <w:instrText>ess were investigated and optimized.","author":[{"dropping-particle":"","family":"Ghaedi","given":"Mehrorang","non-dropping-particle":"","parse-names":false,"suffix":""},{"dropping-particle":"","family":"Moazzen","given":"Hamid Reza","non-dropping-particle</w:instrText>
      </w:r>
      <w:r>
        <w:instrText>":"","parse-names":false,"suffix":""},{"dropping-particle":"","family":"Purkait","given":"Mihir Kumar","non-dropping-particle":"","parse-names":false,"suffix":""}],"container-title":"Toxicology and Industrial Health","id":"ITEM-1","issue":"11","issued":{"d</w:instrText>
      </w:r>
      <w:r>
        <w:instrText>ate-parts":[["2016"]]},"title":"Kinetic and isotherm study of Sudan black B removal","type":"article-journal","volume":"32"},"uris":["http://www.mendeley.com/documents/?uuid=bd2f81db-d9e1-3abc-a958-7fc4bd5caa13"]}],"mendeley":{"formattedCitation":"[29]","p</w:instrText>
      </w:r>
      <w:r>
        <w:instrText>lainTextFormattedCitation":"[29]","previouslyFormattedCitation":"[113]"},"properties":{"noteIndex":0},"schema":"https://github.com/citation-style-language/schema/raw/master/csl-citation.json"}</w:instrText>
      </w:r>
      <w:r>
        <w:fldChar w:fldCharType="separate"/>
      </w:r>
      <w:r>
        <w:t>[29]</w:t>
      </w:r>
      <w:r>
        <w:fldChar w:fldCharType="end"/>
      </w:r>
      <w:r>
        <w:t xml:space="preserve">. </w:t>
      </w:r>
    </w:p>
    <w:p w:rsidR="00300D94" w:rsidRDefault="003F69A8">
      <w:pPr>
        <w:pStyle w:val="NormalWeb"/>
        <w:spacing w:before="0" w:beforeAutospacing="0" w:after="120" w:afterAutospacing="0" w:line="360" w:lineRule="auto"/>
        <w:jc w:val="both"/>
      </w:pPr>
      <w:r>
        <w:rPr>
          <w:rFonts w:hint="cs"/>
          <w:rtl/>
        </w:rPr>
        <w:t xml:space="preserve"> </w:t>
      </w:r>
      <w:r>
        <w:t>The strong correlation between the calculated and obs</w:t>
      </w:r>
      <w:r>
        <w:t xml:space="preserve">erved </w:t>
      </w:r>
      <w:r>
        <w:rPr>
          <w:i/>
          <w:iCs/>
        </w:rPr>
        <w:t>q</w:t>
      </w:r>
      <w:r>
        <w:rPr>
          <w:vertAlign w:val="subscript"/>
        </w:rPr>
        <w:t>e</w:t>
      </w:r>
      <w:r>
        <w:t xml:space="preserve"> values and the good R</w:t>
      </w:r>
      <w:r>
        <w:rPr>
          <w:vertAlign w:val="superscript"/>
        </w:rPr>
        <w:t>2</w:t>
      </w:r>
      <w:r>
        <w:t xml:space="preserve"> value suggests that the adsorbent molecules’ interaction with surface sites is consistent with the core tenets of the PFO model.</w:t>
      </w:r>
    </w:p>
    <w:p w:rsidR="00300D94" w:rsidRDefault="00300D94">
      <w:pPr>
        <w:pStyle w:val="NormalWeb"/>
        <w:spacing w:before="0" w:beforeAutospacing="0" w:after="120" w:afterAutospacing="0" w:line="360" w:lineRule="auto"/>
        <w:jc w:val="both"/>
      </w:pPr>
    </w:p>
    <w:p w:rsidR="00300D94" w:rsidRDefault="003F69A8">
      <w:pPr>
        <w:pStyle w:val="NormalWeb"/>
        <w:spacing w:before="0" w:beforeAutospacing="0" w:after="120" w:afterAutospacing="0" w:line="360" w:lineRule="auto"/>
        <w:jc w:val="both"/>
        <w:rPr>
          <w:b/>
          <w:bCs/>
          <w:color w:val="538135" w:themeColor="accent6" w:themeShade="BF"/>
        </w:rPr>
      </w:pPr>
      <w:r>
        <w:rPr>
          <w:b/>
          <w:bCs/>
          <w:color w:val="000000" w:themeColor="text1"/>
        </w:rPr>
        <w:t>Thermodynamic Parameters</w:t>
      </w:r>
      <w:r>
        <w:rPr>
          <w:b/>
          <w:bCs/>
          <w:color w:val="538135" w:themeColor="accent6" w:themeShade="BF"/>
        </w:rPr>
        <w:t xml:space="preserve"> </w:t>
      </w:r>
    </w:p>
    <w:p w:rsidR="00300D94" w:rsidRDefault="003F69A8">
      <w:pPr>
        <w:pStyle w:val="NormalWeb"/>
        <w:spacing w:before="0" w:beforeAutospacing="0" w:after="120" w:afterAutospacing="0" w:line="360" w:lineRule="auto"/>
        <w:jc w:val="both"/>
      </w:pPr>
      <w:r>
        <w:t>The surface adsorption process’s thermodynamic properties reveal the</w:t>
      </w:r>
      <w:r>
        <w:t xml:space="preserve"> process’s order and direction. The Gibbs free energy of adsorption (Δ</w:t>
      </w:r>
      <w:r>
        <w:rPr>
          <w:i/>
          <w:iCs/>
        </w:rPr>
        <w:t>G</w:t>
      </w:r>
      <w:r>
        <w:t>°) indicates the spontaneity of the adsorption process at constant temperature and pressure. When Δ</w:t>
      </w:r>
      <w:r>
        <w:rPr>
          <w:i/>
          <w:iCs/>
        </w:rPr>
        <w:t>G</w:t>
      </w:r>
      <w:r>
        <w:t>° is negative (Δ</w:t>
      </w:r>
      <w:r>
        <w:rPr>
          <w:i/>
          <w:iCs/>
        </w:rPr>
        <w:t>G</w:t>
      </w:r>
      <w:r>
        <w:t>° &lt; 0), the adsorption process is spontaneous, meaning it will occur</w:t>
      </w:r>
      <w:r>
        <w:t xml:space="preserve"> without any external energy input. Conversely, when ΔG° is positive (Δ</w:t>
      </w:r>
      <w:r>
        <w:rPr>
          <w:i/>
          <w:iCs/>
        </w:rPr>
        <w:t>G</w:t>
      </w:r>
      <w:r>
        <w:t xml:space="preserve">° &gt; 0), the adsorption process is non-spontaneous and requires energy input to proceed </w:t>
      </w:r>
      <w:r>
        <w:fldChar w:fldCharType="begin" w:fldLock="1"/>
      </w:r>
      <w:r>
        <w:instrText>ADDIN CSL_CITATION {"citationItems":[{"id":"ITEM-1","itemData":{"DOI":"10.1080/15226514.2013.8030</w:instrText>
      </w:r>
      <w:r>
        <w:instrText>25","ISSN":"15226514","abstract":"In the present study a novel biomass, derived from the pulp of Saccharum bengalense, was used as an adsorbent material for the removal of Pb (II) ions from aqueous solution. After 50 minutes contact time, almost 92% lead r</w:instrText>
      </w:r>
      <w:r>
        <w:instrText>emoval was possible at pH 6.0 under batch test conditions. The experimental data was analyzed using Langmuir, Freundlich, Timken and Dubinin-Radushkevich two parameters isotherm model, three parameters Redlich-Peterson, Sip and Toth models and four paramet</w:instrText>
      </w:r>
      <w:r>
        <w:instrText>ers Fritz Schlunder isotherm models. Langmuir, Redlich-Peterson and Fritz-Schlunder models were found to be the best fit models. Kinetic studies revealed that the sorption process was well explained with pseudo second-order kinetic model. Thermodynamic par</w:instrText>
      </w:r>
      <w:r>
        <w:instrText>ameters including free energy change (ΔG°), enthalpy change (ΔH°) and entropy change (ΔS°) have been calculated and reveal the spontaneous, endothermic and feasible nature of the adsorption process. The thermodynamic parameters of activation (ΔG #, ΔH #and</w:instrText>
      </w:r>
      <w:r>
        <w:instrText xml:space="preserve"> ΔS #) were calculated from the pseudo-second order rate constant by using the Eyring equation. Results showed that Pb (II) adsorption onto SB is an associated mechanism and the reorientation step is entropy controlled. © 2014 Copyright Taylor and Francis </w:instrText>
      </w:r>
      <w:r>
        <w:instrText>Group, LLC.","author":[{"dropping-particle":"","family":"Din","given":"Muhammad Imran","non-dropping-particle":"","parse-names":false,"suffix":""},{"dropping-particle":"","family":"Hussain","given":"Zaib","non-dropping-particle":"","parse-names":false,"suf</w:instrText>
      </w:r>
      <w:r>
        <w:instrText>fix":""},{"dropping-particle":"","family":"Mirza","given":"Muhammad Latif","non-dropping-particle":"","parse-names":false,"suffix":""},{"dropping-particle":"","family":"Shah","given":"Asma Tufail","non-dropping-particle":"","parse-names":false,"suffix":""}</w:instrText>
      </w:r>
      <w:r>
        <w:instrText>,{"dropping-particle":"","family":"Athar","given":"Muhammad Makshoof","non-dropping-particle":"","parse-names":false,"suffix":""}],"container-title":"International Journal of Phytoremediation","id":"ITEM-1","issue":"9","issued":{"date-parts":[["2014"]]},"t</w:instrText>
      </w:r>
      <w:r>
        <w:instrText>itle":"Adsorption Optimization of Lead (II) Using Saccharum Bengalense as a Non-Conventional Low Cost Biosorbent: Isotherm and Thermodynamics Modeling","type":"article-journal","volume":"16"},"uris":["http://www.mendeley.com/documents/?uuid=8e86a6f4-244f-3</w:instrText>
      </w:r>
      <w:r>
        <w:instrText>ed2-836d-b4d87f573f0e"]}],"mendeley":{"formattedCitation":"[30]","plainTextFormattedCitation":"[30]","previouslyFormattedCitation":"[114]"},"properties":{"noteIndex":0},"schema":"https://github.com/citation-style-language/schema/raw/master/csl-citation.jso</w:instrText>
      </w:r>
      <w:r>
        <w:instrText>n"}</w:instrText>
      </w:r>
      <w:r>
        <w:fldChar w:fldCharType="separate"/>
      </w:r>
      <w:r>
        <w:t>[30]</w:t>
      </w:r>
      <w:r>
        <w:fldChar w:fldCharType="end"/>
      </w:r>
      <w:r>
        <w:t>. The adsorption enthalpy (Δ</w:t>
      </w:r>
      <w:r>
        <w:rPr>
          <w:i/>
          <w:iCs/>
        </w:rPr>
        <w:t>H</w:t>
      </w:r>
      <w:r>
        <w:t>°) represents the energy change in the surface adsorbed system. When Δ</w:t>
      </w:r>
      <w:r>
        <w:rPr>
          <w:i/>
          <w:iCs/>
        </w:rPr>
        <w:t>H</w:t>
      </w:r>
      <w:r>
        <w:t>° is positive and has a large magnitude, it indicates a strong attraction between the adsorbate and adsorbent. The adsorption exothermic is the op</w:t>
      </w:r>
      <w:r>
        <w:t>posite. The entropy of adsorption (Δ</w:t>
      </w:r>
      <w:r>
        <w:rPr>
          <w:i/>
          <w:iCs/>
        </w:rPr>
        <w:t>S</w:t>
      </w:r>
      <w:r>
        <w:t xml:space="preserve">°) needs to show us what order or disorder changed when the adsorbent molecules were adsorbed on the surface. In cases where ΔG° is negative, a positive ΔS° indicates that after the adsorption of adsorbate molecules on </w:t>
      </w:r>
      <w:r>
        <w:t xml:space="preserve">the surface, there is sufficient disorder for their distribution on the surface, and this contributes to the spontaneity of the </w:t>
      </w:r>
      <w:r>
        <w:rPr>
          <w:color w:val="000000" w:themeColor="text1"/>
        </w:rPr>
        <w:t xml:space="preserve">adsorption process </w:t>
      </w:r>
      <w:r>
        <w:rPr>
          <w:color w:val="000000" w:themeColor="text1"/>
        </w:rPr>
        <w:fldChar w:fldCharType="begin" w:fldLock="1"/>
      </w:r>
      <w:r>
        <w:rPr>
          <w:color w:val="000000" w:themeColor="text1"/>
        </w:rPr>
        <w:instrText>ADDIN CSL_CITATION {"citationItems":[{"id":"ITEM-1","itemData":{"DOI":"10.1038/s41598-021-95090-8","ISSN":"20</w:instrText>
      </w:r>
      <w:r>
        <w:rPr>
          <w:color w:val="000000" w:themeColor="text1"/>
        </w:rPr>
        <w:instrText>452322","abstract":"Adsorption of problematic copper ions as one of the endocrine disruptive substances from aqueous solution onto nanoscale zerovalent iron (nZVI) was studied. The high pore size 186.9268 Å, pore diameter 240.753 Å, and BET surface area 20</w:instrText>
      </w:r>
      <w:r>
        <w:rPr>
          <w:color w:val="000000" w:themeColor="text1"/>
        </w:rPr>
        <w:instrText>.8643 m2 g−1 and pH(pzc) enlisted nZVI as an efficient nano-adsorbent for treatment of heavy metals from synthetic wastewater. SEM and EDX revealed the morphology and elemental distribution before and after adsorption. 98.31% removal efficiency was achieve</w:instrText>
      </w:r>
      <w:r>
        <w:rPr>
          <w:color w:val="000000" w:themeColor="text1"/>
        </w:rPr>
        <w:instrText xml:space="preserve">d at optimum adsorption operational parameters. Of all the thirteen isotherm models, equilibrium data were well fitted to Langmuir. Kinetics and mechanism data across the concentrations from 10 to 200 mg L−1 were analyzed by ten models. PSO best described </w:instrText>
      </w:r>
      <w:r>
        <w:rPr>
          <w:color w:val="000000" w:themeColor="text1"/>
        </w:rPr>
        <w:instrText>kinetics data as confirmed by various statistical error validity models. The intraparticle diffusion model described that the intraparticle diffusion was not the only rate-limiting step. The adsorption mechanism was diffusion governed established by Bangha</w:instrText>
      </w:r>
      <w:r>
        <w:rPr>
          <w:color w:val="000000" w:themeColor="text1"/>
        </w:rPr>
        <w:instrText>m and Boyd models. Feasible, spontaneous, endothermic, and degree of randomness were reveal by the thermodynamic studies. Better desorption index and efficiency were obtained using HCl suggesting multiple mechanism processes. The performance of ZVI suggest</w:instrText>
      </w:r>
      <w:r>
        <w:rPr>
          <w:color w:val="000000" w:themeColor="text1"/>
        </w:rPr>
        <w:instrText>ed it has a great potential for effective removal of endocrine disruptive cationic contaminant from wastewater.","author":[{"dropping-particle":"","family":"Dada","given":"Adewumi O.","non-dropping-particle":"","parse-names":false,"suffix":""},{"dropping-p</w:instrText>
      </w:r>
      <w:r>
        <w:rPr>
          <w:color w:val="000000" w:themeColor="text1"/>
        </w:rPr>
        <w:instrText>article":"","family":"Adekola","given":"Folahan A.","non-dropping-particle":"","parse-names":false,"suffix":""},{"dropping-particle":"","family":"Odebunmi","given":"Ezekiel O.","non-dropping-particle":"","parse-names":false,"suffix":""},{"dropping-particle</w:instrText>
      </w:r>
      <w:r>
        <w:rPr>
          <w:color w:val="000000" w:themeColor="text1"/>
        </w:rPr>
        <w:instrText>":"","family":"Ogunlaja","given":"Adeniyi S.","non-dropping-particle":"","parse-names":false,"suffix":""},{"dropping-particle":"","family":"Bello","given":"Olugbenga S.","non-dropping-particle":"","parse-names":false,"suffix":""}],"container-title":"Scient</w:instrText>
      </w:r>
      <w:r>
        <w:rPr>
          <w:color w:val="000000" w:themeColor="text1"/>
        </w:rPr>
        <w:instrText>ific Reports","id":"ITEM-1","issue":"1","issued":{"date-parts":[["2021"]]},"title":"Two–three parameters isotherm modeling, kinetics with statistical validity, desorption and thermodynamic studies of adsorption of Cu(II) ions onto zerovalent iron nanoparti</w:instrText>
      </w:r>
      <w:r>
        <w:rPr>
          <w:color w:val="000000" w:themeColor="text1"/>
        </w:rPr>
        <w:instrText>cles","type":"article-journal","volume":"11"},"uris":["http://www.mendeley.com/documents/?uuid=6b8e0174-7bfa-347a-a65b-2ce83b7317e3"]},{"id":"ITEM-2","itemData":{"DOI":"10.1021/acs.jced.6b00865","ISSN":"15205134","abstract":"The layer-by-layer technique (L</w:instrText>
      </w:r>
      <w:r>
        <w:rPr>
          <w:color w:val="000000" w:themeColor="text1"/>
        </w:rPr>
        <w:instrText>bL) is an efficient and sustainable low-cost methodology for the removal of heavy metal ions from various matrixes. The present work is focused, for the first time, on the evaluation of the extraction processes of Ni(II) and Zn(II) by the LbL technique wit</w:instrText>
      </w:r>
      <w:r>
        <w:rPr>
          <w:color w:val="000000" w:themeColor="text1"/>
        </w:rPr>
        <w:instrText>h respect to the studies of the solvent effect, reaction kinetics, adsorption isotherm models and thermodynamic parameters. The extraction of Ni(II) and Zn(II) was based on the design of multilayers of these metal complexes with 8-hydroxyquinoline (8HQ) du</w:instrText>
      </w:r>
      <w:r>
        <w:rPr>
          <w:color w:val="000000" w:themeColor="text1"/>
        </w:rPr>
        <w:instrText>e to the formation of Ni(8HQ)2 and Zn(8HQ)2 complexes, respectively. The efficient sorption of metal ions was found to follow the dissolution order of 8HQ in methanol &gt; ethanol &gt;1-propanol &gt;1-butanol &gt; acetonitrile. The surface adsorptive removal processes</w:instrText>
      </w:r>
      <w:r>
        <w:rPr>
          <w:color w:val="000000" w:themeColor="text1"/>
        </w:rPr>
        <w:instrText xml:space="preserve"> of Ni(II) and Zn(II) from aqueous solution were evaluated by four different kinetics models and were found to be better fit to the pseudo-second-order model with R2 corresponding to 0.9891 and 0.9995, respectively. The intraparticle diffusion kinetics mod</w:instrText>
      </w:r>
      <w:r>
        <w:rPr>
          <w:color w:val="000000" w:themeColor="text1"/>
        </w:rPr>
        <w:instrText>el was employed to confirm thin film production in the form of boundary layers to account for the removal processes of Ni(II) and Zn(II) from aqueous solution using the LbL technique as a diffusion-controlled process. The adsorption of Ni(II) and Zn(II) in</w:instrText>
      </w:r>
      <w:r>
        <w:rPr>
          <w:color w:val="000000" w:themeColor="text1"/>
        </w:rPr>
        <w:instrText xml:space="preserve"> the LbL technique was found to fit better with the Langmuir, Freundlich, and Temkin adsorption isotherm models. The thermodynamics parameters of Ni(II) and Zn(II) extraction from aqueous solutions confirmed the spontaneous and endothermic behavior of the </w:instrText>
      </w:r>
      <w:r>
        <w:rPr>
          <w:color w:val="000000" w:themeColor="text1"/>
        </w:rPr>
        <w:instrText>adsorption process.","author":[{"dropping-particle":"","family":"Mahmoud","given":"Mohamed E.","non-dropping-particle":"","parse-names":false,"suffix":""},{"dropping-particle":"","family":"Amira","given":"Mohamed F.","non-dropping-particle":"","parse-names</w:instrText>
      </w:r>
      <w:r>
        <w:rPr>
          <w:color w:val="000000" w:themeColor="text1"/>
        </w:rPr>
        <w:instrText>":false,"suffix":""},{"dropping-particle":"","family":"Seleim","given":"Seleim M.","non-dropping-particle":"","parse-names":false,"suffix":""},{"dropping-particle":"","family":"Mohamed","given":"Asmaa K.","non-dropping-particle":"","parse-names":false,"suf</w:instrText>
      </w:r>
      <w:r>
        <w:rPr>
          <w:color w:val="000000" w:themeColor="text1"/>
        </w:rPr>
        <w:instrText>fix":""}],"container-title":"Journal of Chemical and Engineering Data","id":"ITEM-2","issue":"2","issued":{"date-parts":[["2017"]]},"title":"Adsorption Isotherm Models, Kinetics Study, and Thermodynamic Parameters of Ni(II) and Zn(II) Removal from Water Us</w:instrText>
      </w:r>
      <w:r>
        <w:rPr>
          <w:color w:val="000000" w:themeColor="text1"/>
        </w:rPr>
        <w:instrText>ing the LbL Technique","type":"article-journal","volume":"62"},"uris":["http://www.mendeley.com/documents/?uuid=fce3e9f8-40f1-311d-919f-89023812b04b"]}],"mendeley":{"formattedCitation":"[31, 32]","plainTextFormattedCitation":"[31, 32]","previouslyFormatted</w:instrText>
      </w:r>
      <w:r>
        <w:rPr>
          <w:color w:val="000000" w:themeColor="text1"/>
        </w:rPr>
        <w:instrText>Citation":"[115,116]"},"properties":{"noteIndex":0},"schema":"https://github.com/citation-style-language/schema/raw/master/csl-citation.json"}</w:instrText>
      </w:r>
      <w:r>
        <w:rPr>
          <w:color w:val="000000" w:themeColor="text1"/>
        </w:rPr>
        <w:fldChar w:fldCharType="separate"/>
      </w:r>
      <w:r>
        <w:rPr>
          <w:color w:val="000000" w:themeColor="text1"/>
        </w:rPr>
        <w:t>[31, 32]</w:t>
      </w:r>
      <w:r>
        <w:rPr>
          <w:color w:val="000000" w:themeColor="text1"/>
        </w:rPr>
        <w:fldChar w:fldCharType="end"/>
      </w:r>
      <w:r>
        <w:rPr>
          <w:color w:val="000000" w:themeColor="text1"/>
        </w:rPr>
        <w:t xml:space="preserve">. In </w:t>
      </w:r>
      <w:r>
        <w:t>adsorption studies, the change in Gibbs energy Δ</w:t>
      </w:r>
      <w:r>
        <w:rPr>
          <w:i/>
          <w:iCs/>
        </w:rPr>
        <w:t>G</w:t>
      </w:r>
      <w:r>
        <w:t>° is calculated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2697"/>
      </w:tblGrid>
      <w:tr w:rsidR="00300D94">
        <w:trPr>
          <w:trHeight w:val="414"/>
          <w:jc w:val="center"/>
        </w:trPr>
        <w:tc>
          <w:tcPr>
            <w:tcW w:w="4669" w:type="dxa"/>
          </w:tcPr>
          <w:p w:rsidR="00300D94" w:rsidRDefault="003F69A8">
            <w:pPr>
              <w:spacing w:before="120" w:after="120"/>
              <w:jc w:val="both"/>
              <w:rPr>
                <w:rFonts w:eastAsiaTheme="minorEastAsia"/>
                <w:kern w:val="0"/>
                <w:sz w:val="20"/>
                <w:szCs w:val="20"/>
                <w:lang w:bidi="fa-IR"/>
              </w:rPr>
            </w:pPr>
            <m:oMathPara>
              <m:oMath>
                <m:sSup>
                  <m:sSupPr>
                    <m:ctrlPr>
                      <w:rPr>
                        <w:rFonts w:ascii="Cambria Math" w:hAnsi="Cambria Math"/>
                        <w:i/>
                        <w:kern w:val="0"/>
                        <w:sz w:val="20"/>
                        <w:szCs w:val="20"/>
                        <w:lang w:bidi="fa-IR"/>
                      </w:rPr>
                    </m:ctrlPr>
                  </m:sSupPr>
                  <m:e>
                    <m:r>
                      <w:rPr>
                        <w:rFonts w:ascii="Cambria Math" w:hAnsi="Cambria Math"/>
                        <w:kern w:val="0"/>
                        <w:sz w:val="20"/>
                        <w:szCs w:val="20"/>
                        <w:lang w:bidi="fa-IR"/>
                      </w:rPr>
                      <m:t>∆</m:t>
                    </m:r>
                    <m:r>
                      <w:rPr>
                        <w:rFonts w:ascii="Cambria Math" w:hAnsi="Cambria Math"/>
                        <w:kern w:val="0"/>
                        <w:sz w:val="20"/>
                        <w:szCs w:val="20"/>
                        <w:lang w:bidi="fa-IR"/>
                      </w:rPr>
                      <m:t>G</m:t>
                    </m:r>
                  </m:e>
                  <m:sup>
                    <m:r>
                      <w:rPr>
                        <w:rFonts w:ascii="Cambria Math" w:hAnsi="Cambria Math"/>
                        <w:kern w:val="0"/>
                        <w:sz w:val="20"/>
                        <w:szCs w:val="20"/>
                        <w:lang w:bidi="fa-IR"/>
                      </w:rPr>
                      <m:t>°</m:t>
                    </m:r>
                  </m:sup>
                </m:sSup>
                <m:r>
                  <w:rPr>
                    <w:rFonts w:ascii="Cambria Math" w:hAnsi="Cambria Math"/>
                    <w:kern w:val="0"/>
                    <w:sz w:val="20"/>
                    <w:szCs w:val="20"/>
                    <w:lang w:bidi="fa-IR"/>
                  </w:rPr>
                  <m:t>=-</m:t>
                </m:r>
                <m:r>
                  <w:rPr>
                    <w:rFonts w:ascii="Cambria Math" w:hAnsi="Cambria Math"/>
                    <w:kern w:val="0"/>
                    <w:sz w:val="20"/>
                    <w:szCs w:val="20"/>
                    <w:lang w:bidi="fa-IR"/>
                  </w:rPr>
                  <m:t>RT</m:t>
                </m:r>
                <m:r>
                  <w:rPr>
                    <w:rFonts w:ascii="Cambria Math" w:hAnsi="Cambria Math"/>
                    <w:kern w:val="0"/>
                    <w:sz w:val="20"/>
                    <w:szCs w:val="20"/>
                    <w:lang w:bidi="fa-IR"/>
                  </w:rPr>
                  <m:t xml:space="preserve"> </m:t>
                </m:r>
                <m:r>
                  <w:rPr>
                    <w:rFonts w:ascii="Cambria Math" w:hAnsi="Cambria Math"/>
                    <w:kern w:val="0"/>
                    <w:sz w:val="20"/>
                    <w:szCs w:val="20"/>
                    <w:lang w:bidi="fa-IR"/>
                  </w:rPr>
                  <m:t>ln</m:t>
                </m:r>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d</m:t>
                    </m:r>
                  </m:sub>
                </m:sSub>
              </m:oMath>
            </m:oMathPara>
          </w:p>
        </w:tc>
        <w:tc>
          <w:tcPr>
            <w:tcW w:w="2697" w:type="dxa"/>
          </w:tcPr>
          <w:p w:rsidR="00300D94" w:rsidRDefault="003F69A8">
            <w:pPr>
              <w:spacing w:before="120" w:after="120"/>
              <w:jc w:val="both"/>
              <w:rPr>
                <w:kern w:val="0"/>
                <w:sz w:val="20"/>
                <w:szCs w:val="20"/>
              </w:rPr>
            </w:pPr>
            <w:r>
              <w:rPr>
                <w:kern w:val="0"/>
                <w:sz w:val="20"/>
                <w:szCs w:val="20"/>
              </w:rPr>
              <w:t xml:space="preserve">     (7)</w:t>
            </w:r>
          </w:p>
        </w:tc>
      </w:tr>
    </w:tbl>
    <w:p w:rsidR="00300D94" w:rsidRDefault="003F69A8">
      <w:pPr>
        <w:pStyle w:val="NormalWeb"/>
        <w:spacing w:before="0" w:beforeAutospacing="0" w:after="120" w:afterAutospacing="0" w:line="360" w:lineRule="auto"/>
        <w:jc w:val="both"/>
      </w:pPr>
      <w:r>
        <w:t>in which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2697"/>
      </w:tblGrid>
      <w:tr w:rsidR="00300D94">
        <w:trPr>
          <w:trHeight w:val="405"/>
          <w:jc w:val="center"/>
        </w:trPr>
        <w:tc>
          <w:tcPr>
            <w:tcW w:w="4669" w:type="dxa"/>
          </w:tcPr>
          <w:p w:rsidR="00300D94" w:rsidRDefault="003F69A8">
            <w:pPr>
              <w:pStyle w:val="NormalWeb"/>
              <w:spacing w:before="0" w:beforeAutospacing="0" w:after="120" w:afterAutospacing="0" w:line="360" w:lineRule="auto"/>
              <w:jc w:val="both"/>
              <w:rPr>
                <w:b/>
                <w:bCs/>
                <w:sz w:val="20"/>
              </w:rPr>
            </w:pPr>
            <m:oMathPara>
              <m:oMath>
                <m:func>
                  <m:funcPr>
                    <m:ctrlPr>
                      <w:rPr>
                        <w:rFonts w:ascii="Cambria Math" w:hAnsi="Cambria Math"/>
                        <w:i/>
                        <w:sz w:val="20"/>
                        <w:lang w:bidi="fa-IR"/>
                      </w:rPr>
                    </m:ctrlPr>
                  </m:funcPr>
                  <m:fName>
                    <m:r>
                      <m:rPr>
                        <m:sty m:val="p"/>
                      </m:rPr>
                      <w:rPr>
                        <w:rFonts w:ascii="Cambria Math" w:hAnsi="Cambria Math"/>
                        <w:sz w:val="20"/>
                        <w:lang w:bidi="fa-IR"/>
                      </w:rPr>
                      <m:t>ln</m:t>
                    </m:r>
                  </m:fName>
                  <m:e>
                    <m:sSub>
                      <m:sSubPr>
                        <m:ctrlPr>
                          <w:rPr>
                            <w:rFonts w:ascii="Cambria Math" w:hAnsi="Cambria Math"/>
                            <w:i/>
                            <w:iCs/>
                            <w:sz w:val="20"/>
                          </w:rPr>
                        </m:ctrlPr>
                      </m:sSubPr>
                      <m:e>
                        <m:r>
                          <w:rPr>
                            <w:rFonts w:ascii="Cambria Math" w:hAnsi="Cambria Math"/>
                            <w:sz w:val="20"/>
                          </w:rPr>
                          <m:t>K</m:t>
                        </m:r>
                      </m:e>
                      <m:sub>
                        <m:r>
                          <m:rPr>
                            <m:sty m:val="p"/>
                          </m:rPr>
                          <w:rPr>
                            <w:rFonts w:ascii="Cambria Math" w:hAnsi="Cambria Math"/>
                            <w:sz w:val="20"/>
                            <w:vertAlign w:val="subscript"/>
                          </w:rPr>
                          <m:t>d</m:t>
                        </m:r>
                      </m:sub>
                    </m:sSub>
                  </m:e>
                </m:func>
                <m:r>
                  <w:rPr>
                    <w:rFonts w:ascii="Cambria Math" w:hAnsi="Cambria Math"/>
                    <w:sz w:val="20"/>
                    <w:lang w:bidi="fa-IR"/>
                  </w:rPr>
                  <m:t>=-</m:t>
                </m:r>
                <m:f>
                  <m:fPr>
                    <m:ctrlPr>
                      <w:rPr>
                        <w:rFonts w:ascii="Cambria Math" w:eastAsiaTheme="minorHAnsi" w:hAnsi="Cambria Math" w:cs="B Nazanin"/>
                        <w:i/>
                        <w:kern w:val="2"/>
                        <w:sz w:val="20"/>
                        <w:szCs w:val="28"/>
                        <w:lang w:bidi="fa-IR"/>
                      </w:rPr>
                    </m:ctrlPr>
                  </m:fPr>
                  <m:num>
                    <m:r>
                      <w:rPr>
                        <w:rFonts w:ascii="Cambria Math" w:hAnsi="Cambria Math"/>
                        <w:sz w:val="20"/>
                        <w:lang w:bidi="fa-IR"/>
                      </w:rPr>
                      <m:t>∆</m:t>
                    </m:r>
                    <m:sSup>
                      <m:sSupPr>
                        <m:ctrlPr>
                          <w:rPr>
                            <w:rFonts w:ascii="Cambria Math" w:hAnsi="Cambria Math"/>
                            <w:i/>
                            <w:sz w:val="20"/>
                            <w:lang w:bidi="fa-IR"/>
                          </w:rPr>
                        </m:ctrlPr>
                      </m:sSupPr>
                      <m:e>
                        <m:r>
                          <w:rPr>
                            <w:rFonts w:ascii="Cambria Math" w:hAnsi="Cambria Math"/>
                            <w:sz w:val="20"/>
                            <w:lang w:bidi="fa-IR"/>
                          </w:rPr>
                          <m:t>H</m:t>
                        </m:r>
                      </m:e>
                      <m:sup>
                        <m:r>
                          <w:rPr>
                            <w:rFonts w:ascii="Cambria Math" w:hAnsi="Cambria Math"/>
                            <w:sz w:val="20"/>
                            <w:lang w:bidi="fa-IR"/>
                          </w:rPr>
                          <m:t>°</m:t>
                        </m:r>
                      </m:sup>
                    </m:sSup>
                  </m:num>
                  <m:den>
                    <m:r>
                      <w:rPr>
                        <w:rFonts w:ascii="Cambria Math" w:hAnsi="Cambria Math"/>
                        <w:sz w:val="20"/>
                        <w:lang w:bidi="fa-IR"/>
                      </w:rPr>
                      <m:t>R</m:t>
                    </m:r>
                  </m:den>
                </m:f>
                <m:f>
                  <m:fPr>
                    <m:ctrlPr>
                      <w:rPr>
                        <w:rFonts w:ascii="Cambria Math" w:eastAsiaTheme="minorHAnsi" w:hAnsi="Cambria Math" w:cs="B Nazanin"/>
                        <w:i/>
                        <w:kern w:val="2"/>
                        <w:sz w:val="20"/>
                        <w:szCs w:val="28"/>
                        <w:lang w:bidi="fa-IR"/>
                      </w:rPr>
                    </m:ctrlPr>
                  </m:fPr>
                  <m:num>
                    <m:r>
                      <w:rPr>
                        <w:rFonts w:ascii="Cambria Math" w:hAnsi="Cambria Math"/>
                        <w:sz w:val="20"/>
                        <w:lang w:bidi="fa-IR"/>
                      </w:rPr>
                      <m:t>1</m:t>
                    </m:r>
                  </m:num>
                  <m:den>
                    <m:r>
                      <w:rPr>
                        <w:rFonts w:ascii="Cambria Math" w:hAnsi="Cambria Math"/>
                        <w:sz w:val="20"/>
                        <w:lang w:bidi="fa-IR"/>
                      </w:rPr>
                      <m:t>T</m:t>
                    </m:r>
                  </m:den>
                </m:f>
                <m:r>
                  <w:rPr>
                    <w:rFonts w:ascii="Cambria Math" w:hAnsi="Cambria Math"/>
                    <w:sz w:val="20"/>
                    <w:lang w:bidi="fa-IR"/>
                  </w:rPr>
                  <m:t>+</m:t>
                </m:r>
                <m:f>
                  <m:fPr>
                    <m:ctrlPr>
                      <w:rPr>
                        <w:rFonts w:ascii="Cambria Math" w:eastAsiaTheme="minorHAnsi" w:hAnsi="Cambria Math" w:cs="B Nazanin"/>
                        <w:i/>
                        <w:kern w:val="2"/>
                        <w:sz w:val="20"/>
                        <w:szCs w:val="28"/>
                        <w:lang w:bidi="fa-IR"/>
                      </w:rPr>
                    </m:ctrlPr>
                  </m:fPr>
                  <m:num>
                    <m:r>
                      <w:rPr>
                        <w:rFonts w:ascii="Cambria Math" w:hAnsi="Cambria Math"/>
                        <w:sz w:val="20"/>
                        <w:lang w:bidi="fa-IR"/>
                      </w:rPr>
                      <m:t>∆</m:t>
                    </m:r>
                    <m:sSup>
                      <m:sSupPr>
                        <m:ctrlPr>
                          <w:rPr>
                            <w:rFonts w:ascii="Cambria Math" w:hAnsi="Cambria Math"/>
                            <w:i/>
                            <w:sz w:val="20"/>
                            <w:lang w:bidi="fa-IR"/>
                          </w:rPr>
                        </m:ctrlPr>
                      </m:sSupPr>
                      <m:e>
                        <m:r>
                          <w:rPr>
                            <w:rFonts w:ascii="Cambria Math" w:hAnsi="Cambria Math"/>
                            <w:sz w:val="20"/>
                            <w:lang w:bidi="fa-IR"/>
                          </w:rPr>
                          <m:t>S</m:t>
                        </m:r>
                      </m:e>
                      <m:sup>
                        <m:r>
                          <w:rPr>
                            <w:rFonts w:ascii="Cambria Math" w:hAnsi="Cambria Math"/>
                            <w:sz w:val="20"/>
                            <w:lang w:bidi="fa-IR"/>
                          </w:rPr>
                          <m:t>°</m:t>
                        </m:r>
                      </m:sup>
                    </m:sSup>
                  </m:num>
                  <m:den>
                    <m:r>
                      <w:rPr>
                        <w:rFonts w:ascii="Cambria Math" w:hAnsi="Cambria Math"/>
                        <w:sz w:val="20"/>
                        <w:lang w:bidi="fa-IR"/>
                      </w:rPr>
                      <m:t>R</m:t>
                    </m:r>
                  </m:den>
                </m:f>
              </m:oMath>
            </m:oMathPara>
          </w:p>
        </w:tc>
        <w:tc>
          <w:tcPr>
            <w:tcW w:w="2697" w:type="dxa"/>
          </w:tcPr>
          <w:p w:rsidR="00300D94" w:rsidRDefault="003F69A8">
            <w:pPr>
              <w:spacing w:before="120" w:after="120"/>
              <w:jc w:val="both"/>
              <w:rPr>
                <w:kern w:val="0"/>
                <w:sz w:val="20"/>
                <w:szCs w:val="20"/>
              </w:rPr>
            </w:pPr>
            <w:r>
              <w:rPr>
                <w:kern w:val="0"/>
                <w:sz w:val="20"/>
                <w:szCs w:val="20"/>
              </w:rPr>
              <w:t xml:space="preserve">     (8)</w:t>
            </w:r>
          </w:p>
        </w:tc>
      </w:tr>
    </w:tbl>
    <w:p w:rsidR="00300D94" w:rsidRDefault="003F69A8">
      <w:pPr>
        <w:spacing w:after="120"/>
        <w:jc w:val="both"/>
        <w:rPr>
          <w:color w:val="000000" w:themeColor="text1"/>
        </w:rPr>
      </w:pPr>
      <w:r>
        <w:rPr>
          <w:rFonts w:eastAsia="Times New Roman" w:cs="Times New Roman"/>
          <w:kern w:val="0"/>
          <w:szCs w:val="24"/>
        </w:rPr>
        <w:t xml:space="preserve">In </w:t>
      </w:r>
      <w:r>
        <w:rPr>
          <w:rFonts w:eastAsia="Times New Roman" w:cs="Times New Roman"/>
          <w:color w:val="000000" w:themeColor="text1"/>
          <w:kern w:val="0"/>
          <w:szCs w:val="24"/>
        </w:rPr>
        <w:t xml:space="preserve">which, </w:t>
      </w:r>
      <m:oMath>
        <m:sSub>
          <m:sSubPr>
            <m:ctrlPr>
              <w:rPr>
                <w:rFonts w:ascii="Cambria Math" w:eastAsia="Times New Roman" w:hAnsi="Cambria Math" w:cs="Times New Roman"/>
                <w:i/>
                <w:iCs/>
                <w:color w:val="000000" w:themeColor="text1"/>
                <w:kern w:val="0"/>
                <w:szCs w:val="24"/>
              </w:rPr>
            </m:ctrlPr>
          </m:sSubPr>
          <m:e>
            <m:r>
              <w:rPr>
                <w:rFonts w:ascii="Cambria Math" w:hAnsi="Cambria Math"/>
                <w:color w:val="000000" w:themeColor="text1"/>
              </w:rPr>
              <m:t>K</m:t>
            </m:r>
          </m:e>
          <m:sub>
            <m:r>
              <m:rPr>
                <m:sty m:val="p"/>
              </m:rPr>
              <w:rPr>
                <w:rFonts w:ascii="Cambria Math" w:hAnsi="Cambria Math"/>
                <w:color w:val="000000" w:themeColor="text1"/>
                <w:vertAlign w:val="subscript"/>
              </w:rPr>
              <m:t>d</m:t>
            </m:r>
          </m:sub>
        </m:sSub>
      </m:oMath>
      <w:r>
        <w:rPr>
          <w:rFonts w:eastAsia="Times New Roman" w:cs="Times New Roman"/>
          <w:color w:val="000000" w:themeColor="text1"/>
          <w:kern w:val="0"/>
          <w:szCs w:val="24"/>
        </w:rPr>
        <w:t xml:space="preserve"> is distribution constant defined as </w:t>
      </w:r>
      <w:r>
        <w:rPr>
          <w:color w:val="000000" w:themeColor="text1"/>
        </w:rPr>
        <w:fldChar w:fldCharType="begin" w:fldLock="1"/>
      </w:r>
      <w:r>
        <w:rPr>
          <w:color w:val="000000" w:themeColor="text1"/>
        </w:rPr>
        <w:instrText>ADDIN CSL_CITATION {"citationItems":[{"id":"ITEM-1","itemData":{"DOI":"10.1007/s11157-015-9362-x","ISSN":"15729826","abstract":"This critical review emphasizes on the potential applications of low-cost lignocellulosic material in the field of heavy metal p</w:instrText>
      </w:r>
      <w:r>
        <w:rPr>
          <w:color w:val="000000" w:themeColor="text1"/>
        </w:rPr>
        <w:instrText>ollution remediation. It contains the information related to binding mechanism, relative uptake capacities, effect of modification on increment in uptake capacities, equilibrium, kinetic and thermodynamic modeling involved. This effort offers a good unders</w:instrText>
      </w:r>
      <w:r>
        <w:rPr>
          <w:color w:val="000000" w:themeColor="text1"/>
        </w:rPr>
        <w:instrText>tanding about the role of functional groups in biosorption process. However, there exists a large barrier which inhibits the industry to switch on the biosorption process in place of conventional technologies. Future investigations on (1) assessment of low</w:instrText>
      </w:r>
      <w:r>
        <w:rPr>
          <w:color w:val="000000" w:themeColor="text1"/>
        </w:rPr>
        <w:instrText>-cost lignocellulosic materials on multi-metal samples and real world samples, (2) low-cost methods of modification, (3) development of multifunctional lignocellulosic materials can help to decrease this barrier.","author":[{"dropping-particle":"","family"</w:instrText>
      </w:r>
      <w:r>
        <w:rPr>
          <w:color w:val="000000" w:themeColor="text1"/>
        </w:rPr>
        <w:instrText>:"Salman","given":"Muhammad","non-dropping-particle":"","parse-names":false,"suffix":""},{"dropping-particle":"","family":"Athar","given":"Makshoof","non-dropping-particle":"","parse-names":false,"suffix":""},{"dropping-particle":"","family":"Farooq","give</w:instrText>
      </w:r>
      <w:r>
        <w:rPr>
          <w:color w:val="000000" w:themeColor="text1"/>
        </w:rPr>
        <w:instrText>n":"Umar","non-dropping-particle":"","parse-names":false,"suffix":""}],"container-title":"Reviews in Environmental Science and Biotechnology","id":"ITEM-1","issue":"2","issued":{"date-parts":[["2015"]]},"title":"Biosorption of heavy metals from aqueous sol</w:instrText>
      </w:r>
      <w:r>
        <w:rPr>
          <w:color w:val="000000" w:themeColor="text1"/>
        </w:rPr>
        <w:instrText>utions using indigenous and modified lignocellulosic materials","type":"article","volume":"14"},"uris":["http://www.mendeley.com/documents/?uuid=bed543fe-07f1-3dea-a042-31fd452cfd56"]},{"id":"ITEM-2","itemData":{"DOI":"10.1016/j.jece.2013.12.016","ISSN":"2</w:instrText>
      </w:r>
      <w:r>
        <w:rPr>
          <w:color w:val="000000" w:themeColor="text1"/>
        </w:rPr>
        <w:instrText xml:space="preserve">2133437","abstract":"Abstract Jerusalem artichoke stalk based mesoporous activated carbon (MAC) has been studied for its potential adsorption removal of anionic (methyl orange, MO) and cationic dyes (methylene blue, MB). Batch adsorption experiments found </w:instrText>
      </w:r>
      <w:r>
        <w:rPr>
          <w:color w:val="000000" w:themeColor="text1"/>
        </w:rPr>
        <w:instrText>that the adsorption data of both dyes were well fitted by Langmuir model and pseudo second-order kinetics. MB and MO adsorbed by MAC were of endothermic and exothermic nature, respectively. Acidic condition promotes the anionic dye molecules moving onto MA</w:instrText>
      </w:r>
      <w:r>
        <w:rPr>
          <w:color w:val="000000" w:themeColor="text1"/>
        </w:rPr>
        <w:instrText>C surface by electrostatic attraction, while limits the initial adsorption rate of cationic dye. The intra-particle diffusion was involved in the whole diffusion process, but not the sole rate-controlling step. The calculated film diffusion coefficient (Df</w:instrText>
      </w:r>
      <w:r>
        <w:rPr>
          <w:color w:val="000000" w:themeColor="text1"/>
        </w:rPr>
        <w:instrText xml:space="preserve">) values, in the range of 10-6 to 10-8 cm2/s, was two orders of magnitude higher than intra-particle diffusion coefficient (Di) values, indicating the film diffusion controls the whole diffusion rates of the dye molecules moving from aqueous solution onto </w:instrText>
      </w:r>
      <w:r>
        <w:rPr>
          <w:color w:val="000000" w:themeColor="text1"/>
        </w:rPr>
        <w:instrText>solid surface. Moreover, the D values for both dyes obtained in present study were superior to many reported carbon adsorbents. This higher D values were the result of more developed internal surface of MAC as higher mesoporosity, which promotes the diffus</w:instrText>
      </w:r>
      <w:r>
        <w:rPr>
          <w:color w:val="000000" w:themeColor="text1"/>
        </w:rPr>
        <w:instrText>ion rate. © 2013 Elsevier Ltd.","author":[{"dropping-particle":"","family":"Yu","given":"Lei","non-dropping-particle":"","parse-names":false,"suffix":""},{"dropping-particle":"","family":"Luo","given":"Yong Ming","non-dropping-particle":"","parse-names":fa</w:instrText>
      </w:r>
      <w:r>
        <w:rPr>
          <w:color w:val="000000" w:themeColor="text1"/>
        </w:rPr>
        <w:instrText>lse,"suffix":""}],"container-title":"Journal of Environmental Chemical Engineering","id":"ITEM-2","issue":"1","issued":{"date-parts":[["2014"]]},"title":"The adsorption mechanism of anionic and cationic dyes by Jerusalem artichoke stalk-based mesoporous ac</w:instrText>
      </w:r>
      <w:r>
        <w:rPr>
          <w:color w:val="000000" w:themeColor="text1"/>
        </w:rPr>
        <w:instrText>tivated carbon","type":"article-journal","volume":"2"},"uris":["http://www.mendeley.com/documents/?uuid=ca378a0c-16e7-3c95-958b-848715a35f55"]},{"id":"ITEM-3","itemData":{"DOI":"10.1016/j.carbpol.2012.12.019","ISSN":"01448617","abstract":"Crosslinked porou</w:instrText>
      </w:r>
      <w:r>
        <w:rPr>
          <w:color w:val="000000" w:themeColor="text1"/>
        </w:rPr>
        <w:instrText>s starch (CPS) was prepared by two steps. Native starch was crosslinked with epichlorohydrin and then CPS was prepared by hydrolyzing the crosslinked starch with α-amylase. As a biodegradable and safe adsorbent, CPS was used to remove methylene blue (MB) f</w:instrText>
      </w:r>
      <w:r>
        <w:rPr>
          <w:color w:val="000000" w:themeColor="text1"/>
        </w:rPr>
        <w:instrText>rom the aqueous solution based on its characterizations, including surface area, pore volume and scanning electron microscopy (SEM). The results indicate that the adsorption capacity of CPS is much higher than native starch and relatively higher than porou</w:instrText>
      </w:r>
      <w:r>
        <w:rPr>
          <w:color w:val="000000" w:themeColor="text1"/>
        </w:rPr>
        <w:instrText>s starch. The effects of the initial concentration of MB, the time and temperature on the adsorption capacity were investigated. The pseudo-first-order kinetic model provides a better correlation of the experimental data in comparison with the pseudo-secon</w:instrText>
      </w:r>
      <w:r>
        <w:rPr>
          <w:color w:val="000000" w:themeColor="text1"/>
        </w:rPr>
        <w:instrText>d-order model. The equilibrium adsorption data are well described by the Langmuir isotherm model with a maximum adsorption capacity of 9.46 mg g-1. The adsorption of MB on CPS is endothermic and spontaneous in nature. The thermodynamics data are in good ag</w:instrText>
      </w:r>
      <w:r>
        <w:rPr>
          <w:color w:val="000000" w:themeColor="text1"/>
        </w:rPr>
        <w:instrText>reement with physical adsorption mechanism. © 2012 Elsevier Ltd.","author":[{"dropping-particle":"","family":"Guo","given":"Lei","non-dropping-particle":"","parse-names":false,"suffix":""},{"dropping-particle":"","family":"Li","given":"Guiying","non-droppi</w:instrText>
      </w:r>
      <w:r>
        <w:rPr>
          <w:color w:val="000000" w:themeColor="text1"/>
        </w:rPr>
        <w:instrText>ng-particle":"","parse-names":false,"suffix":""},{"dropping-particle":"","family":"Liu","given":"Junshen","non-dropping-particle":"","parse-names":false,"suffix":""},{"dropping-particle":"","family":"Meng","given":"Yanfeng","non-dropping-particle":"","pars</w:instrText>
      </w:r>
      <w:r>
        <w:rPr>
          <w:color w:val="000000" w:themeColor="text1"/>
        </w:rPr>
        <w:instrText>e-names":false,"suffix":""},{"dropping-particle":"","family":"Tang","given":"Yanfeng","non-dropping-particle":"","parse-names":false,"suffix":""}],"container-title":"Carbohydrate Polymers","id":"ITEM-3","issue":"2","issued":{"date-parts":[["2013"]]},"title</w:instrText>
      </w:r>
      <w:r>
        <w:rPr>
          <w:color w:val="000000" w:themeColor="text1"/>
        </w:rPr>
        <w:instrText>":"Adsorptive decolorization of methylene blue by crosslinked porous starch","type":"article-journal","volume":"93"},"uris":["http://www.mendeley.com/documents/?uuid=eff7377b-ae3d-3bce-a34e-034d9852853c"]}],"mendeley":{"formattedCitation":"[33–35]","plainT</w:instrText>
      </w:r>
      <w:r>
        <w:rPr>
          <w:color w:val="000000" w:themeColor="text1"/>
        </w:rPr>
        <w:instrText>extFormattedCitation":"[33–35]","previouslyFormattedCitation":"[117–119]"},"properties":{"noteIndex":0},"schema":"https://github.com/citation-style-language/schema/raw/master/csl-citation.json"}</w:instrText>
      </w:r>
      <w:r>
        <w:rPr>
          <w:color w:val="000000" w:themeColor="text1"/>
        </w:rPr>
        <w:fldChar w:fldCharType="separate"/>
      </w:r>
      <w:r>
        <w:rPr>
          <w:color w:val="000000" w:themeColor="text1"/>
        </w:rPr>
        <w:t>[33–35]</w:t>
      </w:r>
      <w:r>
        <w:rPr>
          <w:color w:val="000000" w:themeColor="text1"/>
        </w:rPr>
        <w:fldChar w:fldCharType="end"/>
      </w:r>
      <w:r>
        <w:rPr>
          <w:color w:val="000000" w:themeColor="text1"/>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2909"/>
      </w:tblGrid>
      <w:tr w:rsidR="00300D94">
        <w:trPr>
          <w:trHeight w:val="444"/>
          <w:jc w:val="center"/>
        </w:trPr>
        <w:tc>
          <w:tcPr>
            <w:tcW w:w="5036" w:type="dxa"/>
          </w:tcPr>
          <w:p w:rsidR="00300D94" w:rsidRDefault="003F69A8">
            <w:pPr>
              <w:spacing w:before="120" w:after="120"/>
              <w:jc w:val="both"/>
              <w:rPr>
                <w:rFonts w:eastAsiaTheme="minorEastAsia"/>
                <w:kern w:val="0"/>
                <w:sz w:val="20"/>
                <w:szCs w:val="20"/>
                <w:lang w:bidi="fa-IR"/>
              </w:rPr>
            </w:pPr>
            <m:oMathPara>
              <m:oMath>
                <m:sSub>
                  <m:sSubPr>
                    <m:ctrlPr>
                      <w:rPr>
                        <w:rFonts w:ascii="Cambria Math" w:hAnsi="Cambria Math"/>
                        <w:i/>
                        <w:kern w:val="0"/>
                        <w:sz w:val="20"/>
                        <w:szCs w:val="20"/>
                        <w:lang w:bidi="fa-IR"/>
                      </w:rPr>
                    </m:ctrlPr>
                  </m:sSubPr>
                  <m:e>
                    <m:r>
                      <w:rPr>
                        <w:rFonts w:ascii="Cambria Math" w:hAnsi="Cambria Math"/>
                        <w:kern w:val="0"/>
                        <w:sz w:val="20"/>
                        <w:szCs w:val="20"/>
                        <w:lang w:bidi="fa-IR"/>
                      </w:rPr>
                      <m:t>K</m:t>
                    </m:r>
                  </m:e>
                  <m:sub>
                    <m:r>
                      <w:rPr>
                        <w:rFonts w:ascii="Cambria Math" w:hAnsi="Cambria Math"/>
                        <w:kern w:val="0"/>
                        <w:sz w:val="20"/>
                        <w:szCs w:val="20"/>
                        <w:lang w:bidi="fa-IR"/>
                      </w:rPr>
                      <m:t>d</m:t>
                    </m:r>
                  </m:sub>
                </m:sSub>
                <m:r>
                  <w:rPr>
                    <w:rFonts w:ascii="Cambria Math" w:hAnsi="Cambria Math"/>
                    <w:kern w:val="0"/>
                    <w:sz w:val="20"/>
                    <w:szCs w:val="20"/>
                    <w:lang w:bidi="fa-IR"/>
                  </w:rPr>
                  <m:t>=</m:t>
                </m:r>
                <m:f>
                  <m:fPr>
                    <m:ctrlPr>
                      <w:rPr>
                        <w:rFonts w:ascii="Cambria Math" w:hAnsi="Cambria Math"/>
                        <w:i/>
                        <w:kern w:val="0"/>
                        <w:sz w:val="20"/>
                        <w:szCs w:val="20"/>
                        <w:lang w:bidi="fa-IR"/>
                      </w:rPr>
                    </m:ctrlPr>
                  </m:fPr>
                  <m:num>
                    <m:sSub>
                      <m:sSubPr>
                        <m:ctrlPr>
                          <w:rPr>
                            <w:rFonts w:ascii="Cambria Math" w:hAnsi="Cambria Math"/>
                            <w:i/>
                            <w:kern w:val="0"/>
                            <w:sz w:val="20"/>
                            <w:szCs w:val="20"/>
                            <w:lang w:bidi="fa-IR"/>
                          </w:rPr>
                        </m:ctrlPr>
                      </m:sSubPr>
                      <m:e>
                        <m:r>
                          <w:rPr>
                            <w:rFonts w:ascii="Cambria Math" w:hAnsi="Cambria Math"/>
                            <w:kern w:val="0"/>
                            <w:sz w:val="20"/>
                            <w:szCs w:val="20"/>
                            <w:lang w:bidi="fa-IR"/>
                          </w:rPr>
                          <m:t>C</m:t>
                        </m:r>
                      </m:e>
                      <m:sub>
                        <m:r>
                          <w:rPr>
                            <w:rFonts w:ascii="Cambria Math" w:hAnsi="Cambria Math"/>
                            <w:kern w:val="0"/>
                            <w:sz w:val="20"/>
                            <w:szCs w:val="20"/>
                            <w:lang w:bidi="fa-IR"/>
                          </w:rPr>
                          <m:t>ad</m:t>
                        </m:r>
                      </m:sub>
                    </m:sSub>
                  </m:num>
                  <m:den>
                    <m:sSub>
                      <m:sSubPr>
                        <m:ctrlPr>
                          <w:rPr>
                            <w:rFonts w:ascii="Cambria Math" w:hAnsi="Cambria Math"/>
                            <w:i/>
                            <w:kern w:val="0"/>
                            <w:sz w:val="20"/>
                            <w:szCs w:val="20"/>
                            <w:lang w:bidi="fa-IR"/>
                          </w:rPr>
                        </m:ctrlPr>
                      </m:sSubPr>
                      <m:e>
                        <m:r>
                          <w:rPr>
                            <w:rFonts w:ascii="Cambria Math" w:hAnsi="Cambria Math"/>
                            <w:kern w:val="0"/>
                            <w:sz w:val="20"/>
                            <w:szCs w:val="20"/>
                            <w:lang w:bidi="fa-IR"/>
                          </w:rPr>
                          <m:t>C</m:t>
                        </m:r>
                      </m:e>
                      <m:sub>
                        <m:r>
                          <w:rPr>
                            <w:rFonts w:ascii="Cambria Math" w:hAnsi="Cambria Math"/>
                            <w:kern w:val="0"/>
                            <w:sz w:val="20"/>
                            <w:szCs w:val="20"/>
                            <w:lang w:bidi="fa-IR"/>
                          </w:rPr>
                          <m:t>e</m:t>
                        </m:r>
                      </m:sub>
                    </m:sSub>
                  </m:den>
                </m:f>
              </m:oMath>
            </m:oMathPara>
          </w:p>
        </w:tc>
        <w:tc>
          <w:tcPr>
            <w:tcW w:w="2909" w:type="dxa"/>
          </w:tcPr>
          <w:p w:rsidR="00300D94" w:rsidRDefault="003F69A8">
            <w:pPr>
              <w:spacing w:before="120" w:after="120"/>
              <w:jc w:val="both"/>
              <w:rPr>
                <w:kern w:val="0"/>
                <w:sz w:val="20"/>
                <w:szCs w:val="20"/>
              </w:rPr>
            </w:pPr>
            <w:r>
              <w:rPr>
                <w:kern w:val="0"/>
                <w:sz w:val="20"/>
                <w:szCs w:val="20"/>
              </w:rPr>
              <w:t xml:space="preserve">   (9)</w:t>
            </w:r>
          </w:p>
        </w:tc>
      </w:tr>
    </w:tbl>
    <w:p w:rsidR="00300D94" w:rsidRDefault="003F69A8">
      <w:pPr>
        <w:spacing w:after="120"/>
        <w:jc w:val="both"/>
        <w:rPr>
          <w:rFonts w:eastAsia="Times New Roman" w:cs="Times New Roman"/>
          <w:kern w:val="0"/>
          <w:szCs w:val="24"/>
        </w:rPr>
      </w:pPr>
      <w:r>
        <w:t xml:space="preserve">In this equation, </w:t>
      </w:r>
      <w:r>
        <w:rPr>
          <w:i/>
          <w:iCs/>
        </w:rPr>
        <w:t>C</w:t>
      </w:r>
      <w:r>
        <w:rPr>
          <w:vertAlign w:val="subscript"/>
        </w:rPr>
        <w:t xml:space="preserve">e </w:t>
      </w:r>
      <w:r>
        <w:t xml:space="preserve">and </w:t>
      </w:r>
      <w:r>
        <w:rPr>
          <w:i/>
          <w:iCs/>
        </w:rPr>
        <w:t>C</w:t>
      </w:r>
      <w:r>
        <w:rPr>
          <w:vertAlign w:val="subscript"/>
        </w:rPr>
        <w:t>ad</w:t>
      </w:r>
      <w:r>
        <w:t xml:space="preserve"> represent the equilibrium concentration of the solute in the solution and the concentration of the adsorbed solute at equilibrium, </w:t>
      </w:r>
      <w:r>
        <w:rPr>
          <w:i/>
          <w:iCs/>
        </w:rPr>
        <w:t>R</w:t>
      </w:r>
      <w:r>
        <w:t xml:space="preserve"> (8.314 J/mol.K) is gas constant, </w:t>
      </w:r>
      <w:r>
        <w:rPr>
          <w:i/>
          <w:iCs/>
        </w:rPr>
        <w:t xml:space="preserve">T  </w:t>
      </w:r>
      <w:r>
        <w:t>is absolute temperature (in kelvins), Δ</w:t>
      </w:r>
      <w:r>
        <w:rPr>
          <w:i/>
          <w:iCs/>
        </w:rPr>
        <w:t>H</w:t>
      </w:r>
      <w:r>
        <w:t>° represents energy changes, and Δ</w:t>
      </w:r>
      <w:r>
        <w:rPr>
          <w:i/>
          <w:iCs/>
        </w:rPr>
        <w:t>S</w:t>
      </w:r>
      <w:r>
        <w:t>° represe</w:t>
      </w:r>
      <w:r>
        <w:t xml:space="preserve">nts entropy changes. </w:t>
      </w:r>
      <w:r>
        <w:rPr>
          <w:rFonts w:eastAsia="Times New Roman" w:cs="Times New Roman"/>
          <w:kern w:val="0"/>
          <w:szCs w:val="24"/>
        </w:rPr>
        <w:t>Equation 10 may be used to calculate the values of Δ</w:t>
      </w:r>
      <w:r>
        <w:rPr>
          <w:rFonts w:eastAsia="Times New Roman" w:cs="Times New Roman"/>
          <w:i/>
          <w:iCs/>
          <w:kern w:val="0"/>
          <w:szCs w:val="24"/>
        </w:rPr>
        <w:t>H</w:t>
      </w:r>
      <w:r>
        <w:rPr>
          <w:rFonts w:eastAsia="Times New Roman" w:cs="Times New Roman"/>
          <w:kern w:val="0"/>
          <w:szCs w:val="24"/>
        </w:rPr>
        <w:t>° and Δ</w:t>
      </w:r>
      <w:r>
        <w:rPr>
          <w:rFonts w:eastAsia="Times New Roman" w:cs="Times New Roman"/>
          <w:i/>
          <w:iCs/>
          <w:kern w:val="0"/>
          <w:szCs w:val="24"/>
        </w:rPr>
        <w:t>S</w:t>
      </w:r>
      <w:r>
        <w:rPr>
          <w:rFonts w:eastAsia="Times New Roman" w:cs="Times New Roman"/>
          <w:kern w:val="0"/>
          <w:szCs w:val="24"/>
        </w:rPr>
        <w:t xml:space="preserve">° by examining the slope and intercept of the graph that plots the equilibrium constant's natural logarithm (ln </w:t>
      </w:r>
      <w:r>
        <w:rPr>
          <w:rFonts w:eastAsia="Times New Roman" w:cs="Times New Roman"/>
          <w:i/>
          <w:iCs/>
          <w:kern w:val="0"/>
          <w:szCs w:val="24"/>
        </w:rPr>
        <w:t>K</w:t>
      </w:r>
      <w:r>
        <w:rPr>
          <w:rFonts w:eastAsia="Times New Roman" w:cs="Times New Roman"/>
          <w:kern w:val="0"/>
          <w:szCs w:val="24"/>
          <w:vertAlign w:val="subscript"/>
        </w:rPr>
        <w:t>d</w:t>
      </w:r>
      <w:r>
        <w:rPr>
          <w:rFonts w:eastAsia="Times New Roman" w:cs="Times New Roman"/>
          <w:kern w:val="0"/>
          <w:szCs w:val="24"/>
        </w:rPr>
        <w:t>) versus temperature reciprocal (1/</w:t>
      </w:r>
      <w:r>
        <w:rPr>
          <w:rFonts w:eastAsia="Times New Roman" w:cs="Times New Roman"/>
          <w:i/>
          <w:iCs/>
          <w:kern w:val="0"/>
          <w:szCs w:val="24"/>
        </w:rPr>
        <w:t>T</w:t>
      </w:r>
      <w:r>
        <w:rPr>
          <w:rFonts w:eastAsia="Times New Roman" w:cs="Times New Roman"/>
          <w:kern w:val="0"/>
          <w:szCs w:val="24"/>
        </w:rPr>
        <w:t xml:space="preserve">). Exploring </w:t>
      </w:r>
      <w:r>
        <w:t xml:space="preserve">Au(III) </w:t>
      </w:r>
      <w:r>
        <w:rPr>
          <w:rFonts w:eastAsia="Times New Roman" w:cs="Times New Roman"/>
          <w:kern w:val="0"/>
          <w:szCs w:val="24"/>
        </w:rPr>
        <w:t>ads</w:t>
      </w:r>
      <w:r>
        <w:rPr>
          <w:rFonts w:eastAsia="Times New Roman" w:cs="Times New Roman"/>
          <w:kern w:val="0"/>
          <w:szCs w:val="24"/>
        </w:rPr>
        <w:t>orption at different temperatures reveals intriguing thermodynamic insights in Table S4 and Fig. S4, where ln</w:t>
      </w:r>
      <w:r>
        <w:rPr>
          <w:rFonts w:eastAsia="Times New Roman" w:cs="Times New Roman"/>
          <w:i/>
          <w:iCs/>
          <w:kern w:val="0"/>
          <w:szCs w:val="24"/>
        </w:rPr>
        <w:t>K</w:t>
      </w:r>
      <w:r>
        <w:rPr>
          <w:rFonts w:eastAsia="Times New Roman" w:cs="Times New Roman"/>
          <w:kern w:val="0"/>
          <w:szCs w:val="24"/>
          <w:vertAlign w:val="subscript"/>
        </w:rPr>
        <w:t>d</w:t>
      </w:r>
      <w:r>
        <w:rPr>
          <w:rFonts w:eastAsia="Times New Roman" w:cs="Times New Roman"/>
          <w:kern w:val="0"/>
          <w:szCs w:val="24"/>
        </w:rPr>
        <w:t xml:space="preserve"> is plotted against 1/</w:t>
      </w:r>
      <w:r>
        <w:rPr>
          <w:rFonts w:eastAsia="Times New Roman" w:cs="Times New Roman"/>
          <w:i/>
          <w:iCs/>
          <w:kern w:val="0"/>
          <w:szCs w:val="24"/>
        </w:rPr>
        <w:t>T</w:t>
      </w:r>
      <w:r>
        <w:rPr>
          <w:rFonts w:eastAsia="Times New Roman" w:cs="Times New Roman"/>
          <w:kern w:val="0"/>
          <w:szCs w:val="24"/>
        </w:rPr>
        <w:t xml:space="preserve"> for analysis.</w:t>
      </w:r>
    </w:p>
    <w:p w:rsidR="00300D94" w:rsidRDefault="003F69A8">
      <w:pPr>
        <w:spacing w:after="120"/>
        <w:jc w:val="center"/>
        <w:rPr>
          <w:rFonts w:eastAsia="Times New Roman" w:cs="Times New Roman"/>
          <w:kern w:val="0"/>
          <w:szCs w:val="24"/>
          <w:rtl/>
          <w:lang w:bidi="fa-IR"/>
        </w:rPr>
      </w:pPr>
      <w:r>
        <w:rPr>
          <w:rFonts w:eastAsia="Times New Roman" w:cs="Times New Roman"/>
          <w:noProof/>
          <w:kern w:val="0"/>
          <w:szCs w:val="24"/>
        </w:rPr>
        <w:drawing>
          <wp:inline distT="0" distB="0" distL="0" distR="0">
            <wp:extent cx="3192145" cy="225044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198416" cy="2254698"/>
                    </a:xfrm>
                    <a:prstGeom prst="rect">
                      <a:avLst/>
                    </a:prstGeom>
                    <a:noFill/>
                    <a:ln>
                      <a:noFill/>
                    </a:ln>
                  </pic:spPr>
                </pic:pic>
              </a:graphicData>
            </a:graphic>
          </wp:inline>
        </w:drawing>
      </w:r>
    </w:p>
    <w:p w:rsidR="00300D94" w:rsidRDefault="003F69A8">
      <w:pPr>
        <w:spacing w:after="120"/>
        <w:jc w:val="center"/>
      </w:pPr>
      <w:r>
        <w:rPr>
          <w:b/>
          <w:bCs/>
        </w:rPr>
        <w:t>Fig. S4</w:t>
      </w:r>
      <w:r>
        <w:t xml:space="preserve"> The plot of ln (</w:t>
      </w:r>
      <w:r>
        <w:rPr>
          <w:i/>
          <w:iCs/>
        </w:rPr>
        <w:t>K</w:t>
      </w:r>
      <w:r>
        <w:rPr>
          <w:vertAlign w:val="subscript"/>
        </w:rPr>
        <w:t>d</w:t>
      </w:r>
      <w:r>
        <w:t>) vs. 1/</w:t>
      </w:r>
      <w:r>
        <w:rPr>
          <w:i/>
          <w:iCs/>
        </w:rPr>
        <w:t>T</w:t>
      </w:r>
      <w:r>
        <w:t>.</w:t>
      </w:r>
    </w:p>
    <w:p w:rsidR="00300D94" w:rsidRDefault="00300D94">
      <w:pPr>
        <w:spacing w:after="120"/>
        <w:jc w:val="center"/>
      </w:pPr>
    </w:p>
    <w:p w:rsidR="00300D94" w:rsidRDefault="00300D94">
      <w:pPr>
        <w:spacing w:after="120"/>
        <w:jc w:val="center"/>
      </w:pPr>
    </w:p>
    <w:p w:rsidR="00300D94" w:rsidRDefault="00300D94">
      <w:pPr>
        <w:spacing w:after="120"/>
        <w:jc w:val="center"/>
      </w:pPr>
    </w:p>
    <w:p w:rsidR="00300D94" w:rsidRDefault="00300D94">
      <w:pPr>
        <w:spacing w:after="120"/>
        <w:jc w:val="center"/>
        <w:rPr>
          <w:rFonts w:eastAsia="Times New Roman" w:cs="Times New Roman"/>
          <w:b/>
          <w:bCs/>
          <w:kern w:val="0"/>
          <w:szCs w:val="24"/>
          <w:rtl/>
        </w:rPr>
      </w:pPr>
    </w:p>
    <w:p w:rsidR="00300D94" w:rsidRDefault="003F69A8">
      <w:pPr>
        <w:spacing w:after="120"/>
        <w:jc w:val="center"/>
        <w:rPr>
          <w:rFonts w:eastAsia="Times New Roman" w:cs="Times New Roman"/>
          <w:kern w:val="0"/>
          <w:szCs w:val="24"/>
        </w:rPr>
      </w:pPr>
      <w:r>
        <w:rPr>
          <w:rFonts w:eastAsia="Times New Roman" w:cs="Times New Roman"/>
          <w:b/>
          <w:bCs/>
          <w:kern w:val="0"/>
          <w:szCs w:val="24"/>
        </w:rPr>
        <w:lastRenderedPageBreak/>
        <w:t xml:space="preserve">Table S4 </w:t>
      </w:r>
      <w:r>
        <w:rPr>
          <w:rFonts w:eastAsia="Times New Roman" w:cs="Times New Roman"/>
          <w:kern w:val="0"/>
          <w:szCs w:val="24"/>
        </w:rPr>
        <w:t xml:space="preserve">Adsorption thermodynamic parameters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260"/>
        <w:gridCol w:w="1350"/>
        <w:gridCol w:w="1170"/>
        <w:gridCol w:w="1535"/>
      </w:tblGrid>
      <w:tr w:rsidR="00300D94">
        <w:trPr>
          <w:trHeight w:val="341"/>
          <w:jc w:val="center"/>
        </w:trPr>
        <w:tc>
          <w:tcPr>
            <w:tcW w:w="985" w:type="dxa"/>
            <w:tcBorders>
              <w:top w:val="single" w:sz="4" w:space="0" w:color="auto"/>
              <w:bottom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eastAsia="Times New Roman" w:hAnsiTheme="majorBidi" w:cstheme="majorBidi"/>
                <w:i/>
                <w:iCs/>
                <w:kern w:val="0"/>
                <w:sz w:val="20"/>
                <w:szCs w:val="24"/>
                <w:lang w:bidi="fa-IR"/>
              </w:rPr>
              <w:t>T</w:t>
            </w:r>
            <w:r>
              <w:rPr>
                <w:rFonts w:asciiTheme="majorBidi" w:eastAsia="Times New Roman" w:hAnsiTheme="majorBidi" w:cstheme="majorBidi"/>
                <w:kern w:val="0"/>
                <w:sz w:val="20"/>
                <w:szCs w:val="24"/>
                <w:lang w:bidi="fa-IR"/>
              </w:rPr>
              <w:t xml:space="preserve"> (K)</w:t>
            </w:r>
          </w:p>
        </w:tc>
        <w:tc>
          <w:tcPr>
            <w:tcW w:w="1260" w:type="dxa"/>
            <w:tcBorders>
              <w:top w:val="single" w:sz="4" w:space="0" w:color="auto"/>
              <w:bottom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eastAsia="Times New Roman" w:hAnsiTheme="majorBidi" w:cstheme="majorBidi"/>
                <w:i/>
                <w:iCs/>
                <w:kern w:val="0"/>
                <w:sz w:val="20"/>
                <w:szCs w:val="24"/>
                <w:lang w:bidi="fa-IR"/>
              </w:rPr>
              <w:t>K</w:t>
            </w:r>
            <w:r>
              <w:rPr>
                <w:rFonts w:asciiTheme="majorBidi" w:eastAsia="Times New Roman" w:hAnsiTheme="majorBidi" w:cstheme="majorBidi"/>
                <w:kern w:val="0"/>
                <w:sz w:val="20"/>
                <w:szCs w:val="24"/>
                <w:vertAlign w:val="subscript"/>
                <w:lang w:bidi="fa-IR"/>
              </w:rPr>
              <w:t>d</w:t>
            </w:r>
          </w:p>
        </w:tc>
        <w:tc>
          <w:tcPr>
            <w:tcW w:w="1350" w:type="dxa"/>
            <w:tcBorders>
              <w:top w:val="single" w:sz="4" w:space="0" w:color="auto"/>
              <w:bottom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rPr>
            </w:pPr>
            <w:r>
              <w:rPr>
                <w:rFonts w:asciiTheme="majorBidi" w:eastAsia="Times New Roman" w:hAnsiTheme="majorBidi" w:cstheme="majorBidi"/>
                <w:kern w:val="0"/>
                <w:sz w:val="20"/>
                <w:szCs w:val="24"/>
              </w:rPr>
              <w:t>Δ</w:t>
            </w:r>
            <w:r>
              <w:rPr>
                <w:rFonts w:asciiTheme="majorBidi" w:eastAsia="Times New Roman" w:hAnsiTheme="majorBidi" w:cstheme="majorBidi"/>
                <w:i/>
                <w:iCs/>
                <w:kern w:val="0"/>
                <w:sz w:val="20"/>
                <w:szCs w:val="24"/>
              </w:rPr>
              <w:t>G</w:t>
            </w:r>
            <w:r>
              <w:rPr>
                <w:rFonts w:asciiTheme="majorBidi" w:eastAsia="Times New Roman" w:hAnsiTheme="majorBidi" w:cstheme="majorBidi"/>
                <w:kern w:val="0"/>
                <w:sz w:val="20"/>
                <w:szCs w:val="24"/>
              </w:rPr>
              <w:t>°</w:t>
            </w:r>
          </w:p>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eastAsia="Times New Roman" w:hAnsiTheme="majorBidi" w:cstheme="majorBidi"/>
                <w:kern w:val="0"/>
                <w:sz w:val="20"/>
                <w:szCs w:val="24"/>
              </w:rPr>
              <w:t>(kJ/mol)</w:t>
            </w:r>
          </w:p>
        </w:tc>
        <w:tc>
          <w:tcPr>
            <w:tcW w:w="1170" w:type="dxa"/>
            <w:tcBorders>
              <w:top w:val="single" w:sz="4" w:space="0" w:color="auto"/>
              <w:bottom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rPr>
            </w:pPr>
            <w:r>
              <w:rPr>
                <w:rFonts w:asciiTheme="majorBidi" w:eastAsia="Times New Roman" w:hAnsiTheme="majorBidi" w:cstheme="majorBidi"/>
                <w:kern w:val="0"/>
                <w:sz w:val="20"/>
                <w:szCs w:val="24"/>
              </w:rPr>
              <w:t>Δ</w:t>
            </w:r>
            <w:r>
              <w:rPr>
                <w:rFonts w:asciiTheme="majorBidi" w:eastAsia="Times New Roman" w:hAnsiTheme="majorBidi" w:cstheme="majorBidi"/>
                <w:i/>
                <w:iCs/>
                <w:kern w:val="0"/>
                <w:sz w:val="20"/>
                <w:szCs w:val="24"/>
              </w:rPr>
              <w:t>H</w:t>
            </w:r>
            <w:r>
              <w:rPr>
                <w:rFonts w:asciiTheme="majorBidi" w:eastAsia="Times New Roman" w:hAnsiTheme="majorBidi" w:cstheme="majorBidi"/>
                <w:kern w:val="0"/>
                <w:sz w:val="20"/>
                <w:szCs w:val="24"/>
              </w:rPr>
              <w:t xml:space="preserve">° </w:t>
            </w:r>
          </w:p>
          <w:p w:rsidR="00300D94" w:rsidRDefault="003F69A8">
            <w:pPr>
              <w:spacing w:after="120" w:line="240" w:lineRule="auto"/>
              <w:jc w:val="center"/>
              <w:rPr>
                <w:rFonts w:asciiTheme="majorBidi" w:eastAsia="Times New Roman" w:hAnsiTheme="majorBidi" w:cstheme="majorBidi"/>
                <w:kern w:val="0"/>
                <w:sz w:val="20"/>
                <w:szCs w:val="24"/>
              </w:rPr>
            </w:pPr>
            <w:r>
              <w:rPr>
                <w:rFonts w:asciiTheme="majorBidi" w:eastAsia="Times New Roman" w:hAnsiTheme="majorBidi" w:cstheme="majorBidi"/>
                <w:kern w:val="0"/>
                <w:sz w:val="20"/>
                <w:szCs w:val="24"/>
              </w:rPr>
              <w:t>(kJ/mol)</w:t>
            </w:r>
          </w:p>
        </w:tc>
        <w:tc>
          <w:tcPr>
            <w:tcW w:w="1535" w:type="dxa"/>
            <w:tcBorders>
              <w:top w:val="single" w:sz="4" w:space="0" w:color="auto"/>
              <w:bottom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rPr>
            </w:pPr>
            <w:r>
              <w:rPr>
                <w:rFonts w:asciiTheme="majorBidi" w:eastAsia="Times New Roman" w:hAnsiTheme="majorBidi" w:cstheme="majorBidi"/>
                <w:kern w:val="0"/>
                <w:sz w:val="20"/>
                <w:szCs w:val="24"/>
              </w:rPr>
              <w:t>Δ</w:t>
            </w:r>
            <w:r>
              <w:rPr>
                <w:rFonts w:asciiTheme="majorBidi" w:eastAsia="Times New Roman" w:hAnsiTheme="majorBidi" w:cstheme="majorBidi"/>
                <w:i/>
                <w:iCs/>
                <w:kern w:val="0"/>
                <w:sz w:val="20"/>
                <w:szCs w:val="24"/>
              </w:rPr>
              <w:t>S</w:t>
            </w:r>
            <w:r>
              <w:rPr>
                <w:rFonts w:asciiTheme="majorBidi" w:eastAsia="Times New Roman" w:hAnsiTheme="majorBidi" w:cstheme="majorBidi"/>
                <w:kern w:val="0"/>
                <w:sz w:val="20"/>
                <w:szCs w:val="24"/>
              </w:rPr>
              <w:t xml:space="preserve">° </w:t>
            </w:r>
          </w:p>
          <w:p w:rsidR="00300D94" w:rsidRDefault="003F69A8">
            <w:pPr>
              <w:spacing w:after="120" w:line="240" w:lineRule="auto"/>
              <w:jc w:val="center"/>
              <w:rPr>
                <w:rFonts w:asciiTheme="majorBidi" w:eastAsia="Times New Roman" w:hAnsiTheme="majorBidi" w:cstheme="majorBidi"/>
                <w:kern w:val="0"/>
                <w:sz w:val="20"/>
                <w:szCs w:val="24"/>
              </w:rPr>
            </w:pPr>
            <w:r>
              <w:rPr>
                <w:rFonts w:asciiTheme="majorBidi" w:eastAsia="Times New Roman" w:hAnsiTheme="majorBidi" w:cstheme="majorBidi"/>
                <w:kern w:val="0"/>
                <w:sz w:val="20"/>
                <w:szCs w:val="24"/>
              </w:rPr>
              <w:t>(J/mol.K)</w:t>
            </w:r>
          </w:p>
        </w:tc>
      </w:tr>
      <w:tr w:rsidR="00300D94">
        <w:trPr>
          <w:jc w:val="center"/>
        </w:trPr>
        <w:tc>
          <w:tcPr>
            <w:tcW w:w="985" w:type="dxa"/>
            <w:tcBorders>
              <w:top w:val="single" w:sz="4" w:space="0" w:color="auto"/>
            </w:tcBorders>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298</w:t>
            </w:r>
          </w:p>
        </w:tc>
        <w:tc>
          <w:tcPr>
            <w:tcW w:w="1260" w:type="dxa"/>
            <w:tcBorders>
              <w:top w:val="single" w:sz="4" w:space="0" w:color="auto"/>
            </w:tcBorders>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2.71</w:t>
            </w:r>
          </w:p>
        </w:tc>
        <w:tc>
          <w:tcPr>
            <w:tcW w:w="1350" w:type="dxa"/>
            <w:tcBorders>
              <w:top w:val="single" w:sz="4" w:space="0" w:color="auto"/>
            </w:tcBorders>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-2.48</w:t>
            </w:r>
          </w:p>
        </w:tc>
        <w:tc>
          <w:tcPr>
            <w:tcW w:w="1170" w:type="dxa"/>
            <w:tcBorders>
              <w:top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eastAsia="Times New Roman" w:hAnsiTheme="majorBidi" w:cstheme="majorBidi"/>
                <w:kern w:val="0"/>
                <w:sz w:val="20"/>
                <w:szCs w:val="24"/>
                <w:lang w:bidi="fa-IR"/>
              </w:rPr>
              <w:t>1.55</w:t>
            </w:r>
          </w:p>
        </w:tc>
        <w:tc>
          <w:tcPr>
            <w:tcW w:w="1535" w:type="dxa"/>
            <w:tcBorders>
              <w:top w:val="single" w:sz="4" w:space="0" w:color="auto"/>
            </w:tcBorders>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eastAsia="Times New Roman" w:hAnsiTheme="majorBidi" w:cstheme="majorBidi"/>
                <w:kern w:val="0"/>
                <w:sz w:val="20"/>
                <w:szCs w:val="24"/>
                <w:lang w:bidi="fa-IR"/>
              </w:rPr>
              <w:t>13.52</w:t>
            </w:r>
          </w:p>
        </w:tc>
      </w:tr>
      <w:tr w:rsidR="00300D94">
        <w:trPr>
          <w:jc w:val="center"/>
        </w:trPr>
        <w:tc>
          <w:tcPr>
            <w:tcW w:w="985"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308</w:t>
            </w:r>
          </w:p>
        </w:tc>
        <w:tc>
          <w:tcPr>
            <w:tcW w:w="1260"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2.78</w:t>
            </w:r>
          </w:p>
        </w:tc>
        <w:tc>
          <w:tcPr>
            <w:tcW w:w="1350"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-2.61</w:t>
            </w:r>
          </w:p>
        </w:tc>
        <w:tc>
          <w:tcPr>
            <w:tcW w:w="1170" w:type="dxa"/>
          </w:tcPr>
          <w:p w:rsidR="00300D94" w:rsidRDefault="00300D94">
            <w:pPr>
              <w:spacing w:after="120" w:line="240" w:lineRule="auto"/>
              <w:jc w:val="center"/>
              <w:rPr>
                <w:rFonts w:asciiTheme="majorBidi" w:eastAsia="Times New Roman" w:hAnsiTheme="majorBidi" w:cstheme="majorBidi"/>
                <w:kern w:val="0"/>
                <w:sz w:val="20"/>
                <w:szCs w:val="24"/>
                <w:lang w:bidi="fa-IR"/>
              </w:rPr>
            </w:pPr>
          </w:p>
        </w:tc>
        <w:tc>
          <w:tcPr>
            <w:tcW w:w="1535" w:type="dxa"/>
          </w:tcPr>
          <w:p w:rsidR="00300D94" w:rsidRDefault="00300D94">
            <w:pPr>
              <w:spacing w:after="120" w:line="240" w:lineRule="auto"/>
              <w:jc w:val="center"/>
              <w:rPr>
                <w:rFonts w:asciiTheme="majorBidi" w:eastAsia="Times New Roman" w:hAnsiTheme="majorBidi" w:cstheme="majorBidi"/>
                <w:kern w:val="0"/>
                <w:sz w:val="20"/>
                <w:szCs w:val="24"/>
                <w:lang w:bidi="fa-IR"/>
              </w:rPr>
            </w:pPr>
          </w:p>
        </w:tc>
      </w:tr>
      <w:tr w:rsidR="00300D94">
        <w:trPr>
          <w:jc w:val="center"/>
        </w:trPr>
        <w:tc>
          <w:tcPr>
            <w:tcW w:w="985"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318</w:t>
            </w:r>
          </w:p>
        </w:tc>
        <w:tc>
          <w:tcPr>
            <w:tcW w:w="1260"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2.82</w:t>
            </w:r>
          </w:p>
        </w:tc>
        <w:tc>
          <w:tcPr>
            <w:tcW w:w="1350" w:type="dxa"/>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-2.75</w:t>
            </w:r>
          </w:p>
        </w:tc>
        <w:tc>
          <w:tcPr>
            <w:tcW w:w="1170" w:type="dxa"/>
          </w:tcPr>
          <w:p w:rsidR="00300D94" w:rsidRDefault="00300D94">
            <w:pPr>
              <w:spacing w:after="120" w:line="240" w:lineRule="auto"/>
              <w:jc w:val="center"/>
              <w:rPr>
                <w:rFonts w:asciiTheme="majorBidi" w:eastAsia="Times New Roman" w:hAnsiTheme="majorBidi" w:cstheme="majorBidi"/>
                <w:kern w:val="0"/>
                <w:sz w:val="20"/>
                <w:szCs w:val="24"/>
                <w:lang w:bidi="fa-IR"/>
              </w:rPr>
            </w:pPr>
          </w:p>
        </w:tc>
        <w:tc>
          <w:tcPr>
            <w:tcW w:w="1535" w:type="dxa"/>
          </w:tcPr>
          <w:p w:rsidR="00300D94" w:rsidRDefault="00300D94">
            <w:pPr>
              <w:spacing w:after="120" w:line="240" w:lineRule="auto"/>
              <w:jc w:val="center"/>
              <w:rPr>
                <w:rFonts w:asciiTheme="majorBidi" w:eastAsia="Times New Roman" w:hAnsiTheme="majorBidi" w:cstheme="majorBidi"/>
                <w:kern w:val="0"/>
                <w:sz w:val="20"/>
                <w:szCs w:val="24"/>
                <w:lang w:bidi="fa-IR"/>
              </w:rPr>
            </w:pPr>
          </w:p>
        </w:tc>
      </w:tr>
      <w:tr w:rsidR="00300D94">
        <w:trPr>
          <w:jc w:val="center"/>
        </w:trPr>
        <w:tc>
          <w:tcPr>
            <w:tcW w:w="985" w:type="dxa"/>
            <w:tcBorders>
              <w:bottom w:val="single" w:sz="4" w:space="0" w:color="auto"/>
            </w:tcBorders>
            <w:vAlign w:val="bottom"/>
          </w:tcPr>
          <w:p w:rsidR="00300D94" w:rsidRDefault="003F69A8">
            <w:pPr>
              <w:spacing w:after="120" w:line="240" w:lineRule="auto"/>
              <w:jc w:val="center"/>
              <w:rPr>
                <w:rFonts w:asciiTheme="majorBidi" w:hAnsiTheme="majorBidi" w:cstheme="majorBidi"/>
                <w:color w:val="000000"/>
                <w:kern w:val="0"/>
                <w:sz w:val="22"/>
                <w:szCs w:val="22"/>
              </w:rPr>
            </w:pPr>
            <w:r>
              <w:rPr>
                <w:rFonts w:asciiTheme="majorBidi" w:hAnsiTheme="majorBidi" w:cstheme="majorBidi"/>
                <w:color w:val="000000"/>
                <w:kern w:val="0"/>
                <w:sz w:val="22"/>
                <w:szCs w:val="22"/>
              </w:rPr>
              <w:t>323</w:t>
            </w:r>
          </w:p>
        </w:tc>
        <w:tc>
          <w:tcPr>
            <w:tcW w:w="1260" w:type="dxa"/>
            <w:tcBorders>
              <w:bottom w:val="single" w:sz="4" w:space="0" w:color="auto"/>
            </w:tcBorders>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2.85</w:t>
            </w:r>
          </w:p>
        </w:tc>
        <w:tc>
          <w:tcPr>
            <w:tcW w:w="1350" w:type="dxa"/>
            <w:tcBorders>
              <w:bottom w:val="single" w:sz="4" w:space="0" w:color="auto"/>
            </w:tcBorders>
            <w:vAlign w:val="bottom"/>
          </w:tcPr>
          <w:p w:rsidR="00300D94" w:rsidRDefault="003F69A8">
            <w:pPr>
              <w:spacing w:after="120" w:line="240" w:lineRule="auto"/>
              <w:jc w:val="center"/>
              <w:rPr>
                <w:rFonts w:asciiTheme="majorBidi" w:eastAsia="Times New Roman" w:hAnsiTheme="majorBidi" w:cstheme="majorBidi"/>
                <w:kern w:val="0"/>
                <w:sz w:val="20"/>
                <w:szCs w:val="24"/>
                <w:lang w:bidi="fa-IR"/>
              </w:rPr>
            </w:pPr>
            <w:r>
              <w:rPr>
                <w:rFonts w:asciiTheme="majorBidi" w:hAnsiTheme="majorBidi" w:cstheme="majorBidi"/>
                <w:color w:val="000000"/>
                <w:kern w:val="0"/>
                <w:sz w:val="22"/>
                <w:szCs w:val="22"/>
              </w:rPr>
              <w:t>-2.81</w:t>
            </w:r>
          </w:p>
        </w:tc>
        <w:tc>
          <w:tcPr>
            <w:tcW w:w="1170" w:type="dxa"/>
            <w:tcBorders>
              <w:bottom w:val="single" w:sz="4" w:space="0" w:color="auto"/>
            </w:tcBorders>
          </w:tcPr>
          <w:p w:rsidR="00300D94" w:rsidRDefault="00300D94">
            <w:pPr>
              <w:spacing w:after="120" w:line="240" w:lineRule="auto"/>
              <w:jc w:val="center"/>
              <w:rPr>
                <w:rFonts w:asciiTheme="majorBidi" w:eastAsia="Times New Roman" w:hAnsiTheme="majorBidi" w:cstheme="majorBidi"/>
                <w:kern w:val="0"/>
                <w:sz w:val="20"/>
                <w:szCs w:val="24"/>
                <w:lang w:bidi="fa-IR"/>
              </w:rPr>
            </w:pPr>
          </w:p>
        </w:tc>
        <w:tc>
          <w:tcPr>
            <w:tcW w:w="1535" w:type="dxa"/>
            <w:tcBorders>
              <w:bottom w:val="single" w:sz="4" w:space="0" w:color="auto"/>
            </w:tcBorders>
          </w:tcPr>
          <w:p w:rsidR="00300D94" w:rsidRDefault="00300D94">
            <w:pPr>
              <w:spacing w:after="120" w:line="240" w:lineRule="auto"/>
              <w:jc w:val="center"/>
              <w:rPr>
                <w:rFonts w:asciiTheme="majorBidi" w:eastAsia="Times New Roman" w:hAnsiTheme="majorBidi" w:cstheme="majorBidi"/>
                <w:kern w:val="0"/>
                <w:sz w:val="20"/>
                <w:szCs w:val="24"/>
                <w:lang w:bidi="fa-IR"/>
              </w:rPr>
            </w:pPr>
          </w:p>
        </w:tc>
      </w:tr>
    </w:tbl>
    <w:p w:rsidR="00300D94" w:rsidRDefault="00300D94">
      <w:pPr>
        <w:spacing w:after="120"/>
        <w:jc w:val="both"/>
        <w:rPr>
          <w:rFonts w:eastAsia="Times New Roman" w:cs="Times New Roman"/>
          <w:kern w:val="0"/>
          <w:szCs w:val="24"/>
          <w:rtl/>
          <w:lang w:bidi="fa-IR"/>
        </w:rPr>
      </w:pPr>
    </w:p>
    <w:p w:rsidR="00300D94" w:rsidRDefault="003F69A8">
      <w:pPr>
        <w:jc w:val="both"/>
        <w:rPr>
          <w:rFonts w:eastAsia="Times New Roman" w:cs="Times New Roman"/>
          <w:color w:val="000000" w:themeColor="text1"/>
          <w:kern w:val="0"/>
          <w:szCs w:val="24"/>
        </w:rPr>
      </w:pPr>
      <w:r>
        <w:rPr>
          <w:rFonts w:eastAsia="Times New Roman" w:cs="Times New Roman"/>
          <w:kern w:val="0"/>
          <w:szCs w:val="24"/>
        </w:rPr>
        <w:t>The adsorption enthalpy value (Δ</w:t>
      </w:r>
      <w:r>
        <w:rPr>
          <w:rFonts w:eastAsia="Times New Roman" w:cs="Times New Roman"/>
          <w:i/>
          <w:iCs/>
          <w:kern w:val="0"/>
          <w:szCs w:val="24"/>
        </w:rPr>
        <w:t>H</w:t>
      </w:r>
      <w:r>
        <w:rPr>
          <w:rFonts w:eastAsia="Times New Roman" w:cs="Times New Roman"/>
          <w:kern w:val="0"/>
          <w:szCs w:val="24"/>
        </w:rPr>
        <w:t xml:space="preserve">° = 1.55 kJ/mol) is positive, and this indicates the endothermicity of the surface adsorption process </w:t>
      </w:r>
      <w:r>
        <w:rPr>
          <w:rFonts w:eastAsia="Times New Roman" w:cs="Times New Roman"/>
          <w:kern w:val="0"/>
          <w:szCs w:val="24"/>
        </w:rPr>
        <w:fldChar w:fldCharType="begin" w:fldLock="1"/>
      </w:r>
      <w:r>
        <w:rPr>
          <w:rFonts w:eastAsia="Times New Roman" w:cs="Times New Roman"/>
          <w:kern w:val="0"/>
          <w:szCs w:val="24"/>
        </w:rPr>
        <w:instrText>ADDIN CSL_CITATION {"citationItems":[{"id":"ITEM-1","itemData":{"DOI":"10.1080/09500839.2022.2084571","ISSN":"13623036","abstract":"Adsorption is a physicochemical phenomenon important in both natural and engineering processes. In the research and practice</w:instrText>
      </w:r>
      <w:r>
        <w:rPr>
          <w:rFonts w:eastAsia="Times New Roman" w:cs="Times New Roman"/>
          <w:kern w:val="0"/>
          <w:szCs w:val="24"/>
        </w:rPr>
        <w:instrText xml:space="preserve"> of adsorption equilibrium, a long-standing challenge is how to reconcile the classical models proposed by Gibbs, Langmuir, Freundlich, and Temkin for interpreting experimentally obtained adsorption isotherms. Here, we show that the Langmuir, Freundlich, a</w:instrText>
      </w:r>
      <w:r>
        <w:rPr>
          <w:rFonts w:eastAsia="Times New Roman" w:cs="Times New Roman"/>
          <w:kern w:val="0"/>
          <w:szCs w:val="24"/>
        </w:rPr>
        <w:instrText>nd Temkin isotherms can be derived from the Gibbs equation under different conditions for the change of surface energy (a.k.a. surface tension) by adsorption. When the change of surface energy is predominantly controlled by the change of chemical potential</w:instrText>
      </w:r>
      <w:r>
        <w:rPr>
          <w:rFonts w:eastAsia="Times New Roman" w:cs="Times New Roman"/>
          <w:kern w:val="0"/>
          <w:szCs w:val="24"/>
        </w:rPr>
        <w:instrText xml:space="preserve"> with negligible contribution from the change of internal energy and entropy, the Gibbs equation can be integrated to give the Langmuir isotherm. When changes of internal energy and entropy are no longer negligible, the integration of the Gibbs equation gi</w:instrText>
      </w:r>
      <w:r>
        <w:rPr>
          <w:rFonts w:eastAsia="Times New Roman" w:cs="Times New Roman"/>
          <w:kern w:val="0"/>
          <w:szCs w:val="24"/>
        </w:rPr>
        <w:instrText>ves the Freundlich and Temkin equations, according to a change of surface energy either independent or linearly dependent on the adsorption capacity. These results indicate that the classical models share the common mechanism of phase equilibrium described</w:instrText>
      </w:r>
      <w:r>
        <w:rPr>
          <w:rFonts w:eastAsia="Times New Roman" w:cs="Times New Roman"/>
          <w:kern w:val="0"/>
          <w:szCs w:val="24"/>
        </w:rPr>
        <w:instrText xml:space="preserve"> by the Gibbsian thermodynamics, thereby providing novel insights for their application.","author":[{"dropping-particle":"","family":"Lu","given":"Lei","non-dropping-particle":"","parse-names":false,"suffix":""},{"dropping-particle":"","family":"Na","given</w:instrText>
      </w:r>
      <w:r>
        <w:rPr>
          <w:rFonts w:eastAsia="Times New Roman" w:cs="Times New Roman"/>
          <w:kern w:val="0"/>
          <w:szCs w:val="24"/>
        </w:rPr>
        <w:instrText xml:space="preserve">":"Chongzheng","non-dropping-particle":"","parse-names":false,"suffix":""}],"container-title":"Philosophical Magazine Letters","id":"ITEM-1","issue":"7","issued":{"date-parts":[["2022"]]},"title":"Gibbsian interpretation of Langmuir, Freundlich and Temkin </w:instrText>
      </w:r>
      <w:r>
        <w:rPr>
          <w:rFonts w:eastAsia="Times New Roman" w:cs="Times New Roman"/>
          <w:kern w:val="0"/>
          <w:szCs w:val="24"/>
        </w:rPr>
        <w:instrText>isotherms for adsorption in solution","type":"article-journal","volume":"102"},"uris":["http://www.mendeley.com/documents/?uuid=a70e9227-2e15-3025-a6f4-0cd532fe2bc3"]}],"mendeley":{"formattedCitation":"[36]","plainTextFormattedCitation":"[36]","previouslyF</w:instrText>
      </w:r>
      <w:r>
        <w:rPr>
          <w:rFonts w:eastAsia="Times New Roman" w:cs="Times New Roman"/>
          <w:kern w:val="0"/>
          <w:szCs w:val="24"/>
        </w:rPr>
        <w:instrText>ormattedCitation":"[120]"},"properties":{"noteIndex":0},"schema":"https://github.com/citation-style-language/schema/raw/master/csl-citation.json"}</w:instrText>
      </w:r>
      <w:r>
        <w:rPr>
          <w:rFonts w:eastAsia="Times New Roman" w:cs="Times New Roman"/>
          <w:kern w:val="0"/>
          <w:szCs w:val="24"/>
        </w:rPr>
        <w:fldChar w:fldCharType="separate"/>
      </w:r>
      <w:r>
        <w:rPr>
          <w:rFonts w:eastAsia="Times New Roman" w:cs="Times New Roman"/>
          <w:kern w:val="0"/>
          <w:szCs w:val="24"/>
        </w:rPr>
        <w:t>[36]</w:t>
      </w:r>
      <w:r>
        <w:rPr>
          <w:rFonts w:eastAsia="Times New Roman" w:cs="Times New Roman"/>
          <w:kern w:val="0"/>
          <w:szCs w:val="24"/>
        </w:rPr>
        <w:fldChar w:fldCharType="end"/>
      </w:r>
      <w:r>
        <w:rPr>
          <w:rFonts w:eastAsia="Times New Roman" w:cs="Times New Roman"/>
          <w:kern w:val="0"/>
          <w:szCs w:val="24"/>
        </w:rPr>
        <w:t>. </w:t>
      </w:r>
      <w:r>
        <w:t>The spontaneous adsorption process is evidenced by the negative Δ</w:t>
      </w:r>
      <w:r>
        <w:rPr>
          <w:i/>
          <w:iCs/>
        </w:rPr>
        <w:t>G</w:t>
      </w:r>
      <w:r>
        <w:t>° values recorded within the temper</w:t>
      </w:r>
      <w:r>
        <w:t>ature range of 298 K to 323 K.  Increasing temperature leads to more negative Δ</w:t>
      </w:r>
      <w:r>
        <w:rPr>
          <w:i/>
          <w:iCs/>
        </w:rPr>
        <w:t>G</w:t>
      </w:r>
      <w:r>
        <w:t>° values, indicating that higher temperatures facilitate more favorable adsorption by providing enough energy for molecules to overcome activation barriers and adhere to the ad</w:t>
      </w:r>
      <w:r>
        <w:t>sorbent surface, aligning with the process’s endothermic nature</w:t>
      </w:r>
      <w:r>
        <w:rPr>
          <w:rFonts w:hint="cs"/>
          <w:rtl/>
        </w:rPr>
        <w:t xml:space="preserve"> </w:t>
      </w:r>
      <w:r>
        <w:rPr>
          <w:rFonts w:eastAsia="Times New Roman" w:cs="Times New Roman"/>
          <w:kern w:val="0"/>
          <w:szCs w:val="24"/>
        </w:rPr>
        <w:fldChar w:fldCharType="begin" w:fldLock="1"/>
      </w:r>
      <w:r>
        <w:rPr>
          <w:rFonts w:eastAsia="Times New Roman" w:cs="Times New Roman"/>
          <w:kern w:val="0"/>
          <w:szCs w:val="24"/>
        </w:rPr>
        <w:instrText>ADDIN CSL_CITATION {"citationItems":[{"id":"ITEM-1","itemData":{"ISSN":"10219986","abstract":"This paper focus on intra crystalline diffusion of Ni2+ ions onto NaX and NaY zeolites. The zeolit</w:instrText>
      </w:r>
      <w:r>
        <w:rPr>
          <w:rFonts w:eastAsia="Times New Roman" w:cs="Times New Roman"/>
          <w:kern w:val="0"/>
          <w:szCs w:val="24"/>
        </w:rPr>
        <w:instrText>es are obtained by hydrothermal synthesis method. The samples were characterized by several techniques: X-Ray Diffraction (XRD), Scanning Electron Microscopy (SEM) coupled with Energy Dispersive Spectroscopy (EDS) and Infrared Spectroscopy (FT-IR). Physica</w:instrText>
      </w:r>
      <w:r>
        <w:rPr>
          <w:rFonts w:eastAsia="Times New Roman" w:cs="Times New Roman"/>
          <w:kern w:val="0"/>
          <w:szCs w:val="24"/>
        </w:rPr>
        <w:instrText>l parameters such as pH solution (2-7), adsorbent dose (0.25-2 g/L), initial concentration of Ni (II) ions (50-200 mg/L) and temperature (298-323 K) are optimized. The maximum uptake is 99% and 97% for NaX and NaY zeolite respectively under the optimum con</w:instrText>
      </w:r>
      <w:r>
        <w:rPr>
          <w:rFonts w:eastAsia="Times New Roman" w:cs="Times New Roman"/>
          <w:kern w:val="0"/>
          <w:szCs w:val="24"/>
        </w:rPr>
        <w:instrText xml:space="preserve">ditions: pH </w:instrText>
      </w:r>
      <w:r>
        <w:rPr>
          <w:rFonts w:ascii="Cambria Math" w:eastAsia="Times New Roman" w:hAnsi="Cambria Math" w:cs="Cambria Math"/>
          <w:kern w:val="0"/>
          <w:szCs w:val="24"/>
        </w:rPr>
        <w:instrText>∼</w:instrText>
      </w:r>
      <w:r>
        <w:rPr>
          <w:rFonts w:eastAsia="Times New Roman" w:cs="Times New Roman"/>
          <w:kern w:val="0"/>
          <w:szCs w:val="24"/>
        </w:rPr>
        <w:instrText xml:space="preserve"> 7 and adsorbent dose of 1 g/L for initial concentration of 50 mg/L at 298 K. The best interpretation of the experimental data is obtained by the Langmuir isotherm with a maximum adsorption capacity of 111.85 and 77.57 mg/g for NaX and NaY res</w:instrText>
      </w:r>
      <w:r>
        <w:rPr>
          <w:rFonts w:eastAsia="Times New Roman" w:cs="Times New Roman"/>
          <w:kern w:val="0"/>
          <w:szCs w:val="24"/>
        </w:rPr>
        <w:instrText>pectively. The results show that the kinetic data for both zeolites follow the pseudo second order model, indicating the presence of physical adsorption. The free energy (ΔGo), enthalpy (ΔHo) and entropy (ΔS°) are evaluated. The process has proved its spon</w:instrText>
      </w:r>
      <w:r>
        <w:rPr>
          <w:rFonts w:eastAsia="Times New Roman" w:cs="Times New Roman"/>
          <w:kern w:val="0"/>
          <w:szCs w:val="24"/>
        </w:rPr>
        <w:instrText>taneous and endothermic. Diffusion mechanisms of Ni (II) ions adsorption onto NaX and NaY has shown that intra particle diffusion is the limiting step of the process. The NaX and NaY have been applied to wastewater from the Algerian industrial zone in orde</w:instrText>
      </w:r>
      <w:r>
        <w:rPr>
          <w:rFonts w:eastAsia="Times New Roman" w:cs="Times New Roman"/>
          <w:kern w:val="0"/>
          <w:szCs w:val="24"/>
        </w:rPr>
        <w:instrText>r to eliminate the Ni2+ effluents using the optimal parameters. It has been found that the Ni2+ ions removal yield was 77.81% for NaX and 83.86% for NaY.","author":[{"dropping-particle":"","family":"Ferhat","given":"Djawad","non-dropping-particle":"","pars</w:instrText>
      </w:r>
      <w:r>
        <w:rPr>
          <w:rFonts w:eastAsia="Times New Roman" w:cs="Times New Roman"/>
          <w:kern w:val="0"/>
          <w:szCs w:val="24"/>
        </w:rPr>
        <w:instrText>e-names":false,"suffix":""},{"dropping-particle":"","family":"Nibou","given":"Djamel","non-dropping-particle":"","parse-names":false,"suffix":""},{"dropping-particle":"","family":"Elhadj","given":"Mekatel","non-dropping-particle":"","parse-names":false,"su</w:instrText>
      </w:r>
      <w:r>
        <w:rPr>
          <w:rFonts w:eastAsia="Times New Roman" w:cs="Times New Roman"/>
          <w:kern w:val="0"/>
          <w:szCs w:val="24"/>
        </w:rPr>
        <w:instrText>ffix":""},{"dropping-particle":"","family":"Amokrane","given":"Samira","non-dropping-particle":"","parse-names":false,"suffix":""}],"container-title":"Iranian Journal of Chemistry and Chemical Engineering","id":"ITEM-1","issue":"6","issued":{"date-parts":[</w:instrText>
      </w:r>
      <w:r>
        <w:rPr>
          <w:rFonts w:eastAsia="Times New Roman" w:cs="Times New Roman"/>
          <w:kern w:val="0"/>
          <w:szCs w:val="24"/>
        </w:rPr>
        <w:instrText>["2019"]]},"title":"Adsorption of Ni2+ ions onto NaX and NaY zeolites: Equilibrium, kinetics, intra crystalline diffusion and thermodynamic studies","type":"article-journal","volume":"38"},"uris":["http://www.mendeley.com/documents/?uuid=ee5fa3a2-a4d8-3c42</w:instrText>
      </w:r>
      <w:r>
        <w:rPr>
          <w:rFonts w:eastAsia="Times New Roman" w:cs="Times New Roman"/>
          <w:kern w:val="0"/>
          <w:szCs w:val="24"/>
        </w:rPr>
        <w:instrText>-95a3-4724497fe8fa"]}],"mendeley":{"formattedCitation":"[37]","plainTextFormattedCitation":"[37]","previouslyFormattedCitation":"[121]"},"properties":{"noteIndex":0},"schema":"https://github.com/citation-style-language/schema/raw/master/csl-citation.json"}</w:instrText>
      </w:r>
      <w:r>
        <w:rPr>
          <w:rFonts w:eastAsia="Times New Roman" w:cs="Times New Roman"/>
          <w:kern w:val="0"/>
          <w:szCs w:val="24"/>
        </w:rPr>
        <w:fldChar w:fldCharType="separate"/>
      </w:r>
      <w:r>
        <w:rPr>
          <w:rFonts w:eastAsia="Times New Roman" w:cs="Times New Roman"/>
          <w:kern w:val="0"/>
          <w:szCs w:val="24"/>
        </w:rPr>
        <w:t>[37]</w:t>
      </w:r>
      <w:r>
        <w:rPr>
          <w:rFonts w:eastAsia="Times New Roman" w:cs="Times New Roman"/>
          <w:kern w:val="0"/>
          <w:szCs w:val="24"/>
        </w:rPr>
        <w:fldChar w:fldCharType="end"/>
      </w:r>
      <w:r>
        <w:rPr>
          <w:rFonts w:eastAsia="Times New Roman" w:cs="Times New Roman"/>
          <w:kern w:val="0"/>
          <w:szCs w:val="24"/>
        </w:rPr>
        <w:t>. Moreover, positive Δ</w:t>
      </w:r>
      <w:r>
        <w:rPr>
          <w:rFonts w:eastAsia="Times New Roman" w:cs="Times New Roman"/>
          <w:i/>
          <w:iCs/>
          <w:kern w:val="0"/>
          <w:szCs w:val="24"/>
        </w:rPr>
        <w:t>S</w:t>
      </w:r>
      <w:r>
        <w:rPr>
          <w:rFonts w:eastAsia="Times New Roman" w:cs="Times New Roman"/>
          <w:kern w:val="0"/>
          <w:szCs w:val="24"/>
        </w:rPr>
        <w:t xml:space="preserve">° (13.52 J/mol·K) indicates the distribution of molecules on the adsorbent surface after the surface </w:t>
      </w:r>
      <w:r>
        <w:rPr>
          <w:rFonts w:eastAsia="Times New Roman" w:cs="Times New Roman"/>
          <w:color w:val="000000" w:themeColor="text1"/>
          <w:kern w:val="0"/>
          <w:szCs w:val="24"/>
        </w:rPr>
        <w:t xml:space="preserve">adsorption process </w:t>
      </w:r>
      <w:r>
        <w:rPr>
          <w:rFonts w:eastAsia="Times New Roman" w:cs="Times New Roman"/>
          <w:color w:val="000000" w:themeColor="text1"/>
          <w:kern w:val="0"/>
          <w:szCs w:val="24"/>
        </w:rPr>
        <w:fldChar w:fldCharType="begin" w:fldLock="1"/>
      </w:r>
      <w:r>
        <w:rPr>
          <w:rFonts w:eastAsia="Times New Roman" w:cs="Times New Roman"/>
          <w:color w:val="000000" w:themeColor="text1"/>
          <w:kern w:val="0"/>
          <w:szCs w:val="24"/>
        </w:rPr>
        <w:instrText>ADDIN CSL_CITATION {"citationItems":[{"id":"ITEM-1","itemData":{"DOI":"10.4491/eer.2019.372","ISSN":"20059</w:instrText>
      </w:r>
      <w:r>
        <w:rPr>
          <w:rFonts w:eastAsia="Times New Roman" w:cs="Times New Roman"/>
          <w:color w:val="000000" w:themeColor="text1"/>
          <w:kern w:val="0"/>
          <w:szCs w:val="24"/>
        </w:rPr>
        <w:instrText>68X","abstract":"The natural Fly ash modified with calcium oxide has been employed to eliminate the crystal violet dyestuff from the simulated solution. Herein, the effect of different physicochemical factors like primary dye concentration, sorption contac</w:instrText>
      </w:r>
      <w:r>
        <w:rPr>
          <w:rFonts w:eastAsia="Times New Roman" w:cs="Times New Roman"/>
          <w:color w:val="000000" w:themeColor="text1"/>
          <w:kern w:val="0"/>
          <w:szCs w:val="24"/>
        </w:rPr>
        <w:instrText>t time, the quantity of the adsorbent, temperature, along with initial simulated solution pH, evaluated for illustrating the mechanism of adsorption. Furthermore, the equilibrium study was conducted, and equilibrium models like Langmuir, Freundlich, and Du</w:instrText>
      </w:r>
      <w:r>
        <w:rPr>
          <w:rFonts w:eastAsia="Times New Roman" w:cs="Times New Roman"/>
          <w:color w:val="000000" w:themeColor="text1"/>
          <w:kern w:val="0"/>
          <w:szCs w:val="24"/>
        </w:rPr>
        <w:instrText>binin- Raduskevich (D-R) were fitted to obtain analytical results to endow with more insight into the process. The results acknowledged that the Langmuir model is well apt and suggests that the adsorption mechanism happens in a monolayer on the fly ash sur</w:instrText>
      </w:r>
      <w:r>
        <w:rPr>
          <w:rFonts w:eastAsia="Times New Roman" w:cs="Times New Roman"/>
          <w:color w:val="000000" w:themeColor="text1"/>
          <w:kern w:val="0"/>
          <w:szCs w:val="24"/>
        </w:rPr>
        <w:instrText>face. Pseudo-first order, Pseudo-second order, and the intraparticle diffusion model evaluated, and the interpretation suggests the sorption method is obeying the Pseudo-second order and intraparticle diffusion model. The ascertained negative values of Gib</w:instrText>
      </w:r>
      <w:r>
        <w:rPr>
          <w:rFonts w:eastAsia="Times New Roman" w:cs="Times New Roman"/>
          <w:color w:val="000000" w:themeColor="text1"/>
          <w:kern w:val="0"/>
          <w:szCs w:val="24"/>
        </w:rPr>
        <w:instrText>bs free energy affirmed the unconstrained process for all symbiotic associations, and the obtained data 78.70 kJ mol-1 enthalpy values manifested that exothermic mechanism was governing the reaction. The above assessment confirms the application of Calcium</w:instrText>
      </w:r>
      <w:r>
        <w:rPr>
          <w:rFonts w:eastAsia="Times New Roman" w:cs="Times New Roman"/>
          <w:color w:val="000000" w:themeColor="text1"/>
          <w:kern w:val="0"/>
          <w:szCs w:val="24"/>
        </w:rPr>
        <w:instrText xml:space="preserve"> oxide pre-treated fly ash as a cheap adsorbent to eliminate the crystal violet dyestuff from the simulated solution.","author":[{"dropping-particle":"","family":"Chakraborty","given":"Sagnik","non-dropping-particle":"","parse-names":false,"suffix":""},{"d</w:instrText>
      </w:r>
      <w:r>
        <w:rPr>
          <w:rFonts w:eastAsia="Times New Roman" w:cs="Times New Roman"/>
          <w:color w:val="000000" w:themeColor="text1"/>
          <w:kern w:val="0"/>
          <w:szCs w:val="24"/>
        </w:rPr>
        <w:instrText>ropping-particle":"","family":"Mukherjee","given":"Anupam","non-dropping-particle":"","parse-names":false,"suffix":""},{"dropping-particle":"","family":"Das","given":"Subhabrata","non-dropping-particle":"","parse-names":false,"suffix":""},{"dropping-partic</w:instrText>
      </w:r>
      <w:r>
        <w:rPr>
          <w:rFonts w:eastAsia="Times New Roman" w:cs="Times New Roman"/>
          <w:color w:val="000000" w:themeColor="text1"/>
          <w:kern w:val="0"/>
          <w:szCs w:val="24"/>
        </w:rPr>
        <w:instrText>le":"","family":"Maddela","given":"Naga Raju","non-dropping-particle":"","parse-names":false,"suffix":""},{"dropping-particle":"","family":"Iram","given":"Saima","non-dropping-particle":"","parse-names":false,"suffix":""},{"dropping-particle":"","family":"</w:instrText>
      </w:r>
      <w:r>
        <w:rPr>
          <w:rFonts w:eastAsia="Times New Roman" w:cs="Times New Roman"/>
          <w:color w:val="000000" w:themeColor="text1"/>
          <w:kern w:val="0"/>
          <w:szCs w:val="24"/>
        </w:rPr>
        <w:instrText xml:space="preserve">Das","given":"Papita","non-dropping-particle":"","parse-names":false,"suffix":""}],"container-title":"Environmental Engineering Research","id":"ITEM-1","issue":"1","issued":{"date-parts":[["2021"]]},"title":"Study on isotherm, kinetics, and thermodynamics </w:instrText>
      </w:r>
      <w:r>
        <w:rPr>
          <w:rFonts w:eastAsia="Times New Roman" w:cs="Times New Roman"/>
          <w:color w:val="000000" w:themeColor="text1"/>
          <w:kern w:val="0"/>
          <w:szCs w:val="24"/>
        </w:rPr>
        <w:instrText>of adsorption of crystal violet dye by calcium oxide modified fly ash","type":"article-journal","volume":"26"},"uris":["http://www.mendeley.com/documents/?uuid=7d5c8b2f-686b-313b-aa97-81771ef5f72b"]}],"mendeley":{"formattedCitation":"[38]","plainTextFormat</w:instrText>
      </w:r>
      <w:r>
        <w:rPr>
          <w:rFonts w:eastAsia="Times New Roman" w:cs="Times New Roman"/>
          <w:color w:val="000000" w:themeColor="text1"/>
          <w:kern w:val="0"/>
          <w:szCs w:val="24"/>
        </w:rPr>
        <w:instrText>tedCitation":"[38]","previouslyFormattedCitation":"[122]"},"properties":{"noteIndex":0},"schema":"https://github.com/citation-style-language/schema/raw/master/csl-citation.json"}</w:instrText>
      </w:r>
      <w:r>
        <w:rPr>
          <w:rFonts w:eastAsia="Times New Roman" w:cs="Times New Roman"/>
          <w:color w:val="000000" w:themeColor="text1"/>
          <w:kern w:val="0"/>
          <w:szCs w:val="24"/>
        </w:rPr>
        <w:fldChar w:fldCharType="separate"/>
      </w:r>
      <w:r>
        <w:rPr>
          <w:rFonts w:eastAsia="Times New Roman" w:cs="Times New Roman"/>
          <w:color w:val="000000" w:themeColor="text1"/>
          <w:kern w:val="0"/>
          <w:szCs w:val="24"/>
        </w:rPr>
        <w:t>[38]</w:t>
      </w:r>
      <w:r>
        <w:rPr>
          <w:rFonts w:eastAsia="Times New Roman" w:cs="Times New Roman"/>
          <w:color w:val="000000" w:themeColor="text1"/>
          <w:kern w:val="0"/>
          <w:szCs w:val="24"/>
        </w:rPr>
        <w:fldChar w:fldCharType="end"/>
      </w:r>
    </w:p>
    <w:p w:rsidR="00300D94" w:rsidRDefault="00300D94">
      <w:pPr>
        <w:jc w:val="both"/>
        <w:rPr>
          <w:rFonts w:eastAsia="Times New Roman" w:cs="Times New Roman"/>
          <w:color w:val="000000" w:themeColor="text1"/>
          <w:kern w:val="0"/>
          <w:szCs w:val="24"/>
        </w:rPr>
      </w:pPr>
    </w:p>
    <w:p w:rsidR="00300D94" w:rsidRDefault="00300D94">
      <w:pPr>
        <w:jc w:val="left"/>
        <w:rPr>
          <w:rFonts w:eastAsia="Times New Roman" w:cs="Times New Roman"/>
          <w:color w:val="000000" w:themeColor="text1"/>
          <w:kern w:val="0"/>
          <w:szCs w:val="24"/>
        </w:rPr>
      </w:pPr>
    </w:p>
    <w:p w:rsidR="00300D94" w:rsidRDefault="003F69A8">
      <w:pPr>
        <w:jc w:val="left"/>
        <w:rPr>
          <w:rFonts w:eastAsia="Times New Roman" w:cs="Times New Roman"/>
          <w:b/>
          <w:bCs/>
          <w:color w:val="000000" w:themeColor="text1"/>
          <w:kern w:val="0"/>
          <w:szCs w:val="24"/>
        </w:rPr>
      </w:pPr>
      <w:bookmarkStart w:id="3" w:name="_GoBack"/>
      <w:bookmarkEnd w:id="3"/>
      <w:r>
        <w:rPr>
          <w:rFonts w:eastAsia="Times New Roman" w:cs="Times New Roman"/>
          <w:b/>
          <w:bCs/>
          <w:color w:val="000000" w:themeColor="text1"/>
          <w:kern w:val="0"/>
          <w:szCs w:val="24"/>
        </w:rPr>
        <w:t xml:space="preserve">References </w:t>
      </w:r>
    </w:p>
    <w:p w:rsidR="00300D94" w:rsidRDefault="003F69A8">
      <w:pPr>
        <w:widowControl w:val="0"/>
        <w:autoSpaceDE w:val="0"/>
        <w:autoSpaceDN w:val="0"/>
        <w:adjustRightInd w:val="0"/>
        <w:ind w:left="640" w:hanging="640"/>
        <w:jc w:val="both"/>
        <w:rPr>
          <w:rFonts w:cs="Times New Roman"/>
          <w:kern w:val="0"/>
          <w:szCs w:val="24"/>
        </w:rPr>
      </w:pPr>
      <w:r>
        <w:fldChar w:fldCharType="begin" w:fldLock="1"/>
      </w:r>
      <w:r>
        <w:instrText xml:space="preserve">ADDIN Mendeley Bibliography CSL_BIBLIOGRAPHY </w:instrText>
      </w:r>
      <w:r>
        <w:fldChar w:fldCharType="separate"/>
      </w:r>
      <w:r>
        <w:rPr>
          <w:rFonts w:cs="Times New Roman"/>
          <w:kern w:val="0"/>
          <w:szCs w:val="24"/>
        </w:rPr>
        <w:t xml:space="preserve">1. </w:t>
      </w:r>
      <w:r>
        <w:rPr>
          <w:rFonts w:cs="Times New Roman"/>
          <w:kern w:val="0"/>
          <w:szCs w:val="24"/>
        </w:rPr>
        <w:tab/>
        <w:t xml:space="preserve">Zhou S, Xu W, Hu C, et al (2020) Fast and effective recovery of Au (III) from aqueous solution by a N-containing polymer. Chemosphere 260:127615. </w:t>
      </w:r>
      <w:r>
        <w:rPr>
          <w:rFonts w:cs="Times New Roman"/>
          <w:color w:val="0070C0"/>
          <w:kern w:val="0"/>
          <w:szCs w:val="24"/>
        </w:rPr>
        <w:t>https://doi.org/10.1016/j.chemosphere.2020.127615</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 </w:t>
      </w:r>
      <w:r>
        <w:rPr>
          <w:rFonts w:cs="Times New Roman"/>
          <w:kern w:val="0"/>
          <w:szCs w:val="24"/>
        </w:rPr>
        <w:tab/>
        <w:t xml:space="preserve">Xu W, </w:t>
      </w:r>
      <w:r>
        <w:rPr>
          <w:rFonts w:cs="Times New Roman"/>
          <w:kern w:val="0"/>
          <w:szCs w:val="24"/>
        </w:rPr>
        <w:t xml:space="preserve">Mo X, Zhou S, et al (2019) Highly efficient and selective recovery of Au (III) by a new metal-organic polymer. J Hazard Mater 380:120844. </w:t>
      </w:r>
      <w:r>
        <w:rPr>
          <w:rFonts w:cs="Times New Roman"/>
          <w:color w:val="0070C0"/>
          <w:kern w:val="0"/>
          <w:szCs w:val="24"/>
        </w:rPr>
        <w:t>https://doi.org/10.1016/j.jhazmat.2019.120844</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 </w:t>
      </w:r>
      <w:r>
        <w:rPr>
          <w:rFonts w:cs="Times New Roman"/>
          <w:kern w:val="0"/>
          <w:szCs w:val="24"/>
        </w:rPr>
        <w:tab/>
        <w:t>Hu C, Xu W, Li H, et al (2019) Highly efficient adsorption of Au (I</w:t>
      </w:r>
      <w:r>
        <w:rPr>
          <w:rFonts w:cs="Times New Roman"/>
          <w:kern w:val="0"/>
          <w:szCs w:val="24"/>
        </w:rPr>
        <w:t xml:space="preserve">II) from water by a novel metal–organic framework constructed with sulfur-containing ligands and Zn (II). Ind Eng Chem Res 58:17972–17979. </w:t>
      </w:r>
      <w:r>
        <w:rPr>
          <w:rFonts w:cs="Times New Roman"/>
          <w:color w:val="0070C0"/>
          <w:kern w:val="0"/>
          <w:szCs w:val="24"/>
        </w:rPr>
        <w:t>https://doi.org/10.1021/acs.iecr.9b03433</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4. </w:t>
      </w:r>
      <w:r>
        <w:rPr>
          <w:rFonts w:cs="Times New Roman"/>
          <w:kern w:val="0"/>
          <w:szCs w:val="24"/>
        </w:rPr>
        <w:tab/>
        <w:t>Wang B, Ma Y, Xu W, Tang K (2023) A novel S, N-rich MOF for efficient r</w:t>
      </w:r>
      <w:r>
        <w:rPr>
          <w:rFonts w:cs="Times New Roman"/>
          <w:kern w:val="0"/>
          <w:szCs w:val="24"/>
        </w:rPr>
        <w:t xml:space="preserve">ecovery of Au (III): Performance and mechanism. J Hazard Mater 451:131051. </w:t>
      </w:r>
      <w:r>
        <w:rPr>
          <w:rFonts w:cs="Times New Roman"/>
          <w:color w:val="0070C0"/>
          <w:kern w:val="0"/>
          <w:szCs w:val="24"/>
        </w:rPr>
        <w:t>https://doi.org/10.1016/j.jhazmat.2023.131051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lastRenderedPageBreak/>
        <w:t xml:space="preserve">5. </w:t>
      </w:r>
      <w:r>
        <w:rPr>
          <w:rFonts w:cs="Times New Roman"/>
          <w:kern w:val="0"/>
          <w:szCs w:val="24"/>
        </w:rPr>
        <w:tab/>
        <w:t>Zhao M, Zhang Y, Yang R, et al (2023) Construction of magnetic S‐doped CoWO</w:t>
      </w:r>
      <w:r>
        <w:rPr>
          <w:rFonts w:cs="Times New Roman"/>
          <w:kern w:val="0"/>
          <w:szCs w:val="24"/>
          <w:vertAlign w:val="subscript"/>
        </w:rPr>
        <w:t>4</w:t>
      </w:r>
      <w:r>
        <w:rPr>
          <w:rFonts w:cs="Times New Roman"/>
          <w:kern w:val="0"/>
          <w:szCs w:val="24"/>
        </w:rPr>
        <w:t xml:space="preserve"> composite for efficient and selective recovery of gol</w:t>
      </w:r>
      <w:r>
        <w:rPr>
          <w:rFonts w:cs="Times New Roman"/>
          <w:kern w:val="0"/>
          <w:szCs w:val="24"/>
        </w:rPr>
        <w:t xml:space="preserve">d from wastewater via adsorption–reduction pathway. Small Struct 4:2300039. </w:t>
      </w:r>
      <w:r>
        <w:rPr>
          <w:rFonts w:cs="Times New Roman"/>
          <w:color w:val="0070C0"/>
          <w:kern w:val="0"/>
          <w:szCs w:val="24"/>
        </w:rPr>
        <w:t>https://doi.org/10.1002/sstr.202300039</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6. </w:t>
      </w:r>
      <w:r>
        <w:rPr>
          <w:rFonts w:cs="Times New Roman"/>
          <w:kern w:val="0"/>
          <w:szCs w:val="24"/>
        </w:rPr>
        <w:tab/>
        <w:t>Xiang Y, Cheng C-Y, Liu M-H, et al (2024) Efficient recovery of gold using Macroporous Metal-Organic framework prepared by the’MOF in MO</w:t>
      </w:r>
      <w:r>
        <w:rPr>
          <w:rFonts w:cs="Times New Roman"/>
          <w:kern w:val="0"/>
          <w:szCs w:val="24"/>
        </w:rPr>
        <w:t xml:space="preserve">F’method. Sep Purif Technol 335:126131. </w:t>
      </w:r>
      <w:r>
        <w:rPr>
          <w:rFonts w:cs="Times New Roman"/>
          <w:color w:val="0070C0"/>
          <w:kern w:val="0"/>
          <w:szCs w:val="24"/>
        </w:rPr>
        <w:t>https://doi.org/10.1016/j.seppur.2023.126131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7. </w:t>
      </w:r>
      <w:r>
        <w:rPr>
          <w:rFonts w:cs="Times New Roman"/>
          <w:kern w:val="0"/>
          <w:szCs w:val="24"/>
        </w:rPr>
        <w:tab/>
        <w:t xml:space="preserve">Kong H-Y, Wang T-X, Tao Y, et al (2022) Crown ether-based hypercrosslinked porous polymers for gold adsorption. Sep Purif Technol 290:120805. </w:t>
      </w:r>
      <w:r>
        <w:rPr>
          <w:rFonts w:cs="Times New Roman"/>
          <w:color w:val="0070C0"/>
          <w:kern w:val="0"/>
          <w:szCs w:val="24"/>
        </w:rPr>
        <w:t>https://doi.org/10.1016/</w:t>
      </w:r>
      <w:r>
        <w:rPr>
          <w:rFonts w:cs="Times New Roman"/>
          <w:color w:val="0070C0"/>
          <w:kern w:val="0"/>
          <w:szCs w:val="24"/>
        </w:rPr>
        <w:t>j.seppur.2022.120805</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8. </w:t>
      </w:r>
      <w:r>
        <w:rPr>
          <w:rFonts w:cs="Times New Roman"/>
          <w:kern w:val="0"/>
          <w:szCs w:val="24"/>
        </w:rPr>
        <w:tab/>
        <w:t xml:space="preserve">Ayanda OS, Fatoki OS, Adekola FA, Ximba BJ (2013) Kinetics and equilibrium models for the sorption of tributyltin to nZnO, activated carbon and nZnO/activated carbon composite in artificial seawater. Mar Pollut Bull 72:222-230. </w:t>
      </w:r>
      <w:r>
        <w:rPr>
          <w:rFonts w:cs="Times New Roman"/>
          <w:color w:val="0070C0"/>
          <w:kern w:val="0"/>
          <w:szCs w:val="24"/>
        </w:rPr>
        <w:t>ht</w:t>
      </w:r>
      <w:r>
        <w:rPr>
          <w:rFonts w:cs="Times New Roman"/>
          <w:color w:val="0070C0"/>
          <w:kern w:val="0"/>
          <w:szCs w:val="24"/>
        </w:rPr>
        <w:t>tps://doi.org/10.1016/j.marpolbul.2013.04.001</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9. </w:t>
      </w:r>
      <w:r>
        <w:rPr>
          <w:rFonts w:cs="Times New Roman"/>
          <w:kern w:val="0"/>
          <w:szCs w:val="24"/>
        </w:rPr>
        <w:tab/>
        <w:t xml:space="preserve">Kumar KV, Sivanesan S (2006) Isotherm parameters for basic dyes onto activated carbon: Comparison of linear and non-linear method. J Hazard Mater 129:147-150. </w:t>
      </w:r>
      <w:r>
        <w:rPr>
          <w:rFonts w:cs="Times New Roman"/>
          <w:color w:val="0070C0"/>
          <w:kern w:val="0"/>
          <w:szCs w:val="24"/>
        </w:rPr>
        <w:t>https://doi.org/10.1016/j.jhazmat.2005.08.02</w:t>
      </w:r>
      <w:r>
        <w:rPr>
          <w:rFonts w:cs="Times New Roman"/>
          <w:color w:val="0070C0"/>
          <w:kern w:val="0"/>
          <w:szCs w:val="24"/>
        </w:rPr>
        <w:t>2</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10. </w:t>
      </w:r>
      <w:r>
        <w:rPr>
          <w:rFonts w:cs="Times New Roman"/>
          <w:kern w:val="0"/>
          <w:szCs w:val="24"/>
        </w:rPr>
        <w:tab/>
        <w:t>Dada AO, Ojediran JO, Olalekan AP (2013) Sorption of Pb</w:t>
      </w:r>
      <w:r>
        <w:rPr>
          <w:rFonts w:cs="Times New Roman"/>
          <w:kern w:val="0"/>
          <w:szCs w:val="24"/>
          <w:vertAlign w:val="superscript"/>
        </w:rPr>
        <w:t>2+</w:t>
      </w:r>
      <w:r>
        <w:rPr>
          <w:rFonts w:cs="Times New Roman"/>
          <w:kern w:val="0"/>
          <w:szCs w:val="24"/>
        </w:rPr>
        <w:t xml:space="preserve"> from aqueous solution unto modified rice husk: Isotherms studies. Adv Phys Chem 2013:842425.  </w:t>
      </w:r>
      <w:r>
        <w:rPr>
          <w:rFonts w:cs="Times New Roman"/>
          <w:color w:val="0070C0"/>
          <w:kern w:val="0"/>
          <w:szCs w:val="24"/>
        </w:rPr>
        <w:t>https://doi.org/10.1155/2013/84242</w:t>
      </w:r>
      <w:r>
        <w:rPr>
          <w:rFonts w:cs="Times New Roman"/>
          <w:kern w:val="0"/>
          <w:szCs w:val="24"/>
        </w:rPr>
        <w:t>5.</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11. </w:t>
      </w:r>
      <w:r>
        <w:rPr>
          <w:rFonts w:cs="Times New Roman"/>
          <w:kern w:val="0"/>
          <w:szCs w:val="24"/>
        </w:rPr>
        <w:tab/>
        <w:t>Shikuku VO, Kowenje CO, Kengara FO (2018) Errors in pa</w:t>
      </w:r>
      <w:r>
        <w:rPr>
          <w:rFonts w:cs="Times New Roman"/>
          <w:kern w:val="0"/>
          <w:szCs w:val="24"/>
        </w:rPr>
        <w:t xml:space="preserve">rameters estimation using linearized adsorption isotherms: Sulfadimethoxine adsorption onto kaolinite clay. Chem Sci Int J 23:1-6. </w:t>
      </w:r>
      <w:r>
        <w:rPr>
          <w:rFonts w:cs="Times New Roman"/>
          <w:color w:val="0070C0"/>
          <w:kern w:val="0"/>
          <w:szCs w:val="24"/>
        </w:rPr>
        <w:t>10.9734/CSJI/2018/44087</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12. </w:t>
      </w:r>
      <w:r>
        <w:rPr>
          <w:rFonts w:cs="Times New Roman"/>
          <w:kern w:val="0"/>
          <w:szCs w:val="24"/>
        </w:rPr>
        <w:tab/>
        <w:t>Vanaamudan A, Pathan N, Pamidimukkala P (2014) Adsorption of Reactive Blue 21 from aqueous solu</w:t>
      </w:r>
      <w:r>
        <w:rPr>
          <w:rFonts w:cs="Times New Roman"/>
          <w:kern w:val="0"/>
          <w:szCs w:val="24"/>
        </w:rPr>
        <w:t xml:space="preserve">tions onto clay, activated clay, and modified clay. Desalin Water Treat 52:1589-1599. </w:t>
      </w:r>
      <w:r>
        <w:rPr>
          <w:rFonts w:cs="Times New Roman"/>
          <w:color w:val="0070C0"/>
          <w:kern w:val="0"/>
          <w:szCs w:val="24"/>
        </w:rPr>
        <w:t>https://doi.org/10.1080/19443994.2013.789405</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13. </w:t>
      </w:r>
      <w:r>
        <w:rPr>
          <w:rFonts w:cs="Times New Roman"/>
          <w:kern w:val="0"/>
          <w:szCs w:val="24"/>
        </w:rPr>
        <w:tab/>
        <w:t>Agarwal AK, Kadu MS, Pandhurnekar CP, Muthreja IL (2016) Brunauer-Emmett-Teller (B.E.T.), langmuir and freundlich isot</w:t>
      </w:r>
      <w:r>
        <w:rPr>
          <w:rFonts w:cs="Times New Roman"/>
          <w:kern w:val="0"/>
          <w:szCs w:val="24"/>
        </w:rPr>
        <w:t xml:space="preserve">herm studies for the adsorption of Nickel ions onto coal fly ash. Asian J Water, Environ Pollut 13:49-53. </w:t>
      </w:r>
      <w:r>
        <w:rPr>
          <w:rFonts w:cs="Times New Roman"/>
          <w:color w:val="0070C0"/>
          <w:kern w:val="0"/>
          <w:szCs w:val="24"/>
        </w:rPr>
        <w:t>10.3233/AJW-160016</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14. </w:t>
      </w:r>
      <w:r>
        <w:rPr>
          <w:rFonts w:cs="Times New Roman"/>
          <w:kern w:val="0"/>
          <w:szCs w:val="24"/>
        </w:rPr>
        <w:tab/>
      </w:r>
      <w:r>
        <w:rPr>
          <w:rFonts w:cs="Times New Roman"/>
          <w:kern w:val="0"/>
          <w:szCs w:val="24"/>
        </w:rPr>
        <w:t xml:space="preserve">Fouad MR, Aly MI, El-Aswad AF, Badawy MEI (2024) Effect of particles size on adsorption isotherm of chlorantraniliprole, dinotefuran, bispyribac-sodium, and metribuzin into sandy loam soil. Curr Chem Lett 13:61-72. </w:t>
      </w:r>
      <w:r>
        <w:rPr>
          <w:rFonts w:cs="Times New Roman"/>
          <w:color w:val="0070C0"/>
          <w:kern w:val="0"/>
          <w:szCs w:val="24"/>
        </w:rPr>
        <w:t>10.5267/j.ccl.2023.8.009</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lastRenderedPageBreak/>
        <w:t xml:space="preserve">15. </w:t>
      </w:r>
      <w:r>
        <w:rPr>
          <w:rFonts w:cs="Times New Roman"/>
          <w:kern w:val="0"/>
          <w:szCs w:val="24"/>
        </w:rPr>
        <w:tab/>
        <w:t xml:space="preserve">Dada AO, </w:t>
      </w:r>
      <w:r>
        <w:rPr>
          <w:rFonts w:cs="Times New Roman"/>
          <w:kern w:val="0"/>
          <w:szCs w:val="24"/>
        </w:rPr>
        <w:t>Adekola FA, Odebunmi EO (2017)  Kinetics, mechanism, isotherm and thermodynamic studies of liquid phase adsorption of Pb</w:t>
      </w:r>
      <w:r>
        <w:rPr>
          <w:rFonts w:cs="Times New Roman"/>
          <w:kern w:val="0"/>
          <w:szCs w:val="24"/>
          <w:vertAlign w:val="superscript"/>
        </w:rPr>
        <w:t>2+</w:t>
      </w:r>
      <w:r>
        <w:rPr>
          <w:rFonts w:cs="Times New Roman"/>
          <w:kern w:val="0"/>
          <w:szCs w:val="24"/>
        </w:rPr>
        <w:t xml:space="preserve"> onto wood activated carbon supported zerovalent iron (WAC-ZVI) nanocomposite . Cogent Chem 3:1351653. </w:t>
      </w:r>
      <w:r>
        <w:rPr>
          <w:rFonts w:cs="Times New Roman"/>
          <w:color w:val="0070C0"/>
          <w:kern w:val="0"/>
          <w:szCs w:val="24"/>
        </w:rPr>
        <w:t>https://doi.org/10.1080/2331200</w:t>
      </w:r>
      <w:r>
        <w:rPr>
          <w:rFonts w:cs="Times New Roman"/>
          <w:color w:val="0070C0"/>
          <w:kern w:val="0"/>
          <w:szCs w:val="24"/>
        </w:rPr>
        <w:t>9.2017.1351653</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16. </w:t>
      </w:r>
      <w:r>
        <w:rPr>
          <w:rFonts w:cs="Times New Roman"/>
          <w:kern w:val="0"/>
          <w:szCs w:val="24"/>
        </w:rPr>
        <w:tab/>
        <w:t xml:space="preserve">Habeeb OA, Kanthasamy R, Ali GAM, et al (2017) Kinetic, isotherm and equilibrium study of adsorption of hydrogen sulfide from wastewater using modified eggshells. IIUM Eng J 18:13-25.  </w:t>
      </w:r>
      <w:r>
        <w:rPr>
          <w:rFonts w:cs="Times New Roman"/>
          <w:color w:val="0070C0"/>
          <w:kern w:val="0"/>
          <w:szCs w:val="24"/>
        </w:rPr>
        <w:t>https://doi.org/10.31436/iiumej.v18i1.689</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17. </w:t>
      </w:r>
      <w:r>
        <w:rPr>
          <w:rFonts w:cs="Times New Roman"/>
          <w:kern w:val="0"/>
          <w:szCs w:val="24"/>
        </w:rPr>
        <w:tab/>
        <w:t>Z</w:t>
      </w:r>
      <w:r>
        <w:rPr>
          <w:rFonts w:cs="Times New Roman"/>
          <w:kern w:val="0"/>
          <w:szCs w:val="24"/>
        </w:rPr>
        <w:t>hang J, Deng R jian, Ren B zhi, et al (2019) Preparation of a novel Fe</w:t>
      </w:r>
      <w:r>
        <w:rPr>
          <w:rFonts w:cs="Times New Roman"/>
          <w:kern w:val="0"/>
          <w:szCs w:val="24"/>
          <w:vertAlign w:val="subscript"/>
        </w:rPr>
        <w:t>3</w:t>
      </w:r>
      <w:r>
        <w:rPr>
          <w:rFonts w:cs="Times New Roman"/>
          <w:kern w:val="0"/>
          <w:szCs w:val="24"/>
        </w:rPr>
        <w:t>O</w:t>
      </w:r>
      <w:r>
        <w:rPr>
          <w:rFonts w:cs="Times New Roman"/>
          <w:kern w:val="0"/>
          <w:szCs w:val="24"/>
          <w:vertAlign w:val="subscript"/>
        </w:rPr>
        <w:t>4</w:t>
      </w:r>
      <w:r>
        <w:rPr>
          <w:rFonts w:cs="Times New Roman"/>
          <w:kern w:val="0"/>
          <w:szCs w:val="24"/>
        </w:rPr>
        <w:t xml:space="preserve">/HCO composite adsorbent and the mechanism for the removal of antimony (III) from aqueous solution. Sci Rep 9:13021.  </w:t>
      </w:r>
      <w:r>
        <w:rPr>
          <w:rFonts w:cs="Times New Roman"/>
          <w:color w:val="0070C0"/>
          <w:kern w:val="0"/>
          <w:szCs w:val="24"/>
        </w:rPr>
        <w:t>https://doi.org/10.1038/s41598-019-49679-9</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18. </w:t>
      </w:r>
      <w:r>
        <w:rPr>
          <w:rFonts w:cs="Times New Roman"/>
          <w:kern w:val="0"/>
          <w:szCs w:val="24"/>
        </w:rPr>
        <w:tab/>
        <w:t>Kalam S, Abu-Kha</w:t>
      </w:r>
      <w:r>
        <w:rPr>
          <w:rFonts w:cs="Times New Roman"/>
          <w:kern w:val="0"/>
          <w:szCs w:val="24"/>
        </w:rPr>
        <w:t xml:space="preserve">msin SA, Kamal MS, Patil S (2021) Surfactant adsorption isotherms: A Review. ACS Omega 6:32342-32348. </w:t>
      </w:r>
      <w:r>
        <w:rPr>
          <w:rFonts w:cs="Times New Roman"/>
          <w:color w:val="0070C0"/>
          <w:kern w:val="0"/>
          <w:szCs w:val="24"/>
        </w:rPr>
        <w:t>https://doi.org/10.1021/acsomega.1c04661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19. </w:t>
      </w:r>
      <w:r>
        <w:rPr>
          <w:rFonts w:cs="Times New Roman"/>
          <w:kern w:val="0"/>
          <w:szCs w:val="24"/>
        </w:rPr>
        <w:tab/>
        <w:t>Blanchard G, Maunaye M, Martin G (1984) Removal of heavy metals from waters by means of natural zeolites. W</w:t>
      </w:r>
      <w:r>
        <w:rPr>
          <w:rFonts w:cs="Times New Roman"/>
          <w:kern w:val="0"/>
          <w:szCs w:val="24"/>
        </w:rPr>
        <w:t xml:space="preserve">ater Res 18:1501-1507. </w:t>
      </w:r>
      <w:r>
        <w:rPr>
          <w:rFonts w:cs="Times New Roman"/>
          <w:color w:val="0070C0"/>
          <w:kern w:val="0"/>
          <w:szCs w:val="24"/>
        </w:rPr>
        <w:t>https://doi.org/10.1016/0043-1354(84)90124-6</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20. </w:t>
      </w:r>
      <w:r>
        <w:rPr>
          <w:rFonts w:cs="Times New Roman"/>
          <w:kern w:val="0"/>
          <w:szCs w:val="24"/>
        </w:rPr>
        <w:tab/>
        <w:t xml:space="preserve">Coleman NT, Mcclung AC, Moore DP (1956) Formation constants for Cu(II)-peat complexes [8]. Science 123:330-331. </w:t>
      </w:r>
      <w:r>
        <w:rPr>
          <w:rFonts w:cs="Times New Roman"/>
          <w:color w:val="0070C0"/>
          <w:kern w:val="0"/>
          <w:szCs w:val="24"/>
        </w:rPr>
        <w:t>10.1126/science.123.3191.330</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21. </w:t>
      </w:r>
      <w:r>
        <w:rPr>
          <w:rFonts w:cs="Times New Roman"/>
          <w:kern w:val="0"/>
          <w:szCs w:val="24"/>
        </w:rPr>
        <w:tab/>
      </w:r>
      <w:r>
        <w:rPr>
          <w:rFonts w:cs="Times New Roman"/>
          <w:kern w:val="0"/>
          <w:szCs w:val="24"/>
        </w:rPr>
        <w:t xml:space="preserve">Tadepalli S, Murthy KSR, Sahu O (2023) Interparticle diffusion and thermodynamic modeling studies for the removal of heavy metals using mixed adsorbents in industrial effluents. Environ Qual Manag 32:375-388.  </w:t>
      </w:r>
      <w:r>
        <w:rPr>
          <w:rFonts w:cs="Times New Roman"/>
          <w:color w:val="0070C0"/>
          <w:kern w:val="0"/>
          <w:szCs w:val="24"/>
        </w:rPr>
        <w:t>https://doi.org/10.1002/tqem.21927</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22. </w:t>
      </w:r>
      <w:r>
        <w:rPr>
          <w:rFonts w:cs="Times New Roman"/>
          <w:kern w:val="0"/>
          <w:szCs w:val="24"/>
        </w:rPr>
        <w:tab/>
        <w:t xml:space="preserve">Wang </w:t>
      </w:r>
      <w:r>
        <w:rPr>
          <w:rFonts w:cs="Times New Roman"/>
          <w:kern w:val="0"/>
          <w:szCs w:val="24"/>
        </w:rPr>
        <w:t xml:space="preserve">J, Guo X (2022) Rethinking of the intraparticle diffusion adsorption kinetics model: Interpretation, solving methods and applications. Chemosphere 309:136732. </w:t>
      </w:r>
      <w:r>
        <w:rPr>
          <w:rFonts w:cs="Times New Roman"/>
          <w:color w:val="0070C0"/>
          <w:kern w:val="0"/>
          <w:szCs w:val="24"/>
        </w:rPr>
        <w:t>https://doi.org/10.1016/j.chemosphere.2022.136732</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23. </w:t>
      </w:r>
      <w:r>
        <w:rPr>
          <w:rFonts w:cs="Times New Roman"/>
          <w:kern w:val="0"/>
          <w:szCs w:val="24"/>
        </w:rPr>
        <w:tab/>
        <w:t>Silva LMS, Muñoz-Peña MJ, Domínguez-Varga</w:t>
      </w:r>
      <w:r>
        <w:rPr>
          <w:rFonts w:cs="Times New Roman"/>
          <w:kern w:val="0"/>
          <w:szCs w:val="24"/>
        </w:rPr>
        <w:t xml:space="preserve">s JR, et al (2021) Kinetic and equilibrium adsorption parameters estimation based on a heterogeneous intraparticle diffusion model. Surfaces and Interfaces 22:100791.  </w:t>
      </w:r>
      <w:r>
        <w:rPr>
          <w:rFonts w:cs="Times New Roman"/>
          <w:color w:val="0070C0"/>
          <w:kern w:val="0"/>
          <w:szCs w:val="24"/>
        </w:rPr>
        <w:t>https://doi.org/10.1016/j.surfin.2020.100791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24. </w:t>
      </w:r>
      <w:r>
        <w:rPr>
          <w:rFonts w:cs="Times New Roman"/>
          <w:kern w:val="0"/>
          <w:szCs w:val="24"/>
        </w:rPr>
        <w:tab/>
        <w:t>Rudzinski W, Plazinski W (2006) Kinet</w:t>
      </w:r>
      <w:r>
        <w:rPr>
          <w:rFonts w:cs="Times New Roman"/>
          <w:kern w:val="0"/>
          <w:szCs w:val="24"/>
        </w:rPr>
        <w:t>ics of solute adsorption at solid/solution interfaces: A theoretical development of the empirical pseudo-first and pseudo-second order kinetic rate equations, based on applying the statistical rate theory of interfacial transport. J Phys Chem B 110:16514-1</w:t>
      </w:r>
      <w:r>
        <w:rPr>
          <w:rFonts w:cs="Times New Roman"/>
          <w:kern w:val="0"/>
          <w:szCs w:val="24"/>
        </w:rPr>
        <w:t xml:space="preserve">6525. </w:t>
      </w:r>
      <w:r>
        <w:rPr>
          <w:rFonts w:cs="Times New Roman"/>
          <w:color w:val="0070C0"/>
          <w:kern w:val="0"/>
          <w:szCs w:val="24"/>
        </w:rPr>
        <w:t>https://doi.org/10.1021/jp061779n</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25. </w:t>
      </w:r>
      <w:r>
        <w:rPr>
          <w:rFonts w:cs="Times New Roman"/>
          <w:kern w:val="0"/>
          <w:szCs w:val="24"/>
        </w:rPr>
        <w:tab/>
        <w:t xml:space="preserve">Rudzinski W, Plazinski W (2007) Studies of the kinetics of solute adsorption at </w:t>
      </w:r>
      <w:r>
        <w:rPr>
          <w:rFonts w:cs="Times New Roman"/>
          <w:kern w:val="0"/>
          <w:szCs w:val="24"/>
        </w:rPr>
        <w:lastRenderedPageBreak/>
        <w:t>solid/solution interfaces: On the possibility of distinguishing between the diffusional and the surface reaction kinetic models by</w:t>
      </w:r>
      <w:r>
        <w:rPr>
          <w:rFonts w:cs="Times New Roman"/>
          <w:kern w:val="0"/>
          <w:szCs w:val="24"/>
        </w:rPr>
        <w:t xml:space="preserve"> studying the pseudo-first-order kinetics. J Phys Chem C 111:15100-15110. </w:t>
      </w:r>
      <w:r>
        <w:rPr>
          <w:rFonts w:cs="Times New Roman"/>
          <w:color w:val="0070C0"/>
          <w:kern w:val="0"/>
          <w:szCs w:val="24"/>
        </w:rPr>
        <w:t>https://doi.org/10.1021/jp073249c</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26. </w:t>
      </w:r>
      <w:r>
        <w:rPr>
          <w:rFonts w:cs="Times New Roman"/>
          <w:kern w:val="0"/>
          <w:szCs w:val="24"/>
        </w:rPr>
        <w:tab/>
        <w:t xml:space="preserve">Alakhras F, Ouerfelli N, Al-Mazaideh G, et al (2019) Optimal pseudo-average order kinetic model for correlating the removal of nickel ions by </w:t>
      </w:r>
      <w:r>
        <w:rPr>
          <w:rFonts w:cs="Times New Roman"/>
          <w:kern w:val="0"/>
          <w:szCs w:val="24"/>
        </w:rPr>
        <w:t xml:space="preserve">adsorption on nanobentonite. Arab J Sci Eng 44:159-168. </w:t>
      </w:r>
      <w:r>
        <w:rPr>
          <w:rFonts w:cs="Times New Roman"/>
          <w:color w:val="0070C0"/>
          <w:kern w:val="0"/>
          <w:szCs w:val="24"/>
        </w:rPr>
        <w:t>https://doi.org/10.1007/s13369-018-3304-1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27. </w:t>
      </w:r>
      <w:r>
        <w:rPr>
          <w:rFonts w:cs="Times New Roman"/>
          <w:kern w:val="0"/>
          <w:szCs w:val="24"/>
        </w:rPr>
        <w:tab/>
        <w:t>Mohammadi A, Karimi AA (2017) Methylene blue removal using surface-modified TiO</w:t>
      </w:r>
      <w:r>
        <w:rPr>
          <w:rFonts w:cs="Times New Roman"/>
          <w:kern w:val="0"/>
          <w:szCs w:val="24"/>
          <w:vertAlign w:val="subscript"/>
        </w:rPr>
        <w:t>2</w:t>
      </w:r>
      <w:r>
        <w:rPr>
          <w:rFonts w:cs="Times New Roman"/>
          <w:kern w:val="0"/>
          <w:szCs w:val="24"/>
        </w:rPr>
        <w:t xml:space="preserve"> nanoparticles: A comparative study on adsorption and photocatalytic deg</w:t>
      </w:r>
      <w:r>
        <w:rPr>
          <w:rFonts w:cs="Times New Roman"/>
          <w:kern w:val="0"/>
          <w:szCs w:val="24"/>
        </w:rPr>
        <w:t xml:space="preserve">radation. J Water Environ Nanotechnol J Water Environ Nanotechnol 2:118-128.  </w:t>
      </w:r>
      <w:r>
        <w:rPr>
          <w:rFonts w:cs="Times New Roman"/>
          <w:color w:val="0070C0"/>
          <w:kern w:val="0"/>
          <w:szCs w:val="24"/>
        </w:rPr>
        <w:t>https://doi.org/10.22090/jwent.2017.02.007</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28. </w:t>
      </w:r>
      <w:r>
        <w:rPr>
          <w:rFonts w:cs="Times New Roman"/>
          <w:kern w:val="0"/>
          <w:szCs w:val="24"/>
        </w:rPr>
        <w:tab/>
        <w:t xml:space="preserve">Musah M, Azeh Y, Mathew J, et al (2022) Adsorption kinetics and isotherm models: A Review. Caliphate J Sci Technol 4:20-26.  </w:t>
      </w:r>
      <w:r>
        <w:rPr>
          <w:rFonts w:cs="Times New Roman"/>
          <w:color w:val="0070C0"/>
          <w:kern w:val="0"/>
          <w:szCs w:val="24"/>
        </w:rPr>
        <w:t>http</w:t>
      </w:r>
      <w:r>
        <w:rPr>
          <w:rFonts w:cs="Times New Roman"/>
          <w:color w:val="0070C0"/>
          <w:kern w:val="0"/>
          <w:szCs w:val="24"/>
        </w:rPr>
        <w:t>s://dx.doi.org/10.4314/cajost.v4i1.3</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29. </w:t>
      </w:r>
      <w:r>
        <w:rPr>
          <w:rFonts w:cs="Times New Roman"/>
          <w:kern w:val="0"/>
          <w:szCs w:val="24"/>
        </w:rPr>
        <w:tab/>
        <w:t xml:space="preserve">Ghaedi M, Moazzen HR, Purkait MK (2016) Kinetic and isotherm study of Sudan black B removal. Toxicol Ind Health 32:1891-1901.  </w:t>
      </w:r>
      <w:r>
        <w:rPr>
          <w:rFonts w:cs="Times New Roman"/>
          <w:color w:val="0070C0"/>
          <w:kern w:val="0"/>
          <w:szCs w:val="24"/>
        </w:rPr>
        <w:t>https://doi.org/10.1177/0748233715592</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30. </w:t>
      </w:r>
      <w:r>
        <w:rPr>
          <w:rFonts w:cs="Times New Roman"/>
          <w:kern w:val="0"/>
          <w:szCs w:val="24"/>
        </w:rPr>
        <w:tab/>
        <w:t>Din MI, Hussain Z, Mirza ML, et al (2014)</w:t>
      </w:r>
      <w:r>
        <w:rPr>
          <w:rFonts w:cs="Times New Roman"/>
          <w:kern w:val="0"/>
          <w:szCs w:val="24"/>
        </w:rPr>
        <w:t xml:space="preserve"> Adsorption optimization of lead (II) using Saccharum Bengalense as a non-conventional low cost Biosorbent: Isotherm and thermodynamics modeling. Int J Phytoremediation 16:889-908.  </w:t>
      </w:r>
      <w:r>
        <w:rPr>
          <w:rFonts w:cs="Times New Roman"/>
          <w:color w:val="0070C0"/>
          <w:kern w:val="0"/>
          <w:szCs w:val="24"/>
        </w:rPr>
        <w:t>https://doi.org/10.1080/15226514.2013.80302</w:t>
      </w:r>
      <w:r>
        <w:rPr>
          <w:rFonts w:cs="Times New Roman"/>
          <w:kern w:val="0"/>
          <w:szCs w:val="24"/>
        </w:rPr>
        <w:t>5.</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31. </w:t>
      </w:r>
      <w:r>
        <w:rPr>
          <w:rFonts w:cs="Times New Roman"/>
          <w:kern w:val="0"/>
          <w:szCs w:val="24"/>
        </w:rPr>
        <w:tab/>
        <w:t>Dada AO, Adekola FA, Od</w:t>
      </w:r>
      <w:r>
        <w:rPr>
          <w:rFonts w:cs="Times New Roman"/>
          <w:kern w:val="0"/>
          <w:szCs w:val="24"/>
        </w:rPr>
        <w:t xml:space="preserve">ebunmi EO, et al (2021) Two–three parameters isotherm modeling, kinetics with statistical validity, desorption and thermodynamic studies of adsorption of Cu(II) ions onto zerovalent iron nanoparticles. Sci Rep 11:16454. </w:t>
      </w:r>
      <w:r>
        <w:rPr>
          <w:rFonts w:cs="Times New Roman"/>
          <w:color w:val="0070C0"/>
          <w:kern w:val="0"/>
          <w:szCs w:val="24"/>
        </w:rPr>
        <w:t>https://doi.org/10.1038/s41598-021-9</w:t>
      </w:r>
      <w:r>
        <w:rPr>
          <w:rFonts w:cs="Times New Roman"/>
          <w:color w:val="0070C0"/>
          <w:kern w:val="0"/>
          <w:szCs w:val="24"/>
        </w:rPr>
        <w:t>5090-8</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32. </w:t>
      </w:r>
      <w:r>
        <w:rPr>
          <w:rFonts w:cs="Times New Roman"/>
          <w:kern w:val="0"/>
          <w:szCs w:val="24"/>
        </w:rPr>
        <w:tab/>
        <w:t xml:space="preserve">Mahmoud ME, Amira MF, Seleim SM, Mohamed AK (2017) Adsorption isotherm models, kinetics study, and thermodynamic parameters of Ni(II) and Zn(II) removal from water using the LbL technique. J Chem Eng Data 62:839-850. </w:t>
      </w:r>
      <w:r>
        <w:rPr>
          <w:rFonts w:cs="Times New Roman"/>
          <w:color w:val="0070C0"/>
          <w:kern w:val="0"/>
          <w:szCs w:val="24"/>
        </w:rPr>
        <w:t>https://doi.org/10.1021/ac</w:t>
      </w:r>
      <w:r>
        <w:rPr>
          <w:rFonts w:cs="Times New Roman"/>
          <w:color w:val="0070C0"/>
          <w:kern w:val="0"/>
          <w:szCs w:val="24"/>
        </w:rPr>
        <w:t>s.jced.6b00865</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33. </w:t>
      </w:r>
      <w:r>
        <w:rPr>
          <w:rFonts w:cs="Times New Roman"/>
          <w:kern w:val="0"/>
          <w:szCs w:val="24"/>
        </w:rPr>
        <w:tab/>
        <w:t>Salman M, Athar M, Farooq U (2015) Biosorption of heavy metals from aqueous solutions using indigenous and modified lignocellulosic materials. Rev. Environ. Sci. Biotechnol. 14:211-228.</w:t>
      </w:r>
      <w:r>
        <w:rPr>
          <w:rFonts w:cs="Times New Roman"/>
          <w:color w:val="0070C0"/>
          <w:kern w:val="0"/>
          <w:szCs w:val="24"/>
        </w:rPr>
        <w:t xml:space="preserve"> https://doi.org/10.1007/s11157-015-9362-x</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34. </w:t>
      </w:r>
      <w:r>
        <w:rPr>
          <w:rFonts w:cs="Times New Roman"/>
          <w:kern w:val="0"/>
          <w:szCs w:val="24"/>
        </w:rPr>
        <w:tab/>
      </w:r>
      <w:r>
        <w:rPr>
          <w:rFonts w:cs="Times New Roman"/>
          <w:kern w:val="0"/>
          <w:szCs w:val="24"/>
        </w:rPr>
        <w:t xml:space="preserve">Yu L, Luo YM (2014) The adsorption mechanism of anionic and cationic dyes by Jerusalem artichoke stalk-based mesoporous activated carbon. J Environ Chem Eng 2:220-229. </w:t>
      </w:r>
      <w:r>
        <w:rPr>
          <w:rFonts w:cs="Times New Roman"/>
          <w:color w:val="0070C0"/>
          <w:kern w:val="0"/>
          <w:szCs w:val="24"/>
        </w:rPr>
        <w:lastRenderedPageBreak/>
        <w:t>https://doi.org/10.1016/j.jece.2013.12.016</w:t>
      </w:r>
      <w:r>
        <w:rPr>
          <w:rFonts w:cs="Times New Roman"/>
          <w:kern w:val="0"/>
          <w:szCs w:val="24"/>
        </w:rPr>
        <w:t xml:space="preserve">. </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35. </w:t>
      </w:r>
      <w:r>
        <w:rPr>
          <w:rFonts w:cs="Times New Roman"/>
          <w:kern w:val="0"/>
          <w:szCs w:val="24"/>
        </w:rPr>
        <w:tab/>
        <w:t>Guo L, Li G, Liu J, et al (2013) Adsor</w:t>
      </w:r>
      <w:r>
        <w:rPr>
          <w:rFonts w:cs="Times New Roman"/>
          <w:kern w:val="0"/>
          <w:szCs w:val="24"/>
        </w:rPr>
        <w:t xml:space="preserve">ptive decolorization of methylene blue by crosslinked porous starch. Carbohydr Polym 93:374-379.  </w:t>
      </w:r>
      <w:r>
        <w:rPr>
          <w:rFonts w:cs="Times New Roman"/>
          <w:color w:val="0070C0"/>
          <w:kern w:val="0"/>
          <w:szCs w:val="24"/>
        </w:rPr>
        <w:t>https://doi.org/10.1016/j.carbpol.2012.12.019</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36. </w:t>
      </w:r>
      <w:r>
        <w:rPr>
          <w:rFonts w:cs="Times New Roman"/>
          <w:kern w:val="0"/>
          <w:szCs w:val="24"/>
        </w:rPr>
        <w:tab/>
        <w:t>Lu L, Na C (2022) Gibbsian interpretation of Langmuir, Freundlich and Temkin isotherms for adsorption in s</w:t>
      </w:r>
      <w:r>
        <w:rPr>
          <w:rFonts w:cs="Times New Roman"/>
          <w:kern w:val="0"/>
          <w:szCs w:val="24"/>
        </w:rPr>
        <w:t xml:space="preserve">olution. Philos Mag Lett 102:239-253.  </w:t>
      </w:r>
      <w:r>
        <w:rPr>
          <w:rFonts w:cs="Times New Roman"/>
          <w:color w:val="0070C0"/>
          <w:kern w:val="0"/>
          <w:szCs w:val="24"/>
        </w:rPr>
        <w:t>https://doi.org/10.1080/09500839.2022.2084571</w:t>
      </w:r>
      <w:r>
        <w:rPr>
          <w:rFonts w:cs="Times New Roman"/>
          <w:kern w:val="0"/>
          <w:szCs w:val="24"/>
        </w:rPr>
        <w:t>.</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37. </w:t>
      </w:r>
      <w:r>
        <w:rPr>
          <w:rFonts w:cs="Times New Roman"/>
          <w:kern w:val="0"/>
          <w:szCs w:val="24"/>
        </w:rPr>
        <w:tab/>
        <w:t>Ferhat D, Nibou D, Elhadj M, Amokrane S (2019) Adsorption of Ni</w:t>
      </w:r>
      <w:r>
        <w:rPr>
          <w:rFonts w:cs="Times New Roman"/>
          <w:kern w:val="0"/>
          <w:szCs w:val="24"/>
          <w:vertAlign w:val="superscript"/>
        </w:rPr>
        <w:t>2+</w:t>
      </w:r>
      <w:r>
        <w:rPr>
          <w:rFonts w:cs="Times New Roman"/>
          <w:kern w:val="0"/>
          <w:szCs w:val="24"/>
        </w:rPr>
        <w:t xml:space="preserve"> ions onto NaX and NaY zeolites: Equilibrium, kinetics, intra crystalline diffusion and thermodynami</w:t>
      </w:r>
      <w:r>
        <w:rPr>
          <w:rFonts w:cs="Times New Roman"/>
          <w:kern w:val="0"/>
          <w:szCs w:val="24"/>
        </w:rPr>
        <w:t>c studies. Iran J Chem Chem Eng 38:63-81.</w:t>
      </w:r>
    </w:p>
    <w:p w:rsidR="00300D94" w:rsidRDefault="003F69A8">
      <w:pPr>
        <w:widowControl w:val="0"/>
        <w:autoSpaceDE w:val="0"/>
        <w:autoSpaceDN w:val="0"/>
        <w:adjustRightInd w:val="0"/>
        <w:ind w:left="640" w:hanging="640"/>
        <w:jc w:val="both"/>
        <w:rPr>
          <w:rFonts w:cs="Times New Roman"/>
          <w:kern w:val="0"/>
          <w:szCs w:val="24"/>
        </w:rPr>
      </w:pPr>
      <w:r>
        <w:rPr>
          <w:rFonts w:cs="Times New Roman"/>
          <w:kern w:val="0"/>
          <w:szCs w:val="24"/>
        </w:rPr>
        <w:t xml:space="preserve">38. </w:t>
      </w:r>
      <w:r>
        <w:rPr>
          <w:rFonts w:cs="Times New Roman"/>
          <w:kern w:val="0"/>
          <w:szCs w:val="24"/>
        </w:rPr>
        <w:tab/>
        <w:t xml:space="preserve">Chakraborty S, Mukherjee A, Das S, et al (2021) Study on isotherm, kinetics, and thermodynamics of adsorption of crystal violet dye by calcium oxide modified fly ash. Environ Eng Res 26:190372-190380. </w:t>
      </w:r>
    </w:p>
    <w:p w:rsidR="00300D94" w:rsidRDefault="003F69A8">
      <w:pPr>
        <w:jc w:val="both"/>
      </w:pPr>
      <w:r>
        <w:fldChar w:fldCharType="end"/>
      </w:r>
    </w:p>
    <w:sectPr w:rsidR="00300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A8" w:rsidRDefault="003F69A8">
      <w:pPr>
        <w:spacing w:line="240" w:lineRule="auto"/>
      </w:pPr>
      <w:r>
        <w:separator/>
      </w:r>
    </w:p>
  </w:endnote>
  <w:endnote w:type="continuationSeparator" w:id="0">
    <w:p w:rsidR="003F69A8" w:rsidRDefault="003F6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harisSIL">
    <w:altName w:val="Cambria"/>
    <w:charset w:val="00"/>
    <w:family w:val="roman"/>
    <w:pitch w:val="default"/>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A8" w:rsidRDefault="003F69A8">
      <w:r>
        <w:separator/>
      </w:r>
    </w:p>
  </w:footnote>
  <w:footnote w:type="continuationSeparator" w:id="0">
    <w:p w:rsidR="003F69A8" w:rsidRDefault="003F6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1"/>
    <w:rsid w:val="00005C5D"/>
    <w:rsid w:val="001B61E2"/>
    <w:rsid w:val="001E37F6"/>
    <w:rsid w:val="00233FDB"/>
    <w:rsid w:val="00300D94"/>
    <w:rsid w:val="003B43B1"/>
    <w:rsid w:val="003F69A8"/>
    <w:rsid w:val="004C19AB"/>
    <w:rsid w:val="00546AB9"/>
    <w:rsid w:val="005B1263"/>
    <w:rsid w:val="00673F81"/>
    <w:rsid w:val="00722728"/>
    <w:rsid w:val="00796A80"/>
    <w:rsid w:val="00891B4C"/>
    <w:rsid w:val="009C3F36"/>
    <w:rsid w:val="009C7FE8"/>
    <w:rsid w:val="00AD47D7"/>
    <w:rsid w:val="00B179B3"/>
    <w:rsid w:val="00B75A5F"/>
    <w:rsid w:val="00C22E16"/>
    <w:rsid w:val="00D574D7"/>
    <w:rsid w:val="00D844BD"/>
    <w:rsid w:val="00F65249"/>
    <w:rsid w:val="32945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B26CEB4-7C98-4B94-A07E-013FBEF8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right"/>
    </w:pPr>
    <w:rPr>
      <w:kern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kern w:val="0"/>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CharisSIL" w:hAnsi="CharisSIL"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bahar@uok.ac.ir" TargetMode="External"/><Relationship Id="rId13" Type="http://schemas.openxmlformats.org/officeDocument/2006/relationships/oleObject" Target="embeddings/oleObject2.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5986C-1D53-4526-B41D-688E3DFC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16358</Words>
  <Characters>93245</Characters>
  <Application>Microsoft Office Word</Application>
  <DocSecurity>0</DocSecurity>
  <Lines>777</Lines>
  <Paragraphs>218</Paragraphs>
  <ScaleCrop>false</ScaleCrop>
  <Company/>
  <LinksUpToDate>false</LinksUpToDate>
  <CharactersWithSpaces>109385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Mirheydari</dc:creator>
  <cp:lastModifiedBy>Soleiman</cp:lastModifiedBy>
  <cp:revision>3</cp:revision>
  <dcterms:created xsi:type="dcterms:W3CDTF">2025-02-16T10:52:00Z</dcterms:created>
  <dcterms:modified xsi:type="dcterms:W3CDTF">2025-02-18T08:17:00Z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http://www.zotero.org/styles/food-analytical-methods</vt:lpwstr>
  </property>
  <property fmtid="{D5CDD505-2E9C-101B-9397-08002B2CF9AE}" pid="5" name="Mendeley Recent Style Name 1_1">
    <vt:lpwstr>Food Analytical Methods</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http://www.zotero.org/styles/ipag-business-school-apa</vt:lpwstr>
  </property>
  <property fmtid="{D5CDD505-2E9C-101B-9397-08002B2CF9AE}" pid="9" name="Mendeley Recent Style Name 3_1">
    <vt:lpwstr>IPAG Business School - APA</vt:lpwstr>
  </property>
  <property fmtid="{D5CDD505-2E9C-101B-9397-08002B2CF9AE}" pid="10" name="Mendeley Recent Style Id 4_1">
    <vt:lpwstr>http://www.zotero.org/styles/international-journal-of-environmental-health-research</vt:lpwstr>
  </property>
  <property fmtid="{D5CDD505-2E9C-101B-9397-08002B2CF9AE}" pid="11" name="Mendeley Recent Style Name 4_1">
    <vt:lpwstr>International Journal of Environmental Health Research</vt:lpwstr>
  </property>
  <property fmtid="{D5CDD505-2E9C-101B-9397-08002B2CF9AE}" pid="12" name="Mendeley Recent Style Id 5_1">
    <vt:lpwstr>http://www.zotero.org/styles/journal-of-environmental-quality</vt:lpwstr>
  </property>
  <property fmtid="{D5CDD505-2E9C-101B-9397-08002B2CF9AE}" pid="13" name="Mendeley Recent Style Name 5_1">
    <vt:lpwstr>Journal of Environmental Quality</vt:lpwstr>
  </property>
  <property fmtid="{D5CDD505-2E9C-101B-9397-08002B2CF9AE}" pid="14" name="Mendeley Recent Style Id 6_1">
    <vt:lpwstr>http://www.zotero.org/styles/journal-of-environmental-sciences</vt:lpwstr>
  </property>
  <property fmtid="{D5CDD505-2E9C-101B-9397-08002B2CF9AE}" pid="15" name="Mendeley Recent Style Name 6_1">
    <vt:lpwstr>Journal of Environmental Sciences</vt:lpwstr>
  </property>
  <property fmtid="{D5CDD505-2E9C-101B-9397-08002B2CF9AE}" pid="16" name="Mendeley Recent Style Id 7_1">
    <vt:lpwstr>http://www.zotero.org/styles/journal-of-molecular-liquids</vt:lpwstr>
  </property>
  <property fmtid="{D5CDD505-2E9C-101B-9397-08002B2CF9AE}" pid="17" name="Mendeley Recent Style Name 7_1">
    <vt:lpwstr>Journal of Molecular Liquids</vt:lpwstr>
  </property>
  <property fmtid="{D5CDD505-2E9C-101B-9397-08002B2CF9AE}" pid="18" name="Mendeley Recent Style Id 8_1">
    <vt:lpwstr>http://www.zotero.org/styles/microchimica-acta</vt:lpwstr>
  </property>
  <property fmtid="{D5CDD505-2E9C-101B-9397-08002B2CF9AE}" pid="19" name="Mendeley Recent Style Name 8_1">
    <vt:lpwstr>Microchimica Acta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cf960dde-d473-3a42-ac22-9b6f77e86b06</vt:lpwstr>
  </property>
  <property fmtid="{D5CDD505-2E9C-101B-9397-08002B2CF9AE}" pid="24" name="Mendeley Citation Style_1">
    <vt:lpwstr>http://www.zotero.org/styles/microchimica-acta</vt:lpwstr>
  </property>
  <property fmtid="{D5CDD505-2E9C-101B-9397-08002B2CF9AE}" pid="25" name="KSOProductBuildVer">
    <vt:lpwstr>1033-12.2.0.19805</vt:lpwstr>
  </property>
  <property fmtid="{D5CDD505-2E9C-101B-9397-08002B2CF9AE}" pid="26" name="ICV">
    <vt:lpwstr>8F7024224F354EF2BE198B536977F792_13</vt:lpwstr>
  </property>
</Properties>
</file>