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rPr>
          <w:rFonts w:hint="default" w:ascii="Times New Roman" w:hAnsi="Times New Roman" w:eastAsia="宋体"/>
          <w:bCs/>
          <w:kern w:val="0"/>
          <w:sz w:val="24"/>
          <w:lang w:val="en-US" w:eastAsia="zh-CN"/>
        </w:rPr>
      </w:pPr>
      <w:r>
        <w:rPr>
          <w:rFonts w:ascii="Times New Roman" w:hAnsi="Times New Roman"/>
          <w:b/>
          <w:bCs/>
          <w:kern w:val="0"/>
          <w:sz w:val="24"/>
        </w:rPr>
        <w:t>Supplementary Table</w:t>
      </w:r>
      <w:r>
        <w:rPr>
          <w:rFonts w:hint="eastAsia" w:ascii="Times New Roman" w:hAnsi="Times New Roman"/>
          <w:b/>
          <w:bCs/>
          <w:kern w:val="0"/>
          <w:sz w:val="24"/>
          <w:lang w:val="en-US" w:eastAsia="zh-CN"/>
        </w:rPr>
        <w:t>s.</w:t>
      </w:r>
      <w:r>
        <w:rPr>
          <w:rFonts w:ascii="Times New Roman" w:hAnsi="Times New Roman"/>
          <w:bCs/>
          <w:kern w:val="0"/>
          <w:sz w:val="24"/>
        </w:rPr>
        <w:t xml:space="preserve"> </w:t>
      </w:r>
      <w:r>
        <w:rPr>
          <w:rFonts w:hint="eastAsia" w:ascii="Times New Roman" w:hAnsi="Times New Roman"/>
          <w:bCs/>
          <w:kern w:val="0"/>
          <w:sz w:val="24"/>
          <w:lang w:val="en-US" w:eastAsia="zh-CN"/>
        </w:rPr>
        <w:t xml:space="preserve">Table 1. </w:t>
      </w:r>
      <w:r>
        <w:rPr>
          <w:rFonts w:hint="eastAsia" w:ascii="Times New Roman" w:hAnsi="Times New Roman"/>
          <w:bCs/>
          <w:kern w:val="0"/>
          <w:sz w:val="24"/>
          <w:u w:val="none"/>
          <w:lang w:val="en-US" w:eastAsia="zh-CN"/>
        </w:rPr>
        <w:t>V</w:t>
      </w:r>
      <w:r>
        <w:rPr>
          <w:rFonts w:ascii="Times New Roman" w:hAnsi="Times New Roman"/>
          <w:bCs/>
          <w:kern w:val="0"/>
          <w:sz w:val="24"/>
        </w:rPr>
        <w:t xml:space="preserve">irulence factors </w:t>
      </w:r>
      <w:r>
        <w:rPr>
          <w:rFonts w:hint="eastAsia" w:ascii="Times New Roman" w:hAnsi="Times New Roman"/>
          <w:bCs/>
          <w:kern w:val="0"/>
          <w:sz w:val="24"/>
          <w:lang w:val="en-US" w:eastAsia="zh-CN"/>
        </w:rPr>
        <w:t xml:space="preserve">found </w:t>
      </w:r>
      <w:r>
        <w:rPr>
          <w:rFonts w:hint="eastAsia" w:ascii="Times New Roman" w:hAnsi="Times New Roman"/>
          <w:bCs/>
          <w:kern w:val="0"/>
          <w:sz w:val="24"/>
        </w:rPr>
        <w:t xml:space="preserve">in </w:t>
      </w:r>
      <w:r>
        <w:rPr>
          <w:rFonts w:ascii="Times New Roman" w:hAnsi="Times New Roman"/>
          <w:bCs/>
          <w:kern w:val="0"/>
          <w:sz w:val="24"/>
        </w:rPr>
        <w:t xml:space="preserve">LSM178 and </w:t>
      </w:r>
      <w:r>
        <w:rPr>
          <w:rFonts w:hint="eastAsia" w:ascii="Times New Roman" w:hAnsi="Times New Roman"/>
          <w:bCs/>
          <w:kern w:val="0"/>
          <w:sz w:val="24"/>
        </w:rPr>
        <w:t xml:space="preserve">other 52 </w:t>
      </w:r>
      <w:r>
        <w:rPr>
          <w:rFonts w:hint="eastAsia" w:ascii="Times New Roman" w:hAnsi="Times New Roman"/>
          <w:bCs/>
          <w:i/>
          <w:iCs/>
          <w:kern w:val="0"/>
          <w:sz w:val="24"/>
          <w:lang w:eastAsia="zh-CN"/>
        </w:rPr>
        <w:t>S. suis</w:t>
      </w:r>
      <w:r>
        <w:rPr>
          <w:rFonts w:hint="eastAsia" w:ascii="Times New Roman" w:hAnsi="Times New Roman"/>
          <w:bCs/>
          <w:kern w:val="0"/>
          <w:sz w:val="24"/>
        </w:rPr>
        <w:t>.</w:t>
      </w:r>
      <w:r>
        <w:rPr>
          <w:rFonts w:hint="eastAsia" w:ascii="Times New Roman" w:hAnsi="Times New Roman"/>
          <w:bCs/>
          <w:kern w:val="0"/>
          <w:sz w:val="24"/>
          <w:lang w:val="en-US" w:eastAsia="zh-CN"/>
        </w:rPr>
        <w:t xml:space="preserve"> Table 2. The informations of the 52 </w:t>
      </w:r>
      <w:r>
        <w:rPr>
          <w:rFonts w:hint="eastAsia" w:ascii="Times New Roman" w:hAnsi="Times New Roman"/>
          <w:bCs/>
          <w:i/>
          <w:iCs/>
          <w:kern w:val="0"/>
          <w:sz w:val="24"/>
          <w:lang w:val="en-US" w:eastAsia="zh-CN"/>
        </w:rPr>
        <w:t>S. suis</w:t>
      </w:r>
      <w:r>
        <w:rPr>
          <w:rFonts w:hint="eastAsia" w:ascii="Times New Roman" w:hAnsi="Times New Roman"/>
          <w:bCs/>
          <w:kern w:val="0"/>
          <w:sz w:val="24"/>
          <w:lang w:val="en-US" w:eastAsia="zh-CN"/>
        </w:rPr>
        <w:t xml:space="preserve"> and LSM178</w:t>
      </w:r>
    </w:p>
    <w:p>
      <w:pPr>
        <w:widowControl/>
        <w:adjustRightInd w:val="0"/>
        <w:snapToGrid w:val="0"/>
        <w:spacing w:line="360" w:lineRule="auto"/>
        <w:outlineLvl w:val="2"/>
        <w:rPr>
          <w:rFonts w:hint="eastAsia" w:ascii="Times New Roman" w:hAnsi="Times New Roman"/>
          <w:bCs/>
          <w:kern w:val="0"/>
          <w:sz w:val="24"/>
        </w:rPr>
      </w:pPr>
      <w:r>
        <w:rPr>
          <w:rFonts w:ascii="Times New Roman" w:hAnsi="Times New Roman"/>
          <w:b/>
          <w:bCs/>
          <w:kern w:val="0"/>
          <w:sz w:val="24"/>
        </w:rPr>
        <w:t>Supplementary Figure 1</w:t>
      </w:r>
      <w:r>
        <w:rPr>
          <w:rFonts w:hint="eastAsia" w:ascii="Times New Roman" w:hAnsi="Times New Roman"/>
          <w:bCs/>
          <w:kern w:val="0"/>
          <w:sz w:val="24"/>
        </w:rPr>
        <w:t xml:space="preserve">. </w:t>
      </w:r>
      <w:r>
        <w:rPr>
          <w:rFonts w:ascii="Times New Roman" w:hAnsi="Times New Roman"/>
          <w:bCs/>
          <w:kern w:val="0"/>
          <w:sz w:val="24"/>
        </w:rPr>
        <w:t xml:space="preserve">Dendrogram of </w:t>
      </w:r>
      <w:r>
        <w:rPr>
          <w:rFonts w:ascii="Times New Roman" w:hAnsi="Times New Roman"/>
          <w:bCs/>
          <w:i/>
          <w:iCs/>
          <w:kern w:val="0"/>
          <w:sz w:val="24"/>
        </w:rPr>
        <w:t>S</w:t>
      </w:r>
      <w:r>
        <w:rPr>
          <w:rFonts w:hint="eastAsia" w:ascii="Times New Roman" w:hAnsi="Times New Roman"/>
          <w:bCs/>
          <w:i/>
          <w:iCs/>
          <w:kern w:val="0"/>
          <w:sz w:val="24"/>
        </w:rPr>
        <w:t>.</w:t>
      </w:r>
      <w:r>
        <w:rPr>
          <w:rFonts w:ascii="Times New Roman" w:hAnsi="Times New Roman"/>
          <w:bCs/>
          <w:i/>
          <w:iCs/>
          <w:kern w:val="0"/>
          <w:sz w:val="24"/>
        </w:rPr>
        <w:t xml:space="preserve"> suis</w:t>
      </w:r>
      <w:r>
        <w:rPr>
          <w:rFonts w:ascii="Times New Roman" w:hAnsi="Times New Roman"/>
          <w:bCs/>
          <w:kern w:val="0"/>
          <w:sz w:val="24"/>
        </w:rPr>
        <w:t xml:space="preserve"> isolates.</w:t>
      </w:r>
      <w:r>
        <w:rPr>
          <w:rFonts w:hint="eastAsia" w:ascii="Times New Roman" w:hAnsi="Times New Roman"/>
          <w:bCs/>
          <w:kern w:val="0"/>
          <w:sz w:val="24"/>
        </w:rPr>
        <w:t xml:space="preserve"> ST1005 (red) and main clonal complexes were illustrated. </w:t>
      </w:r>
    </w:p>
    <w:p>
      <w:pPr>
        <w:widowControl/>
        <w:adjustRightInd w:val="0"/>
        <w:snapToGrid w:val="0"/>
        <w:spacing w:line="360" w:lineRule="auto"/>
        <w:outlineLvl w:val="2"/>
        <w:rPr>
          <w:rFonts w:hint="eastAsia" w:ascii="Times New Roman" w:hAnsi="Times New Roman"/>
          <w:bCs/>
          <w:kern w:val="0"/>
          <w:sz w:val="24"/>
        </w:rPr>
      </w:pPr>
      <w:r>
        <w:rPr>
          <w:rFonts w:ascii="Times New Roman" w:hAnsi="Times New Roman"/>
          <w:b/>
          <w:bCs/>
          <w:kern w:val="0"/>
          <w:sz w:val="24"/>
        </w:rPr>
        <w:t xml:space="preserve">Supplementary Figure </w:t>
      </w:r>
      <w:r>
        <w:rPr>
          <w:rFonts w:hint="eastAsia" w:ascii="Times New Roman" w:hAnsi="Times New Roman"/>
          <w:b/>
          <w:bCs/>
          <w:kern w:val="0"/>
          <w:sz w:val="24"/>
        </w:rPr>
        <w:t>2</w:t>
      </w:r>
      <w:r>
        <w:rPr>
          <w:rFonts w:hint="eastAsia" w:ascii="Times New Roman" w:hAnsi="Times New Roman"/>
          <w:bCs/>
          <w:kern w:val="0"/>
          <w:sz w:val="24"/>
        </w:rPr>
        <w:t xml:space="preserve">. </w:t>
      </w:r>
      <w:r>
        <w:rPr>
          <w:rFonts w:hint="eastAsia" w:ascii="Times New Roman" w:hAnsi="Times New Roman"/>
          <w:bCs/>
          <w:kern w:val="0"/>
          <w:sz w:val="24"/>
          <w:lang w:val="en-US" w:eastAsia="zh-CN"/>
        </w:rPr>
        <w:t>c</w:t>
      </w:r>
      <w:r>
        <w:rPr>
          <w:rFonts w:hint="eastAsia" w:ascii="Times New Roman" w:hAnsi="Times New Roman"/>
          <w:bCs/>
          <w:kern w:val="0"/>
          <w:sz w:val="24"/>
        </w:rPr>
        <w:t>omparison</w:t>
      </w:r>
      <w:r>
        <w:rPr>
          <w:rFonts w:hint="eastAsia" w:ascii="Times New Roman" w:hAnsi="Times New Roman"/>
          <w:bCs/>
          <w:kern w:val="0"/>
          <w:sz w:val="24"/>
          <w:lang w:val="en-US" w:eastAsia="zh-CN"/>
        </w:rPr>
        <w:t xml:space="preserve"> </w:t>
      </w:r>
      <w:r>
        <w:rPr>
          <w:rFonts w:hint="eastAsia" w:ascii="Times New Roman" w:hAnsi="Times New Roman"/>
          <w:bCs/>
          <w:kern w:val="0"/>
          <w:sz w:val="24"/>
        </w:rPr>
        <w:t>of the biofilm formation ability</w:t>
      </w:r>
      <w:r>
        <w:rPr>
          <w:rFonts w:hint="eastAsia" w:ascii="Times New Roman" w:hAnsi="Times New Roman"/>
          <w:bCs/>
          <w:kern w:val="0"/>
          <w:sz w:val="24"/>
          <w:lang w:val="en-US" w:eastAsia="zh-CN"/>
        </w:rPr>
        <w:t xml:space="preserve"> of </w:t>
      </w:r>
      <w:r>
        <w:rPr>
          <w:rFonts w:hint="eastAsia" w:ascii="Times New Roman" w:hAnsi="Times New Roman"/>
          <w:bCs/>
          <w:kern w:val="0"/>
          <w:sz w:val="24"/>
        </w:rPr>
        <w:t>LSM178</w:t>
      </w:r>
      <w:r>
        <w:rPr>
          <w:rFonts w:hint="eastAsia" w:ascii="Times New Roman" w:hAnsi="Times New Roman"/>
          <w:bCs/>
          <w:kern w:val="0"/>
          <w:sz w:val="24"/>
          <w:lang w:val="en-US" w:eastAsia="zh-CN"/>
        </w:rPr>
        <w:t>, SC19 and P1/7.</w:t>
      </w:r>
      <w:r>
        <w:rPr>
          <w:rFonts w:hint="eastAsia" w:ascii="Times New Roman" w:hAnsi="Times New Roman"/>
          <w:bCs/>
          <w:kern w:val="0"/>
          <w:sz w:val="24"/>
        </w:rPr>
        <w:t xml:space="preserve"> P＜0.05 </w:t>
      </w:r>
      <w:r>
        <w:rPr>
          <w:rFonts w:hint="eastAsia" w:ascii="Times New Roman" w:hAnsi="Times New Roman"/>
          <w:bCs/>
          <w:kern w:val="0"/>
          <w:sz w:val="24"/>
        </w:rPr>
        <w:softHyphen/>
      </w:r>
      <w:r>
        <w:rPr>
          <w:rFonts w:hint="eastAsia" w:ascii="Times New Roman" w:hAnsi="Times New Roman"/>
          <w:bCs/>
          <w:kern w:val="0"/>
          <w:sz w:val="24"/>
        </w:rPr>
        <w:t xml:space="preserve">*, P＜0.01 </w:t>
      </w:r>
      <w:r>
        <w:rPr>
          <w:rFonts w:hint="eastAsia" w:ascii="Times New Roman" w:hAnsi="Times New Roman"/>
          <w:bCs/>
          <w:kern w:val="0"/>
          <w:sz w:val="24"/>
        </w:rPr>
        <w:softHyphen/>
      </w:r>
      <w:r>
        <w:rPr>
          <w:rFonts w:hint="eastAsia" w:ascii="Times New Roman" w:hAnsi="Times New Roman"/>
          <w:bCs/>
          <w:kern w:val="0"/>
          <w:sz w:val="24"/>
        </w:rPr>
        <w:t>**.</w:t>
      </w:r>
      <w:bookmarkStart w:id="0" w:name="_GoBack"/>
      <w:bookmarkEnd w:id="0"/>
    </w:p>
    <w:p>
      <w:pPr>
        <w:widowControl/>
        <w:adjustRightInd w:val="0"/>
        <w:snapToGrid w:val="0"/>
        <w:spacing w:line="360" w:lineRule="auto"/>
        <w:outlineLvl w:val="2"/>
        <w:rPr>
          <w:rFonts w:ascii="Times New Roman" w:hAnsi="Times New Roman"/>
          <w:bCs/>
          <w:kern w:val="0"/>
          <w:sz w:val="24"/>
          <w:highlight w:val="none"/>
        </w:rPr>
      </w:pPr>
      <w:r>
        <w:rPr>
          <w:rFonts w:ascii="Times New Roman" w:hAnsi="Times New Roman"/>
          <w:b/>
          <w:bCs/>
          <w:kern w:val="0"/>
          <w:sz w:val="24"/>
        </w:rPr>
        <w:t xml:space="preserve">Supplementary Figure </w:t>
      </w:r>
      <w:r>
        <w:rPr>
          <w:rFonts w:hint="eastAsia" w:ascii="Times New Roman" w:hAnsi="Times New Roman"/>
          <w:b/>
          <w:bCs/>
          <w:kern w:val="0"/>
          <w:sz w:val="24"/>
        </w:rPr>
        <w:t>3</w:t>
      </w:r>
      <w:r>
        <w:rPr>
          <w:rFonts w:hint="eastAsia" w:ascii="Times New Roman" w:hAnsi="Times New Roman"/>
          <w:bCs/>
          <w:kern w:val="0"/>
          <w:sz w:val="24"/>
        </w:rPr>
        <w:t>.</w:t>
      </w:r>
      <w:r>
        <w:rPr>
          <w:rFonts w:ascii="Times New Roman" w:hAnsi="Times New Roman"/>
          <w:bCs/>
          <w:kern w:val="0"/>
          <w:sz w:val="24"/>
        </w:rPr>
        <w:t xml:space="preserve"> Alignment of the </w:t>
      </w:r>
      <w:r>
        <w:rPr>
          <w:rFonts w:hint="eastAsia" w:ascii="Times New Roman" w:hAnsi="Times New Roman"/>
          <w:bCs/>
          <w:kern w:val="0"/>
          <w:sz w:val="24"/>
        </w:rPr>
        <w:t>PBPs of</w:t>
      </w:r>
      <w:r>
        <w:rPr>
          <w:rFonts w:ascii="Times New Roman" w:hAnsi="Times New Roman"/>
          <w:bCs/>
          <w:kern w:val="0"/>
          <w:sz w:val="24"/>
        </w:rPr>
        <w:t xml:space="preserve"> LSM178 with th</w:t>
      </w:r>
      <w:r>
        <w:rPr>
          <w:rFonts w:hint="eastAsia" w:ascii="Times New Roman" w:hAnsi="Times New Roman"/>
          <w:bCs/>
          <w:kern w:val="0"/>
          <w:sz w:val="24"/>
          <w:lang w:val="en-US" w:eastAsia="zh-CN"/>
        </w:rPr>
        <w:t>ose</w:t>
      </w:r>
      <w:r>
        <w:rPr>
          <w:rFonts w:ascii="Times New Roman" w:hAnsi="Times New Roman"/>
          <w:bCs/>
          <w:kern w:val="0"/>
          <w:sz w:val="24"/>
        </w:rPr>
        <w:t xml:space="preserve"> </w:t>
      </w:r>
      <w:r>
        <w:rPr>
          <w:rFonts w:hint="eastAsia" w:ascii="Times New Roman" w:hAnsi="Times New Roman"/>
          <w:bCs/>
          <w:kern w:val="0"/>
          <w:sz w:val="24"/>
        </w:rPr>
        <w:t>of</w:t>
      </w:r>
      <w:r>
        <w:rPr>
          <w:rFonts w:ascii="Times New Roman" w:hAnsi="Times New Roman"/>
          <w:bCs/>
          <w:kern w:val="0"/>
          <w:sz w:val="24"/>
        </w:rPr>
        <w:t xml:space="preserve"> A7 and R61. </w:t>
      </w:r>
      <w:r>
        <w:rPr>
          <w:rFonts w:hint="eastAsia" w:ascii="Times New Roman" w:hAnsi="Times New Roman"/>
          <w:bCs/>
          <w:kern w:val="0"/>
          <w:sz w:val="24"/>
        </w:rPr>
        <w:t xml:space="preserve">A-E represented </w:t>
      </w:r>
      <w:r>
        <w:rPr>
          <w:rFonts w:ascii="Times New Roman" w:hAnsi="Times New Roman"/>
          <w:bCs/>
          <w:kern w:val="0"/>
          <w:sz w:val="24"/>
        </w:rPr>
        <w:t>PBP1b (00760), PBP1a (02025</w:t>
      </w:r>
      <w:r>
        <w:rPr>
          <w:rFonts w:hint="eastAsia" w:ascii="Times New Roman" w:hAnsi="Times New Roman"/>
          <w:bCs/>
          <w:kern w:val="0"/>
          <w:sz w:val="24"/>
        </w:rPr>
        <w:t xml:space="preserve">), </w:t>
      </w:r>
      <w:r>
        <w:rPr>
          <w:rFonts w:ascii="Times New Roman" w:hAnsi="Times New Roman"/>
          <w:bCs/>
          <w:kern w:val="0"/>
          <w:sz w:val="24"/>
        </w:rPr>
        <w:t xml:space="preserve">PBP1a </w:t>
      </w:r>
      <w:r>
        <w:rPr>
          <w:rFonts w:hint="eastAsia" w:ascii="Times New Roman" w:hAnsi="Times New Roman"/>
          <w:bCs/>
          <w:kern w:val="0"/>
          <w:sz w:val="24"/>
        </w:rPr>
        <w:t>(</w:t>
      </w:r>
      <w:r>
        <w:rPr>
          <w:rFonts w:ascii="Times New Roman" w:hAnsi="Times New Roman"/>
          <w:bCs/>
          <w:kern w:val="0"/>
          <w:sz w:val="24"/>
        </w:rPr>
        <w:t>09665), PBP2b (03000) and PBP2x (08260)</w:t>
      </w:r>
      <w:r>
        <w:rPr>
          <w:rFonts w:hint="eastAsia" w:ascii="Times New Roman" w:hAnsi="Times New Roman"/>
          <w:bCs/>
          <w:kern w:val="0"/>
          <w:sz w:val="24"/>
        </w:rPr>
        <w:t xml:space="preserve"> respectively.</w:t>
      </w:r>
    </w:p>
    <w:p>
      <w:pPr>
        <w:widowControl/>
        <w:adjustRightInd w:val="0"/>
        <w:snapToGrid w:val="0"/>
        <w:spacing w:line="360" w:lineRule="auto"/>
        <w:outlineLvl w:val="2"/>
        <w:rPr>
          <w:rFonts w:ascii="Times New Roman" w:hAnsi="Times New Roman"/>
          <w:bCs/>
          <w:strike w:val="0"/>
          <w:kern w:val="0"/>
          <w:sz w:val="24"/>
          <w:highlight w:val="none"/>
        </w:rPr>
      </w:pPr>
      <w:r>
        <w:rPr>
          <w:rFonts w:ascii="Times New Roman" w:hAnsi="Times New Roman"/>
          <w:b/>
          <w:bCs/>
          <w:strike w:val="0"/>
          <w:kern w:val="0"/>
          <w:sz w:val="24"/>
          <w:highlight w:val="none"/>
        </w:rPr>
        <w:t xml:space="preserve">Supplementary Figure </w:t>
      </w:r>
      <w:r>
        <w:rPr>
          <w:rFonts w:hint="eastAsia" w:ascii="Times New Roman" w:hAnsi="Times New Roman"/>
          <w:b/>
          <w:bCs/>
          <w:strike w:val="0"/>
          <w:kern w:val="0"/>
          <w:sz w:val="24"/>
          <w:highlight w:val="none"/>
          <w:lang w:val="en-US" w:eastAsia="zh-CN"/>
        </w:rPr>
        <w:t>4</w:t>
      </w:r>
      <w:r>
        <w:rPr>
          <w:rFonts w:hint="eastAsia" w:ascii="Times New Roman" w:hAnsi="Times New Roman"/>
          <w:bCs/>
          <w:strike w:val="0"/>
          <w:kern w:val="0"/>
          <w:sz w:val="24"/>
          <w:highlight w:val="none"/>
        </w:rPr>
        <w:t>.</w:t>
      </w:r>
      <w:r>
        <w:rPr>
          <w:rFonts w:hint="eastAsia" w:ascii="Times New Roman" w:hAnsi="Times New Roman"/>
          <w:bCs/>
          <w:strike w:val="0"/>
          <w:kern w:val="0"/>
          <w:sz w:val="24"/>
          <w:highlight w:val="none"/>
          <w:lang w:val="en-US" w:eastAsia="zh-CN"/>
        </w:rPr>
        <w:t xml:space="preserve"> </w:t>
      </w:r>
      <w:r>
        <w:rPr>
          <w:rFonts w:ascii="Times New Roman" w:hAnsi="Times New Roman"/>
          <w:bCs/>
          <w:kern w:val="0"/>
          <w:sz w:val="24"/>
        </w:rPr>
        <w:t>Alignment of GyrA and ParC from the LSM178 with th</w:t>
      </w:r>
      <w:r>
        <w:rPr>
          <w:rFonts w:hint="eastAsia" w:ascii="Times New Roman" w:hAnsi="Times New Roman"/>
          <w:bCs/>
          <w:kern w:val="0"/>
          <w:sz w:val="24"/>
          <w:lang w:val="en-US" w:eastAsia="zh-CN"/>
        </w:rPr>
        <w:t>ose</w:t>
      </w:r>
      <w:r>
        <w:rPr>
          <w:rFonts w:ascii="Times New Roman" w:hAnsi="Times New Roman"/>
          <w:bCs/>
          <w:kern w:val="0"/>
          <w:sz w:val="24"/>
        </w:rPr>
        <w:t xml:space="preserve"> </w:t>
      </w:r>
      <w:r>
        <w:rPr>
          <w:rFonts w:ascii="Times New Roman" w:hAnsi="Times New Roman"/>
          <w:bCs/>
          <w:kern w:val="0"/>
          <w:sz w:val="24"/>
          <w:highlight w:val="none"/>
        </w:rPr>
        <w:t>from quinolone-sensitive strains (A7, BM407, P1/7 and SC84).</w:t>
      </w:r>
    </w:p>
    <w:p>
      <w:pPr>
        <w:widowControl/>
        <w:adjustRightInd w:val="0"/>
        <w:snapToGrid w:val="0"/>
        <w:spacing w:line="360" w:lineRule="auto"/>
        <w:outlineLvl w:val="2"/>
        <w:rPr>
          <w:rFonts w:ascii="Times New Roman" w:hAnsi="Times New Roman"/>
          <w:bCs/>
          <w:strike w:val="0"/>
          <w:kern w:val="0"/>
          <w:sz w:val="24"/>
          <w:highlight w:val="none"/>
        </w:rPr>
      </w:pPr>
      <w:r>
        <w:rPr>
          <w:rFonts w:ascii="Times New Roman" w:hAnsi="Times New Roman"/>
          <w:b/>
          <w:bCs/>
          <w:strike w:val="0"/>
          <w:kern w:val="0"/>
          <w:sz w:val="24"/>
          <w:highlight w:val="none"/>
        </w:rPr>
        <w:t xml:space="preserve">Supplementary Figure </w:t>
      </w:r>
      <w:r>
        <w:rPr>
          <w:rFonts w:hint="eastAsia" w:ascii="Times New Roman" w:hAnsi="Times New Roman"/>
          <w:b/>
          <w:bCs/>
          <w:strike w:val="0"/>
          <w:kern w:val="0"/>
          <w:sz w:val="24"/>
          <w:highlight w:val="none"/>
          <w:lang w:val="en-US" w:eastAsia="zh-CN"/>
        </w:rPr>
        <w:t>5</w:t>
      </w:r>
      <w:r>
        <w:rPr>
          <w:rFonts w:hint="eastAsia" w:ascii="Times New Roman" w:hAnsi="Times New Roman"/>
          <w:bCs/>
          <w:strike w:val="0"/>
          <w:kern w:val="0"/>
          <w:sz w:val="24"/>
          <w:highlight w:val="none"/>
        </w:rPr>
        <w:t>.</w:t>
      </w:r>
      <w:r>
        <w:rPr>
          <w:rFonts w:ascii="Times New Roman" w:hAnsi="Times New Roman"/>
          <w:bCs/>
          <w:strike w:val="0"/>
          <w:kern w:val="0"/>
          <w:sz w:val="24"/>
          <w:highlight w:val="none"/>
        </w:rPr>
        <w:t xml:space="preserve"> (</w:t>
      </w:r>
      <w:r>
        <w:rPr>
          <w:rFonts w:hint="eastAsia" w:ascii="Times New Roman" w:hAnsi="Times New Roman"/>
          <w:bCs/>
          <w:strike w:val="0"/>
          <w:kern w:val="0"/>
          <w:sz w:val="24"/>
          <w:highlight w:val="none"/>
          <w:lang w:val="en-US" w:eastAsia="zh-CN"/>
        </w:rPr>
        <w:t>A</w:t>
      </w:r>
      <w:r>
        <w:rPr>
          <w:rFonts w:ascii="Times New Roman" w:hAnsi="Times New Roman"/>
          <w:bCs/>
          <w:strike w:val="0"/>
          <w:kern w:val="0"/>
          <w:sz w:val="24"/>
          <w:highlight w:val="none"/>
        </w:rPr>
        <w:t>)</w:t>
      </w:r>
      <w:r>
        <w:rPr>
          <w:rFonts w:hint="eastAsia" w:ascii="Times New Roman" w:hAnsi="Times New Roman"/>
          <w:bCs/>
          <w:strike w:val="0"/>
          <w:kern w:val="0"/>
          <w:sz w:val="24"/>
          <w:highlight w:val="none"/>
        </w:rPr>
        <w:t xml:space="preserve"> </w:t>
      </w:r>
      <w:r>
        <w:rPr>
          <w:rFonts w:ascii="Times New Roman" w:hAnsi="Times New Roman"/>
          <w:bCs/>
          <w:strike w:val="0"/>
          <w:kern w:val="0"/>
          <w:sz w:val="24"/>
          <w:highlight w:val="none"/>
        </w:rPr>
        <w:t xml:space="preserve">Venn diagram of </w:t>
      </w:r>
      <w:r>
        <w:rPr>
          <w:rFonts w:hint="eastAsia" w:ascii="Times New Roman" w:hAnsi="Times New Roman"/>
          <w:bCs/>
          <w:strike w:val="0"/>
          <w:kern w:val="0"/>
          <w:sz w:val="24"/>
          <w:highlight w:val="none"/>
        </w:rPr>
        <w:t xml:space="preserve">the extracted </w:t>
      </w:r>
      <w:r>
        <w:rPr>
          <w:rFonts w:ascii="Times New Roman" w:hAnsi="Times New Roman"/>
          <w:bCs/>
          <w:strike w:val="0"/>
          <w:kern w:val="0"/>
          <w:sz w:val="24"/>
          <w:highlight w:val="none"/>
        </w:rPr>
        <w:t xml:space="preserve">genes </w:t>
      </w:r>
      <w:r>
        <w:rPr>
          <w:rFonts w:hint="eastAsia" w:ascii="Times New Roman" w:hAnsi="Times New Roman"/>
          <w:bCs/>
          <w:strike w:val="0"/>
          <w:kern w:val="0"/>
          <w:sz w:val="24"/>
          <w:highlight w:val="none"/>
        </w:rPr>
        <w:t>of</w:t>
      </w:r>
      <w:r>
        <w:rPr>
          <w:rFonts w:ascii="Times New Roman" w:hAnsi="Times New Roman"/>
          <w:bCs/>
          <w:strike w:val="0"/>
          <w:kern w:val="0"/>
          <w:sz w:val="24"/>
          <w:highlight w:val="none"/>
        </w:rPr>
        <w:t xml:space="preserve"> </w:t>
      </w:r>
      <w:r>
        <w:rPr>
          <w:rFonts w:hint="eastAsia" w:ascii="Times New Roman" w:hAnsi="Times New Roman"/>
          <w:bCs/>
          <w:strike w:val="0"/>
          <w:kern w:val="0"/>
          <w:sz w:val="24"/>
          <w:highlight w:val="none"/>
        </w:rPr>
        <w:t>T15 in relative to each strain from GZ1-branch.</w:t>
      </w:r>
      <w:r>
        <w:rPr>
          <w:rFonts w:ascii="Times New Roman" w:hAnsi="Times New Roman"/>
          <w:bCs/>
          <w:strike w:val="0"/>
          <w:kern w:val="0"/>
          <w:sz w:val="24"/>
          <w:highlight w:val="none"/>
        </w:rPr>
        <w:t xml:space="preserve"> </w:t>
      </w:r>
      <w:r>
        <w:rPr>
          <w:rFonts w:hint="eastAsia" w:ascii="Times New Roman" w:hAnsi="Times New Roman"/>
          <w:bCs/>
          <w:strike w:val="0"/>
          <w:kern w:val="0"/>
          <w:sz w:val="24"/>
          <w:highlight w:val="none"/>
        </w:rPr>
        <w:t>The overlap was named core avirulence genes. (</w:t>
      </w:r>
      <w:r>
        <w:rPr>
          <w:rFonts w:hint="eastAsia" w:ascii="Times New Roman" w:hAnsi="Times New Roman"/>
          <w:bCs/>
          <w:strike w:val="0"/>
          <w:kern w:val="0"/>
          <w:sz w:val="24"/>
          <w:highlight w:val="none"/>
          <w:lang w:val="en-US" w:eastAsia="zh-CN"/>
        </w:rPr>
        <w:t>B</w:t>
      </w:r>
      <w:r>
        <w:rPr>
          <w:rFonts w:hint="eastAsia" w:ascii="Times New Roman" w:hAnsi="Times New Roman"/>
          <w:bCs/>
          <w:strike w:val="0"/>
          <w:kern w:val="0"/>
          <w:sz w:val="24"/>
          <w:highlight w:val="none"/>
        </w:rPr>
        <w:t xml:space="preserve">) The location of </w:t>
      </w:r>
      <w:r>
        <w:rPr>
          <w:rFonts w:ascii="Times New Roman" w:hAnsi="Times New Roman"/>
          <w:bCs/>
          <w:strike w:val="0"/>
          <w:kern w:val="0"/>
          <w:sz w:val="24"/>
          <w:highlight w:val="none"/>
        </w:rPr>
        <w:t>GIs</w:t>
      </w:r>
      <w:r>
        <w:rPr>
          <w:rFonts w:hint="eastAsia" w:ascii="Times New Roman" w:hAnsi="Times New Roman"/>
          <w:bCs/>
          <w:strike w:val="0"/>
          <w:kern w:val="0"/>
          <w:sz w:val="24"/>
          <w:highlight w:val="none"/>
          <w:lang w:val="en-US" w:eastAsia="zh-CN"/>
        </w:rPr>
        <w:t xml:space="preserve"> (</w:t>
      </w:r>
      <w:r>
        <w:rPr>
          <w:rFonts w:hint="eastAsia" w:ascii="Times New Roman" w:hAnsi="Times New Roman"/>
          <w:bCs/>
          <w:strike w:val="0"/>
          <w:kern w:val="0"/>
          <w:sz w:val="24"/>
          <w:highlight w:val="none"/>
        </w:rPr>
        <w:t>blue</w:t>
      </w:r>
      <w:r>
        <w:rPr>
          <w:rFonts w:hint="eastAsia" w:ascii="Times New Roman" w:hAnsi="Times New Roman"/>
          <w:bCs/>
          <w:strike w:val="0"/>
          <w:kern w:val="0"/>
          <w:sz w:val="24"/>
          <w:highlight w:val="none"/>
          <w:lang w:val="en-US" w:eastAsia="zh-CN"/>
        </w:rPr>
        <w:t xml:space="preserve">) and </w:t>
      </w:r>
      <w:r>
        <w:rPr>
          <w:rFonts w:hint="eastAsia" w:ascii="Times New Roman" w:hAnsi="Times New Roman"/>
          <w:bCs/>
          <w:strike w:val="0"/>
          <w:kern w:val="0"/>
          <w:sz w:val="24"/>
          <w:highlight w:val="none"/>
        </w:rPr>
        <w:t>core avirulence genes</w:t>
      </w:r>
      <w:r>
        <w:rPr>
          <w:rFonts w:hint="eastAsia" w:ascii="Times New Roman" w:hAnsi="Times New Roman"/>
          <w:bCs/>
          <w:strike w:val="0"/>
          <w:kern w:val="0"/>
          <w:sz w:val="24"/>
          <w:highlight w:val="none"/>
          <w:lang w:val="en-US" w:eastAsia="zh-CN"/>
        </w:rPr>
        <w:t xml:space="preserve"> (</w:t>
      </w:r>
      <w:r>
        <w:rPr>
          <w:rFonts w:hint="eastAsia" w:ascii="Times New Roman" w:hAnsi="Times New Roman"/>
          <w:bCs/>
          <w:strike w:val="0"/>
          <w:kern w:val="0"/>
          <w:sz w:val="24"/>
          <w:highlight w:val="none"/>
        </w:rPr>
        <w:t>black</w:t>
      </w:r>
      <w:r>
        <w:rPr>
          <w:rFonts w:hint="eastAsia" w:ascii="Times New Roman" w:hAnsi="Times New Roman"/>
          <w:bCs/>
          <w:strike w:val="0"/>
          <w:kern w:val="0"/>
          <w:sz w:val="24"/>
          <w:highlight w:val="none"/>
          <w:lang w:val="en-US" w:eastAsia="zh-CN"/>
        </w:rPr>
        <w:t>)</w:t>
      </w:r>
      <w:r>
        <w:rPr>
          <w:rFonts w:hint="eastAsia" w:ascii="Times New Roman" w:hAnsi="Times New Roman"/>
          <w:bCs/>
          <w:strike w:val="0"/>
          <w:kern w:val="0"/>
          <w:sz w:val="24"/>
          <w:highlight w:val="none"/>
        </w:rPr>
        <w:t xml:space="preserve"> in T15 g</w:t>
      </w:r>
      <w:r>
        <w:rPr>
          <w:rFonts w:ascii="Times New Roman" w:hAnsi="Times New Roman"/>
          <w:bCs/>
          <w:strike w:val="0"/>
          <w:kern w:val="0"/>
          <w:sz w:val="24"/>
          <w:highlight w:val="none"/>
        </w:rPr>
        <w:t>enome.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EF2825"/>
    <w:rsid w:val="13F346C7"/>
    <w:rsid w:val="44EF2825"/>
    <w:rsid w:val="536C7419"/>
    <w:rsid w:val="7EBF6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2021-05-31T13:29:00Z</dcterms:created>
  <dc:creator>F.S.M</dc:creator>
  <cp:lastModifiedBy>F.S.M</cp:lastModifiedBy>
  <dcterms:modified xsi:type="dcterms:W3CDTF">2021-06-11T05:39:55Z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B49C90D8B7B344D6AACBEE0768BDEA65</vt:lpwstr>
  </property>
</Properties>
</file>