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F7E38" w14:textId="77777777" w:rsidR="003E0A92" w:rsidRDefault="00000000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Supplementary Figures and Tables</w:t>
      </w:r>
    </w:p>
    <w:p w14:paraId="2EF9EA1C" w14:textId="77777777" w:rsidR="003E0A92" w:rsidRDefault="00000000">
      <w:pPr>
        <w:spacing w:after="120" w:line="360" w:lineRule="auto"/>
        <w:rPr>
          <w:rFonts w:ascii="Times New Roman" w:hAnsi="Times New Roman"/>
          <w:b/>
          <w:color w:val="C00000"/>
          <w:sz w:val="24"/>
          <w:szCs w:val="24"/>
        </w:rPr>
      </w:pPr>
      <w:r>
        <w:rPr>
          <w:rFonts w:ascii="Times New Roman" w:hAnsi="Times New Roman"/>
          <w:b/>
          <w:color w:val="C00000"/>
          <w:sz w:val="24"/>
          <w:szCs w:val="24"/>
        </w:rPr>
        <w:t xml:space="preserve">Supplementary Figures </w:t>
      </w:r>
    </w:p>
    <w:p w14:paraId="4496FDC0" w14:textId="77777777" w:rsidR="003E0A92" w:rsidRDefault="00000000">
      <w:pPr>
        <w:spacing w:after="120" w:line="360" w:lineRule="auto"/>
      </w:pPr>
      <w:r>
        <w:rPr>
          <w:rFonts w:ascii="Times New Roman" w:hAnsi="Times New Roman"/>
          <w:b/>
          <w:sz w:val="24"/>
          <w:szCs w:val="24"/>
        </w:rPr>
        <w:t>Supplementary Fig.1</w:t>
      </w:r>
      <w:r>
        <w:rPr>
          <w:rFonts w:ascii="Times New Roman" w:hAnsi="Times New Roman"/>
          <w:bCs/>
          <w:sz w:val="24"/>
          <w:szCs w:val="24"/>
        </w:rPr>
        <w:t xml:space="preserve">: Developing and optimizing POND-seq for profiling RBP targets in living cells, related to Fig.1. </w:t>
      </w:r>
    </w:p>
    <w:p w14:paraId="6F9196D3" w14:textId="77777777" w:rsidR="003E0A92" w:rsidRDefault="00000000">
      <w:pPr>
        <w:spacing w:after="120" w:line="360" w:lineRule="auto"/>
      </w:pPr>
      <w:r>
        <w:rPr>
          <w:rFonts w:ascii="Times New Roman" w:hAnsi="Times New Roman"/>
          <w:b/>
          <w:sz w:val="24"/>
          <w:szCs w:val="24"/>
        </w:rPr>
        <w:t>Supplementary Fig.2</w:t>
      </w:r>
      <w:r>
        <w:rPr>
          <w:rFonts w:ascii="Times New Roman" w:hAnsi="Times New Roman"/>
          <w:bCs/>
          <w:sz w:val="24"/>
          <w:szCs w:val="24"/>
        </w:rPr>
        <w:t xml:space="preserve">: PABPC1-POND-seq captures transcriptome in a non-destructive manner, related to Fig.2. </w:t>
      </w:r>
    </w:p>
    <w:p w14:paraId="3F5401F5" w14:textId="77777777" w:rsidR="003E0A92" w:rsidRDefault="00000000">
      <w:pPr>
        <w:spacing w:after="120" w:line="360" w:lineRule="auto"/>
      </w:pPr>
      <w:r>
        <w:rPr>
          <w:rFonts w:ascii="Times New Roman" w:hAnsi="Times New Roman"/>
          <w:b/>
          <w:sz w:val="24"/>
          <w:szCs w:val="24"/>
        </w:rPr>
        <w:t>Supplementary Fig.3</w:t>
      </w:r>
      <w:r>
        <w:rPr>
          <w:rFonts w:ascii="Times New Roman" w:hAnsi="Times New Roman"/>
          <w:bCs/>
          <w:sz w:val="24"/>
          <w:szCs w:val="24"/>
        </w:rPr>
        <w:t xml:space="preserve">: Functional dissection of RBP domains and residues by POND-seq, related to Fig.3. </w:t>
      </w:r>
    </w:p>
    <w:p w14:paraId="14DBDDA9" w14:textId="77777777" w:rsidR="003E0A92" w:rsidRDefault="00000000">
      <w:pPr>
        <w:spacing w:after="120" w:line="360" w:lineRule="auto"/>
      </w:pPr>
      <w:r>
        <w:rPr>
          <w:rFonts w:ascii="Times New Roman" w:hAnsi="Times New Roman"/>
          <w:b/>
          <w:sz w:val="24"/>
          <w:szCs w:val="24"/>
        </w:rPr>
        <w:t>Supplementary Fig.4</w:t>
      </w:r>
      <w:r>
        <w:rPr>
          <w:rFonts w:ascii="Times New Roman" w:hAnsi="Times New Roman"/>
          <w:bCs/>
          <w:sz w:val="24"/>
          <w:szCs w:val="24"/>
        </w:rPr>
        <w:t xml:space="preserve">: Large scale POND-seq screening identifies new pathogenic mutations in FMR1, related to Fig.4. </w:t>
      </w:r>
    </w:p>
    <w:p w14:paraId="51D36513" w14:textId="77777777" w:rsidR="003E0A92" w:rsidRDefault="00000000">
      <w:pPr>
        <w:spacing w:before="360" w:after="120" w:line="360" w:lineRule="auto"/>
        <w:rPr>
          <w:rFonts w:ascii="Times New Roman" w:hAnsi="Times New Roman"/>
          <w:b/>
          <w:color w:val="C00000"/>
          <w:sz w:val="24"/>
          <w:szCs w:val="24"/>
        </w:rPr>
      </w:pPr>
      <w:r>
        <w:rPr>
          <w:rFonts w:ascii="Times New Roman" w:hAnsi="Times New Roman"/>
          <w:b/>
          <w:color w:val="C00000"/>
          <w:sz w:val="24"/>
          <w:szCs w:val="24"/>
        </w:rPr>
        <w:t>Supplemental Tables</w:t>
      </w:r>
    </w:p>
    <w:p w14:paraId="35D96B16" w14:textId="77777777" w:rsidR="003E0A92" w:rsidRDefault="00000000">
      <w:pPr>
        <w:spacing w:line="360" w:lineRule="auto"/>
      </w:pPr>
      <w:r>
        <w:rPr>
          <w:rFonts w:ascii="Times New Roman" w:hAnsi="Times New Roman"/>
          <w:b/>
          <w:sz w:val="24"/>
          <w:szCs w:val="24"/>
        </w:rPr>
        <w:t>Supplementary Table 1:</w:t>
      </w:r>
      <w:r>
        <w:rPr>
          <w:rFonts w:ascii="Times New Roman" w:hAnsi="Times New Roman"/>
          <w:b/>
          <w:color w:val="0070C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8"/>
        </w:rPr>
        <w:t>Sequence of constructs, PCR and qPCR primers, related to Figs.1-4.</w:t>
      </w:r>
    </w:p>
    <w:p w14:paraId="70EDF505" w14:textId="77777777" w:rsidR="003E0A92" w:rsidRDefault="00000000">
      <w:pPr>
        <w:spacing w:line="360" w:lineRule="auto"/>
      </w:pPr>
      <w:r>
        <w:rPr>
          <w:rFonts w:ascii="Times New Roman" w:hAnsi="Times New Roman"/>
          <w:b/>
          <w:sz w:val="24"/>
          <w:szCs w:val="24"/>
        </w:rPr>
        <w:t>Supplementary Table 2:</w:t>
      </w:r>
      <w:r>
        <w:rPr>
          <w:rFonts w:ascii="Times New Roman" w:hAnsi="Times New Roman"/>
          <w:b/>
          <w:color w:val="0070C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8"/>
        </w:rPr>
        <w:t>POND-seq enrichment analysis results, related to Figs.1-4.</w:t>
      </w:r>
    </w:p>
    <w:p w14:paraId="73DDAC56" w14:textId="77777777" w:rsidR="003E0A92" w:rsidRDefault="003E0A92"/>
    <w:sectPr w:rsidR="003E0A92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D9872" w14:textId="77777777" w:rsidR="00902F58" w:rsidRDefault="00902F58">
      <w:r>
        <w:separator/>
      </w:r>
    </w:p>
  </w:endnote>
  <w:endnote w:type="continuationSeparator" w:id="0">
    <w:p w14:paraId="2B806988" w14:textId="77777777" w:rsidR="00902F58" w:rsidRDefault="00902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630AE" w14:textId="77777777" w:rsidR="00902F58" w:rsidRDefault="00902F58">
      <w:r>
        <w:rPr>
          <w:color w:val="000000"/>
        </w:rPr>
        <w:separator/>
      </w:r>
    </w:p>
  </w:footnote>
  <w:footnote w:type="continuationSeparator" w:id="0">
    <w:p w14:paraId="074709B8" w14:textId="77777777" w:rsidR="00902F58" w:rsidRDefault="00902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E0A92"/>
    <w:rsid w:val="00291CCB"/>
    <w:rsid w:val="003E0A92"/>
    <w:rsid w:val="00902F58"/>
    <w:rsid w:val="00CF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6494F"/>
  <w15:docId w15:val="{31514A55-3838-407E-B0DC-1306B065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after="0" w:line="240" w:lineRule="auto"/>
      <w:jc w:val="both"/>
    </w:pPr>
    <w:rPr>
      <w:rFonts w:eastAsia="Times New Roman"/>
      <w:sz w:val="21"/>
      <w:szCs w:val="22"/>
      <w:lang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/>
      <w:spacing w:before="360" w:after="80" w:line="276" w:lineRule="auto"/>
      <w:jc w:val="left"/>
      <w:outlineLvl w:val="0"/>
    </w:pPr>
    <w:rPr>
      <w:rFonts w:ascii="Aptos Display" w:hAnsi="Aptos Display"/>
      <w:color w:val="0F4761"/>
      <w:sz w:val="40"/>
      <w:szCs w:val="40"/>
      <w:lang w:eastAsia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1"/>
    </w:pPr>
    <w:rPr>
      <w:rFonts w:ascii="Aptos Display" w:hAnsi="Aptos Display"/>
      <w:color w:val="0F4761"/>
      <w:sz w:val="32"/>
      <w:szCs w:val="32"/>
      <w:lang w:eastAsia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2"/>
    </w:pPr>
    <w:rPr>
      <w:color w:val="0F4761"/>
      <w:sz w:val="28"/>
      <w:szCs w:val="28"/>
      <w:lang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3"/>
    </w:pPr>
    <w:rPr>
      <w:i/>
      <w:iCs/>
      <w:color w:val="0F4761"/>
      <w:sz w:val="24"/>
      <w:szCs w:val="24"/>
      <w:lang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4"/>
    </w:pPr>
    <w:rPr>
      <w:color w:val="0F4761"/>
      <w:sz w:val="24"/>
      <w:szCs w:val="24"/>
      <w:lang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widowControl/>
      <w:spacing w:before="40" w:line="276" w:lineRule="auto"/>
      <w:jc w:val="left"/>
      <w:outlineLvl w:val="5"/>
    </w:pPr>
    <w:rPr>
      <w:i/>
      <w:iCs/>
      <w:color w:val="595959"/>
      <w:sz w:val="24"/>
      <w:szCs w:val="24"/>
      <w:lang w:eastAsia="en-US"/>
    </w:rPr>
  </w:style>
  <w:style w:type="paragraph" w:styleId="Heading7">
    <w:name w:val="heading 7"/>
    <w:basedOn w:val="Normal"/>
    <w:next w:val="Normal"/>
    <w:pPr>
      <w:keepNext/>
      <w:keepLines/>
      <w:widowControl/>
      <w:spacing w:before="40" w:line="276" w:lineRule="auto"/>
      <w:jc w:val="left"/>
      <w:outlineLvl w:val="6"/>
    </w:pPr>
    <w:rPr>
      <w:color w:val="595959"/>
      <w:sz w:val="24"/>
      <w:szCs w:val="24"/>
      <w:lang w:eastAsia="en-US"/>
    </w:rPr>
  </w:style>
  <w:style w:type="paragraph" w:styleId="Heading8">
    <w:name w:val="heading 8"/>
    <w:basedOn w:val="Normal"/>
    <w:next w:val="Normal"/>
    <w:pPr>
      <w:keepNext/>
      <w:keepLines/>
      <w:widowControl/>
      <w:spacing w:line="276" w:lineRule="auto"/>
      <w:jc w:val="left"/>
      <w:outlineLvl w:val="7"/>
    </w:pPr>
    <w:rPr>
      <w:i/>
      <w:iCs/>
      <w:color w:val="272727"/>
      <w:sz w:val="24"/>
      <w:szCs w:val="24"/>
      <w:lang w:eastAsia="en-US"/>
    </w:rPr>
  </w:style>
  <w:style w:type="paragraph" w:styleId="Heading9">
    <w:name w:val="heading 9"/>
    <w:basedOn w:val="Normal"/>
    <w:next w:val="Normal"/>
    <w:pPr>
      <w:keepNext/>
      <w:keepLines/>
      <w:widowControl/>
      <w:spacing w:line="276" w:lineRule="auto"/>
      <w:jc w:val="left"/>
      <w:outlineLvl w:val="8"/>
    </w:pPr>
    <w:rPr>
      <w:color w:val="272727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widowControl/>
      <w:spacing w:after="80"/>
      <w:contextualSpacing/>
      <w:jc w:val="left"/>
    </w:pPr>
    <w:rPr>
      <w:rFonts w:ascii="Aptos Display" w:hAnsi="Aptos Display"/>
      <w:spacing w:val="-10"/>
      <w:sz w:val="56"/>
      <w:szCs w:val="56"/>
      <w:lang w:eastAsia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widowControl/>
      <w:spacing w:after="160" w:line="276" w:lineRule="auto"/>
      <w:jc w:val="left"/>
    </w:pPr>
    <w:rPr>
      <w:color w:val="595959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widowControl/>
      <w:spacing w:before="160" w:after="160" w:line="276" w:lineRule="auto"/>
      <w:jc w:val="center"/>
    </w:pPr>
    <w:rPr>
      <w:rFonts w:eastAsia="Aptos"/>
      <w:i/>
      <w:iCs/>
      <w:color w:val="404040"/>
      <w:sz w:val="24"/>
      <w:szCs w:val="24"/>
      <w:lang w:eastAsia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widowControl/>
      <w:spacing w:after="160" w:line="276" w:lineRule="auto"/>
      <w:ind w:left="720"/>
      <w:contextualSpacing/>
      <w:jc w:val="left"/>
    </w:pPr>
    <w:rPr>
      <w:rFonts w:eastAsia="Aptos"/>
      <w:sz w:val="24"/>
      <w:szCs w:val="24"/>
      <w:lang w:eastAsia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widowControl/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eastAsia="Aptos"/>
      <w:i/>
      <w:iCs/>
      <w:color w:val="0F4761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>Springer Nature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dc:description/>
  <cp:lastModifiedBy>Trupti Sudge</cp:lastModifiedBy>
  <cp:revision>2</cp:revision>
  <dcterms:created xsi:type="dcterms:W3CDTF">2025-03-26T05:48:00Z</dcterms:created>
  <dcterms:modified xsi:type="dcterms:W3CDTF">2025-03-26T05:48:00Z</dcterms:modified>
</cp:coreProperties>
</file>