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361D" w:rsidRPr="0013678F" w:rsidRDefault="00FE361D" w:rsidP="00FE361D">
      <w:pPr>
        <w:rPr>
          <w:rFonts w:ascii="Segoe UI" w:hAnsi="Segoe UI" w:cs="Segoe UI"/>
          <w:b/>
          <w:lang w:val="en-GB"/>
        </w:rPr>
      </w:pPr>
      <w:r>
        <w:rPr>
          <w:rFonts w:ascii="Segoe UI" w:hAnsi="Segoe UI" w:cs="Segoe UI"/>
          <w:noProof/>
          <w:lang w:val="en-GB" w:eastAsia="en-GB"/>
        </w:rPr>
        <w:drawing>
          <wp:anchor distT="0" distB="0" distL="114300" distR="114300" simplePos="0" relativeHeight="251663360" behindDoc="1" locked="0" layoutInCell="1" allowOverlap="1" wp14:anchorId="26474914" wp14:editId="17CB50D8">
            <wp:simplePos x="0" y="0"/>
            <wp:positionH relativeFrom="column">
              <wp:posOffset>-33020</wp:posOffset>
            </wp:positionH>
            <wp:positionV relativeFrom="paragraph">
              <wp:posOffset>290830</wp:posOffset>
            </wp:positionV>
            <wp:extent cx="5760720" cy="3240405"/>
            <wp:effectExtent l="0" t="0" r="0" b="0"/>
            <wp:wrapNone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MST+Gel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678F">
        <w:rPr>
          <w:rFonts w:ascii="Segoe UI" w:hAnsi="Segoe UI" w:cs="Segoe UI"/>
          <w:b/>
          <w:lang w:val="en-GB"/>
        </w:rPr>
        <w:t>Supplementary figures</w:t>
      </w:r>
    </w:p>
    <w:p w:rsidR="00FE361D" w:rsidRPr="0013678F" w:rsidRDefault="00FE361D" w:rsidP="00FE361D">
      <w:pPr>
        <w:rPr>
          <w:rFonts w:ascii="Segoe UI" w:hAnsi="Segoe UI" w:cs="Segoe UI"/>
          <w:b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  <w:r>
        <w:rPr>
          <w:rFonts w:ascii="Segoe UI" w:hAnsi="Segoe UI" w:cs="Segoe U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E93A5E" wp14:editId="2771286D">
                <wp:simplePos x="0" y="0"/>
                <wp:positionH relativeFrom="column">
                  <wp:posOffset>-4445</wp:posOffset>
                </wp:positionH>
                <wp:positionV relativeFrom="paragraph">
                  <wp:posOffset>114935</wp:posOffset>
                </wp:positionV>
                <wp:extent cx="5858510" cy="796925"/>
                <wp:effectExtent l="0" t="0" r="8890" b="3175"/>
                <wp:wrapNone/>
                <wp:docPr id="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8510" cy="79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361D" w:rsidRPr="00417199" w:rsidRDefault="00FE361D" w:rsidP="00FE361D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</w:pPr>
                            <w:r w:rsidRPr="00417199"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>Figure S1. Melt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>ing</w:t>
                            </w:r>
                            <w:r w:rsidRPr="00417199"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 curve and gel electrophoresis analysis of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primers for candidate </w:t>
                            </w:r>
                            <w:r w:rsidRPr="00417199"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reference genes. </w:t>
                            </w:r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Melt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ing</w:t>
                            </w:r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curve analysis was conducted during </w:t>
                            </w:r>
                            <w:proofErr w:type="spellStart"/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qRT</w:t>
                            </w:r>
                            <w:proofErr w:type="spellEnd"/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-PCR and amplicons were visualized in a 1.5% agarose gel.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E93A5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.35pt;margin-top:9.05pt;width:461.3pt;height:6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" stroked="f">
                <v:textbox>
                  <w:txbxContent>
                    <w:p w:rsidR="00FE361D" w:rsidRPr="00417199" w:rsidRDefault="00FE361D" w:rsidP="00FE361D">
                      <w:pPr>
                        <w:jc w:val="both"/>
                        <w:rPr>
                          <w:rFonts w:ascii="Segoe UI" w:hAnsi="Segoe UI" w:cs="Segoe UI"/>
                          <w:sz w:val="20"/>
                          <w:lang w:val="en-GB"/>
                        </w:rPr>
                      </w:pPr>
                      <w:r w:rsidRPr="00417199"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>Figure S1. Melt</w:t>
                      </w:r>
                      <w:r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>ing</w:t>
                      </w:r>
                      <w:r w:rsidRPr="00417199"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 curve and gel electrophoresis analysis of </w:t>
                      </w:r>
                      <w:r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primers for candidate </w:t>
                      </w:r>
                      <w:r w:rsidRPr="00417199"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reference genes. </w:t>
                      </w:r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Melt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ing</w:t>
                      </w:r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curve analysis was conducted during </w:t>
                      </w:r>
                      <w:proofErr w:type="spellStart"/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qRT</w:t>
                      </w:r>
                      <w:proofErr w:type="spellEnd"/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-PCR and amplicons were visualized in a 1.5% agarose gel. </w:t>
                      </w:r>
                    </w:p>
                  </w:txbxContent>
                </v:textbox>
              </v:shape>
            </w:pict>
          </mc:Fallback>
        </mc:AlternateContent>
      </w: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  <w:r>
        <w:rPr>
          <w:rFonts w:ascii="Segoe UI" w:hAnsi="Segoe UI" w:cs="Segoe UI"/>
          <w:noProof/>
          <w:lang w:val="en-GB" w:eastAsia="en-GB"/>
        </w:rPr>
        <w:lastRenderedPageBreak/>
        <w:drawing>
          <wp:anchor distT="0" distB="0" distL="114300" distR="114300" simplePos="0" relativeHeight="251664384" behindDoc="1" locked="0" layoutInCell="1" allowOverlap="1" wp14:anchorId="3B28B63D" wp14:editId="23E4176E">
            <wp:simplePos x="0" y="0"/>
            <wp:positionH relativeFrom="margin">
              <wp:align>right</wp:align>
            </wp:positionH>
            <wp:positionV relativeFrom="paragraph">
              <wp:posOffset>100941</wp:posOffset>
            </wp:positionV>
            <wp:extent cx="5760720" cy="2691765"/>
            <wp:effectExtent l="0" t="0" r="0" b="0"/>
            <wp:wrapNone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UBMED-sequence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91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  <w:r>
        <w:rPr>
          <w:rFonts w:ascii="Segoe UI" w:hAnsi="Segoe UI" w:cs="Segoe U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63A591" wp14:editId="09D34D8C">
                <wp:simplePos x="0" y="0"/>
                <wp:positionH relativeFrom="margin">
                  <wp:align>left</wp:align>
                </wp:positionH>
                <wp:positionV relativeFrom="paragraph">
                  <wp:posOffset>249579</wp:posOffset>
                </wp:positionV>
                <wp:extent cx="5858510" cy="796925"/>
                <wp:effectExtent l="0" t="0" r="8890" b="3175"/>
                <wp:wrapNone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8510" cy="79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361D" w:rsidRPr="00417199" w:rsidRDefault="00FE361D" w:rsidP="00FE361D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</w:pPr>
                            <w:r w:rsidRPr="00417199"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Figure S2. Sequencing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analysis </w:t>
                            </w:r>
                            <w:r w:rsidRPr="00417199"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of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PCR </w:t>
                            </w:r>
                            <w:r w:rsidRPr="00417199"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>amplicons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 for candidate </w:t>
                            </w:r>
                            <w:r w:rsidRPr="00417199"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reference genes. 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PCR</w:t>
                            </w:r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amplicons were purified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, </w:t>
                            </w:r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sequenced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and </w:t>
                            </w:r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aligned with the NCBI reference 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genes</w:t>
                            </w:r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to validate 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the specificity of primers</w:t>
                            </w:r>
                            <w:r w:rsidRPr="0041719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.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63A591" id="_x0000_s1027" type="#_x0000_t202" style="position:absolute;margin-left:0;margin-top:19.65pt;width:461.3pt;height:62.75p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" stroked="f">
                <v:textbox>
                  <w:txbxContent>
                    <w:p w:rsidR="00FE361D" w:rsidRPr="00417199" w:rsidRDefault="00FE361D" w:rsidP="00FE361D">
                      <w:pPr>
                        <w:jc w:val="both"/>
                        <w:rPr>
                          <w:rFonts w:ascii="Segoe UI" w:hAnsi="Segoe UI" w:cs="Segoe UI"/>
                          <w:sz w:val="20"/>
                          <w:lang w:val="en-GB"/>
                        </w:rPr>
                      </w:pPr>
                      <w:r w:rsidRPr="00417199"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Figure S2. Sequencing </w:t>
                      </w:r>
                      <w:r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analysis </w:t>
                      </w:r>
                      <w:r w:rsidRPr="00417199"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of </w:t>
                      </w:r>
                      <w:r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PCR </w:t>
                      </w:r>
                      <w:r w:rsidRPr="00417199"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>amplicons</w:t>
                      </w:r>
                      <w:r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 for candidate </w:t>
                      </w:r>
                      <w:r w:rsidRPr="00417199"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reference genes. 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PCR</w:t>
                      </w:r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amplicons were purified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, </w:t>
                      </w:r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sequenced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and </w:t>
                      </w:r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aligned with the NCBI reference 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genes</w:t>
                      </w:r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to validate 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the specificity of primers</w:t>
                      </w:r>
                      <w:r w:rsidRPr="0041719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.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ind w:firstLine="708"/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ind w:firstLine="708"/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  <w:r>
        <w:rPr>
          <w:rFonts w:ascii="Segoe UI" w:hAnsi="Segoe UI" w:cs="Segoe UI"/>
          <w:noProof/>
          <w:lang w:val="en-GB" w:eastAsia="en-GB"/>
        </w:rPr>
        <w:lastRenderedPageBreak/>
        <w:drawing>
          <wp:anchor distT="0" distB="0" distL="114300" distR="114300" simplePos="0" relativeHeight="251661312" behindDoc="0" locked="0" layoutInCell="1" allowOverlap="1" wp14:anchorId="0A52AB3D" wp14:editId="207FE791">
            <wp:simplePos x="0" y="0"/>
            <wp:positionH relativeFrom="column">
              <wp:posOffset>-90170</wp:posOffset>
            </wp:positionH>
            <wp:positionV relativeFrom="paragraph">
              <wp:posOffset>-166370</wp:posOffset>
            </wp:positionV>
            <wp:extent cx="5760720" cy="5614035"/>
            <wp:effectExtent l="0" t="0" r="0" b="0"/>
            <wp:wrapNone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tandard-curve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14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Pr="0013678F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  <w:r>
        <w:rPr>
          <w:rFonts w:ascii="Segoe UI" w:hAnsi="Segoe UI" w:cs="Segoe UI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E37AE5" wp14:editId="62EE989A">
                <wp:simplePos x="0" y="0"/>
                <wp:positionH relativeFrom="column">
                  <wp:posOffset>158897</wp:posOffset>
                </wp:positionH>
                <wp:positionV relativeFrom="paragraph">
                  <wp:posOffset>254244</wp:posOffset>
                </wp:positionV>
                <wp:extent cx="5924550" cy="866775"/>
                <wp:effectExtent l="0" t="0" r="0" b="9525"/>
                <wp:wrapNone/>
                <wp:docPr id="19" name="Textfeld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E361D" w:rsidRPr="00FA42F9" w:rsidRDefault="00FE361D" w:rsidP="00FE361D">
                            <w:pPr>
                              <w:jc w:val="both"/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</w:pPr>
                            <w:r w:rsidRPr="00FA42F9">
                              <w:rPr>
                                <w:rFonts w:ascii="Segoe UI" w:hAnsi="Segoe UI" w:cs="Segoe UI"/>
                                <w:b/>
                                <w:sz w:val="20"/>
                                <w:lang w:val="en-GB"/>
                              </w:rPr>
                              <w:t xml:space="preserve">Figure S3. Standard curves for candidate reference genes. </w:t>
                            </w:r>
                            <w:r w:rsidRPr="00FA42F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Standard curves were generated 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with</w:t>
                            </w:r>
                            <w:r w:rsidRPr="00FA42F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range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s</w:t>
                            </w:r>
                            <w:r w:rsidRPr="00FA42F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from</w:t>
                            </w:r>
                            <w:r w:rsidRPr="00FA42F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3 to 300,000 copies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and</w:t>
                            </w:r>
                            <w:r w:rsidRPr="00FA42F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the slopes and </w:t>
                            </w:r>
                            <w:r w:rsidRPr="00DC21D6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correlation coefficient (R</w:t>
                            </w:r>
                            <w:r w:rsidRPr="00DC21D6">
                              <w:rPr>
                                <w:rFonts w:ascii="Segoe UI" w:hAnsi="Segoe UI" w:cs="Segoe UI"/>
                                <w:sz w:val="20"/>
                                <w:vertAlign w:val="superscript"/>
                                <w:lang w:val="en-GB"/>
                              </w:rPr>
                              <w:t>2</w:t>
                            </w:r>
                            <w:r w:rsidRPr="00DC21D6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) </w:t>
                            </w:r>
                            <w:r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>were determined</w:t>
                            </w:r>
                            <w:r w:rsidRPr="00FA42F9">
                              <w:rPr>
                                <w:rFonts w:ascii="Segoe UI" w:hAnsi="Segoe UI" w:cs="Segoe UI"/>
                                <w:sz w:val="20"/>
                                <w:lang w:val="en-GB"/>
                              </w:rPr>
                              <w:t xml:space="preserve">.  </w:t>
                            </w:r>
                          </w:p>
                          <w:p w:rsidR="00FE361D" w:rsidRPr="00FA42F9" w:rsidRDefault="00FE361D" w:rsidP="00FE361D">
                            <w:pPr>
                              <w:jc w:val="both"/>
                              <w:rPr>
                                <w:rFonts w:ascii="Segoe UI" w:hAnsi="Segoe UI" w:cs="Segoe UI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E37AE5" id="Textfeld 19" o:spid="_x0000_s1028" type="#_x0000_t202" style="position:absolute;margin-left:12.5pt;margin-top:20pt;width:466.5pt;height:68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" fillcolor="white [3201]" stroked="f" strokeweight=".5pt">
                <v:textbox>
                  <w:txbxContent>
                    <w:p w:rsidR="00FE361D" w:rsidRPr="00FA42F9" w:rsidRDefault="00FE361D" w:rsidP="00FE361D">
                      <w:pPr>
                        <w:jc w:val="both"/>
                        <w:rPr>
                          <w:rFonts w:ascii="Segoe UI" w:hAnsi="Segoe UI" w:cs="Segoe UI"/>
                          <w:sz w:val="20"/>
                          <w:lang w:val="en-GB"/>
                        </w:rPr>
                      </w:pPr>
                      <w:r w:rsidRPr="00FA42F9">
                        <w:rPr>
                          <w:rFonts w:ascii="Segoe UI" w:hAnsi="Segoe UI" w:cs="Segoe UI"/>
                          <w:b/>
                          <w:sz w:val="20"/>
                          <w:lang w:val="en-GB"/>
                        </w:rPr>
                        <w:t xml:space="preserve">Figure S3. Standard curves for candidate reference genes. </w:t>
                      </w:r>
                      <w:r w:rsidRPr="00FA42F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Standard curves were generated 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with</w:t>
                      </w:r>
                      <w:r w:rsidRPr="00FA42F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range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s</w:t>
                      </w:r>
                      <w:r w:rsidRPr="00FA42F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from</w:t>
                      </w:r>
                      <w:r w:rsidRPr="00FA42F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3 to 300,000 copies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and</w:t>
                      </w:r>
                      <w:r w:rsidRPr="00FA42F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the slopes and </w:t>
                      </w:r>
                      <w:r w:rsidRPr="00DC21D6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correlation coefficient (R</w:t>
                      </w:r>
                      <w:r w:rsidRPr="00DC21D6">
                        <w:rPr>
                          <w:rFonts w:ascii="Segoe UI" w:hAnsi="Segoe UI" w:cs="Segoe UI"/>
                          <w:sz w:val="20"/>
                          <w:vertAlign w:val="superscript"/>
                          <w:lang w:val="en-GB"/>
                        </w:rPr>
                        <w:t>2</w:t>
                      </w:r>
                      <w:r w:rsidRPr="00DC21D6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) </w:t>
                      </w:r>
                      <w:r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>were determined</w:t>
                      </w:r>
                      <w:r w:rsidRPr="00FA42F9">
                        <w:rPr>
                          <w:rFonts w:ascii="Segoe UI" w:hAnsi="Segoe UI" w:cs="Segoe UI"/>
                          <w:sz w:val="20"/>
                          <w:lang w:val="en-GB"/>
                        </w:rPr>
                        <w:t xml:space="preserve">.  </w:t>
                      </w:r>
                    </w:p>
                    <w:p w:rsidR="00FE361D" w:rsidRPr="00FA42F9" w:rsidRDefault="00FE361D" w:rsidP="00FE361D">
                      <w:pPr>
                        <w:jc w:val="both"/>
                        <w:rPr>
                          <w:rFonts w:ascii="Segoe UI" w:hAnsi="Segoe UI" w:cs="Segoe UI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FE361D" w:rsidRDefault="00FE361D" w:rsidP="00FE361D">
      <w:pPr>
        <w:rPr>
          <w:rFonts w:ascii="Segoe UI" w:hAnsi="Segoe UI" w:cs="Segoe UI"/>
          <w:lang w:val="en-GB"/>
        </w:rPr>
      </w:pPr>
    </w:p>
    <w:p w:rsidR="00636684" w:rsidRDefault="00636684">
      <w:bookmarkStart w:id="0" w:name="_GoBack"/>
      <w:bookmarkEnd w:id="0"/>
    </w:p>
    <w:sectPr w:rsidR="0063668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61D"/>
    <w:rsid w:val="00636684"/>
    <w:rsid w:val="00FE3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57C796-87FF-470A-A693-8AC1D1DCB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361D"/>
    <w:rPr>
      <w:rFonts w:eastAsia="SimSun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Friedrich-Loeffler-Institut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Pei, Gang</dc:creator>
  <cp:keywords/>
  <dc:description/>
  <cp:lastModifiedBy>Pei, Gang</cp:lastModifiedBy>
  <cp:revision>1</cp:revision>
  <dcterms:created xsi:type="dcterms:W3CDTF">2021-06-09T08:23:00Z</dcterms:created>
  <dcterms:modified xsi:type="dcterms:W3CDTF">2021-06-09T08:34:00Z</dcterms:modified>
</cp:coreProperties>
</file>