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52123" w14:textId="5ADBD084" w:rsidR="008F7FCA" w:rsidRPr="001902E0" w:rsidRDefault="00F258E0" w:rsidP="001902E0">
      <w:pPr>
        <w:pStyle w:val="Heading1"/>
        <w:spacing w:line="360" w:lineRule="auto"/>
        <w:jc w:val="both"/>
        <w:rPr>
          <w:rFonts w:ascii="Arial" w:hAnsi="Arial" w:cs="Arial"/>
          <w:sz w:val="24"/>
          <w:szCs w:val="24"/>
        </w:rPr>
      </w:pPr>
      <w:r>
        <w:rPr>
          <w:rFonts w:ascii="Arial" w:hAnsi="Arial" w:cs="Arial"/>
          <w:sz w:val="24"/>
          <w:szCs w:val="24"/>
        </w:rPr>
        <w:t>Extended Data Figures</w:t>
      </w:r>
    </w:p>
    <w:p w14:paraId="683CBB19" w14:textId="77777777" w:rsidR="00D951DA" w:rsidRPr="001902E0" w:rsidRDefault="00D951DA" w:rsidP="00D951DA">
      <w:pPr>
        <w:spacing w:line="360" w:lineRule="auto"/>
        <w:jc w:val="both"/>
        <w:rPr>
          <w:rFonts w:ascii="Arial" w:hAnsi="Arial" w:cs="Arial"/>
          <w:sz w:val="24"/>
          <w:szCs w:val="24"/>
        </w:rPr>
      </w:pPr>
      <w:r w:rsidRPr="001902E0">
        <w:rPr>
          <w:rFonts w:ascii="Arial" w:hAnsi="Arial" w:cs="Arial"/>
          <w:noProof/>
          <w:sz w:val="24"/>
          <w:szCs w:val="24"/>
        </w:rPr>
        <w:drawing>
          <wp:inline distT="0" distB="0" distL="0" distR="0" wp14:anchorId="1A822F07" wp14:editId="786ECA01">
            <wp:extent cx="5724525" cy="4421766"/>
            <wp:effectExtent l="0" t="0" r="0" b="9525"/>
            <wp:docPr id="69665065"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5065" name="Picture 2" descr="A screenshot of a computer scree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24525" cy="4421766"/>
                    </a:xfrm>
                    <a:prstGeom prst="rect">
                      <a:avLst/>
                    </a:prstGeom>
                  </pic:spPr>
                </pic:pic>
              </a:graphicData>
            </a:graphic>
          </wp:inline>
        </w:drawing>
      </w:r>
    </w:p>
    <w:p w14:paraId="7CE28E83" w14:textId="77777777" w:rsidR="00D951DA" w:rsidRPr="001902E0" w:rsidRDefault="00D951DA" w:rsidP="00D951DA">
      <w:pPr>
        <w:spacing w:line="360" w:lineRule="auto"/>
        <w:rPr>
          <w:rFonts w:ascii="Arial" w:eastAsia="Arial" w:hAnsi="Arial" w:cs="Arial"/>
          <w:sz w:val="24"/>
          <w:szCs w:val="24"/>
        </w:rPr>
      </w:pPr>
      <w:r w:rsidRPr="001902E0">
        <w:rPr>
          <w:rFonts w:ascii="Arial" w:eastAsia="Arial" w:hAnsi="Arial" w:cs="Arial"/>
          <w:b/>
          <w:bCs/>
          <w:sz w:val="24"/>
          <w:szCs w:val="24"/>
        </w:rPr>
        <w:t xml:space="preserve">Extended Data Figure </w:t>
      </w:r>
      <w:r>
        <w:rPr>
          <w:rFonts w:ascii="Arial" w:eastAsia="Arial" w:hAnsi="Arial" w:cs="Arial"/>
          <w:b/>
          <w:bCs/>
          <w:sz w:val="24"/>
          <w:szCs w:val="24"/>
        </w:rPr>
        <w:t>1</w:t>
      </w:r>
      <w:r w:rsidRPr="001902E0">
        <w:rPr>
          <w:rFonts w:ascii="Arial" w:eastAsia="Arial" w:hAnsi="Arial" w:cs="Arial"/>
          <w:b/>
          <w:bCs/>
          <w:sz w:val="24"/>
          <w:szCs w:val="24"/>
        </w:rPr>
        <w:t>.</w:t>
      </w:r>
      <w:r w:rsidRPr="001902E0">
        <w:rPr>
          <w:rFonts w:ascii="Arial" w:eastAsia="Arial" w:hAnsi="Arial" w:cs="Arial"/>
          <w:sz w:val="24"/>
          <w:szCs w:val="24"/>
        </w:rPr>
        <w:t xml:space="preserve"> </w:t>
      </w:r>
      <w:r w:rsidRPr="002D16D3">
        <w:rPr>
          <w:rFonts w:ascii="Arial" w:eastAsia="Arial" w:hAnsi="Arial" w:cs="Arial"/>
          <w:i/>
          <w:iCs/>
          <w:sz w:val="24"/>
          <w:szCs w:val="24"/>
        </w:rPr>
        <w:t>A. fumigatus</w:t>
      </w:r>
      <w:r w:rsidRPr="001902E0">
        <w:rPr>
          <w:rFonts w:ascii="Arial" w:eastAsia="Arial" w:hAnsi="Arial" w:cs="Arial"/>
          <w:sz w:val="24"/>
          <w:szCs w:val="24"/>
        </w:rPr>
        <w:t xml:space="preserve"> A1163 Noncoding RNA candidates predicted by automated pipeline. </w:t>
      </w:r>
      <w:r w:rsidRPr="002D16D3">
        <w:rPr>
          <w:rFonts w:ascii="Arial" w:eastAsia="Arial" w:hAnsi="Arial" w:cs="Arial"/>
          <w:b/>
          <w:bCs/>
          <w:sz w:val="24"/>
          <w:szCs w:val="24"/>
        </w:rPr>
        <w:t>A.</w:t>
      </w:r>
      <w:r w:rsidRPr="001902E0">
        <w:rPr>
          <w:rFonts w:ascii="Arial" w:eastAsia="Arial" w:hAnsi="Arial" w:cs="Arial"/>
          <w:sz w:val="24"/>
          <w:szCs w:val="24"/>
        </w:rPr>
        <w:t xml:space="preserve"> Genomic position of lncRNA with respect to coding genes (lncRNA class). Novel lncRNA are predominantly intergenic (shown in blue, 60.7%), with only 39.3% being antisense (grey). </w:t>
      </w:r>
      <w:r w:rsidRPr="002D16D3">
        <w:rPr>
          <w:rFonts w:ascii="Arial" w:eastAsia="Arial" w:hAnsi="Arial" w:cs="Arial"/>
          <w:b/>
          <w:bCs/>
          <w:sz w:val="24"/>
          <w:szCs w:val="24"/>
        </w:rPr>
        <w:t>B.</w:t>
      </w:r>
      <w:r w:rsidRPr="001902E0">
        <w:rPr>
          <w:rFonts w:ascii="Arial" w:eastAsia="Arial" w:hAnsi="Arial" w:cs="Arial"/>
          <w:sz w:val="24"/>
          <w:szCs w:val="24"/>
        </w:rPr>
        <w:t xml:space="preserve"> Distribution of lncRNA length ranges between 207 bp and ~11.1 kb. Median lengths for intergenic and antisense lncRNA (indicated by dotted lines) are 0.9 kb and 1.4 kb, respectively. </w:t>
      </w:r>
      <w:r w:rsidRPr="002D16D3">
        <w:rPr>
          <w:rFonts w:ascii="Arial" w:eastAsia="Arial" w:hAnsi="Arial" w:cs="Arial"/>
          <w:b/>
          <w:bCs/>
          <w:sz w:val="24"/>
          <w:szCs w:val="24"/>
        </w:rPr>
        <w:t>C.</w:t>
      </w:r>
      <w:r w:rsidRPr="001902E0">
        <w:rPr>
          <w:rFonts w:ascii="Arial" w:eastAsia="Arial" w:hAnsi="Arial" w:cs="Arial"/>
          <w:sz w:val="24"/>
          <w:szCs w:val="24"/>
        </w:rPr>
        <w:t xml:space="preserve"> Intron number ranges between 0-9, with a median of 1 intron per lncRNA. </w:t>
      </w:r>
      <w:r w:rsidRPr="002D16D3">
        <w:rPr>
          <w:rFonts w:ascii="Arial" w:eastAsia="Arial" w:hAnsi="Arial" w:cs="Arial"/>
          <w:b/>
          <w:bCs/>
          <w:sz w:val="24"/>
          <w:szCs w:val="24"/>
        </w:rPr>
        <w:t>D.</w:t>
      </w:r>
      <w:r w:rsidRPr="001902E0">
        <w:rPr>
          <w:rFonts w:ascii="Arial" w:eastAsia="Arial" w:hAnsi="Arial" w:cs="Arial"/>
          <w:sz w:val="24"/>
          <w:szCs w:val="24"/>
        </w:rPr>
        <w:t xml:space="preserve"> Expression levels displayed as log2(mean TPM+1) of lncRNA in untreated samples ranges between 0 and ~1500 TPM. The majority (n=724, 61.4%) of lncRNA have TPM values below 5 (median TPM of 3.4 and 3.2 for intergenic and antisense, respectively).</w:t>
      </w:r>
    </w:p>
    <w:p w14:paraId="7051748C" w14:textId="7D69B4B5" w:rsidR="1FE3FF4C" w:rsidRPr="001902E0" w:rsidRDefault="1FE3FF4C" w:rsidP="001902E0">
      <w:pPr>
        <w:tabs>
          <w:tab w:val="left" w:pos="6225"/>
        </w:tabs>
        <w:spacing w:line="360" w:lineRule="auto"/>
        <w:jc w:val="both"/>
        <w:rPr>
          <w:rFonts w:ascii="Arial" w:hAnsi="Arial" w:cs="Arial"/>
          <w:sz w:val="24"/>
          <w:szCs w:val="24"/>
          <w:highlight w:val="yellow"/>
        </w:rPr>
      </w:pPr>
    </w:p>
    <w:p w14:paraId="1B4CCE99" w14:textId="6C5FBAB4" w:rsidR="15E22276" w:rsidRPr="001902E0" w:rsidRDefault="15E22276" w:rsidP="001902E0">
      <w:pPr>
        <w:tabs>
          <w:tab w:val="left" w:pos="6225"/>
        </w:tabs>
        <w:spacing w:line="360" w:lineRule="auto"/>
        <w:jc w:val="both"/>
        <w:rPr>
          <w:rFonts w:ascii="Arial" w:hAnsi="Arial" w:cs="Arial"/>
          <w:sz w:val="24"/>
          <w:szCs w:val="24"/>
        </w:rPr>
      </w:pPr>
      <w:r w:rsidRPr="001902E0">
        <w:rPr>
          <w:rFonts w:ascii="Arial" w:hAnsi="Arial" w:cs="Arial"/>
          <w:noProof/>
          <w:sz w:val="24"/>
          <w:szCs w:val="24"/>
        </w:rPr>
        <w:lastRenderedPageBreak/>
        <w:drawing>
          <wp:inline distT="0" distB="0" distL="0" distR="0" wp14:anchorId="38F872D7" wp14:editId="57DFAE0C">
            <wp:extent cx="5180736" cy="5172076"/>
            <wp:effectExtent l="0" t="0" r="0" b="0"/>
            <wp:docPr id="1234440278" name="Picture 1234440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rcRect r="19166"/>
                    <a:stretch>
                      <a:fillRect/>
                    </a:stretch>
                  </pic:blipFill>
                  <pic:spPr>
                    <a:xfrm>
                      <a:off x="0" y="0"/>
                      <a:ext cx="5180736" cy="5172076"/>
                    </a:xfrm>
                    <a:prstGeom prst="rect">
                      <a:avLst/>
                    </a:prstGeom>
                  </pic:spPr>
                </pic:pic>
              </a:graphicData>
            </a:graphic>
          </wp:inline>
        </w:drawing>
      </w:r>
    </w:p>
    <w:p w14:paraId="1132A2FC" w14:textId="6944EA2C" w:rsidR="15E22276" w:rsidRPr="001902E0" w:rsidRDefault="3D79D446" w:rsidP="001902E0">
      <w:pPr>
        <w:tabs>
          <w:tab w:val="left" w:pos="6225"/>
        </w:tabs>
        <w:spacing w:line="360" w:lineRule="auto"/>
        <w:jc w:val="both"/>
        <w:rPr>
          <w:rFonts w:ascii="Arial" w:hAnsi="Arial" w:cs="Arial"/>
          <w:sz w:val="24"/>
          <w:szCs w:val="24"/>
        </w:rPr>
      </w:pPr>
      <w:r w:rsidRPr="001902E0">
        <w:rPr>
          <w:rFonts w:ascii="Arial" w:hAnsi="Arial" w:cs="Arial"/>
          <w:b/>
          <w:bCs/>
          <w:sz w:val="24"/>
          <w:szCs w:val="24"/>
        </w:rPr>
        <w:t xml:space="preserve">Extended Data </w:t>
      </w:r>
      <w:r w:rsidR="15E22276" w:rsidRPr="001902E0">
        <w:rPr>
          <w:rFonts w:ascii="Arial" w:hAnsi="Arial" w:cs="Arial"/>
          <w:b/>
          <w:bCs/>
          <w:sz w:val="24"/>
          <w:szCs w:val="24"/>
        </w:rPr>
        <w:t xml:space="preserve">Figure </w:t>
      </w:r>
      <w:r w:rsidR="00D951DA">
        <w:rPr>
          <w:rFonts w:ascii="Arial" w:hAnsi="Arial" w:cs="Arial"/>
          <w:b/>
          <w:bCs/>
          <w:sz w:val="24"/>
          <w:szCs w:val="24"/>
        </w:rPr>
        <w:t>2</w:t>
      </w:r>
      <w:r w:rsidR="15E22276" w:rsidRPr="001902E0">
        <w:rPr>
          <w:rFonts w:ascii="Arial" w:hAnsi="Arial" w:cs="Arial"/>
          <w:b/>
          <w:bCs/>
          <w:sz w:val="24"/>
          <w:szCs w:val="24"/>
        </w:rPr>
        <w:t>.</w:t>
      </w:r>
      <w:r w:rsidR="12A6B480" w:rsidRPr="001902E0">
        <w:rPr>
          <w:rFonts w:ascii="Arial" w:hAnsi="Arial" w:cs="Arial"/>
          <w:b/>
          <w:bCs/>
          <w:sz w:val="24"/>
          <w:szCs w:val="24"/>
        </w:rPr>
        <w:t xml:space="preserve"> Volcano plot exhibiting condition-dependent fitness changes</w:t>
      </w:r>
      <w:r w:rsidR="0DFD5E20" w:rsidRPr="001902E0">
        <w:rPr>
          <w:rFonts w:ascii="Arial" w:hAnsi="Arial" w:cs="Arial"/>
          <w:b/>
          <w:bCs/>
          <w:sz w:val="24"/>
          <w:szCs w:val="24"/>
        </w:rPr>
        <w:t xml:space="preserve"> of lncRNA mutants</w:t>
      </w:r>
      <w:r w:rsidR="12A6B480" w:rsidRPr="001902E0">
        <w:rPr>
          <w:rFonts w:ascii="Arial" w:hAnsi="Arial" w:cs="Arial"/>
          <w:b/>
          <w:bCs/>
          <w:sz w:val="24"/>
          <w:szCs w:val="24"/>
        </w:rPr>
        <w:t>.</w:t>
      </w:r>
      <w:r w:rsidR="12A6B480" w:rsidRPr="001902E0">
        <w:rPr>
          <w:rFonts w:ascii="Arial" w:hAnsi="Arial" w:cs="Arial"/>
          <w:sz w:val="24"/>
          <w:szCs w:val="24"/>
        </w:rPr>
        <w:t xml:space="preserve"> The changes in</w:t>
      </w:r>
      <w:r w:rsidR="251B3C59" w:rsidRPr="001902E0">
        <w:rPr>
          <w:rFonts w:ascii="Arial" w:hAnsi="Arial" w:cs="Arial"/>
          <w:sz w:val="24"/>
          <w:szCs w:val="24"/>
        </w:rPr>
        <w:t xml:space="preserve"> fitness</w:t>
      </w:r>
      <w:r w:rsidR="508EC4B5" w:rsidRPr="001902E0">
        <w:rPr>
          <w:rFonts w:ascii="Arial" w:hAnsi="Arial" w:cs="Arial"/>
          <w:sz w:val="24"/>
          <w:szCs w:val="24"/>
        </w:rPr>
        <w:t>, reflected by</w:t>
      </w:r>
      <w:r w:rsidR="12A6B480" w:rsidRPr="001902E0">
        <w:rPr>
          <w:rFonts w:ascii="Arial" w:hAnsi="Arial" w:cs="Arial"/>
          <w:sz w:val="24"/>
          <w:szCs w:val="24"/>
        </w:rPr>
        <w:t xml:space="preserve"> relativ</w:t>
      </w:r>
      <w:r w:rsidR="32298C3F" w:rsidRPr="001902E0">
        <w:rPr>
          <w:rFonts w:ascii="Arial" w:hAnsi="Arial" w:cs="Arial"/>
          <w:sz w:val="24"/>
          <w:szCs w:val="24"/>
        </w:rPr>
        <w:t>e</w:t>
      </w:r>
      <w:r w:rsidR="12A6B480" w:rsidRPr="001902E0">
        <w:rPr>
          <w:rFonts w:ascii="Arial" w:hAnsi="Arial" w:cs="Arial"/>
          <w:sz w:val="24"/>
          <w:szCs w:val="24"/>
        </w:rPr>
        <w:t xml:space="preserve"> growth rate</w:t>
      </w:r>
      <w:r w:rsidR="0870831B" w:rsidRPr="001902E0">
        <w:rPr>
          <w:rFonts w:ascii="Arial" w:hAnsi="Arial" w:cs="Arial"/>
          <w:sz w:val="24"/>
          <w:szCs w:val="24"/>
        </w:rPr>
        <w:t xml:space="preserve"> of the lncRNA knockouts, </w:t>
      </w:r>
      <w:r w:rsidR="12A6B480" w:rsidRPr="001902E0">
        <w:rPr>
          <w:rFonts w:ascii="Arial" w:hAnsi="Arial" w:cs="Arial"/>
          <w:sz w:val="24"/>
          <w:szCs w:val="24"/>
        </w:rPr>
        <w:t>was investigated in four conditions, including firm media (4% agar</w:t>
      </w:r>
      <w:r w:rsidR="10D3086A" w:rsidRPr="001902E0">
        <w:rPr>
          <w:rFonts w:ascii="Arial" w:hAnsi="Arial" w:cs="Arial"/>
          <w:sz w:val="24"/>
          <w:szCs w:val="24"/>
        </w:rPr>
        <w:t>, panel A</w:t>
      </w:r>
      <w:r w:rsidR="12A6B480" w:rsidRPr="001902E0">
        <w:rPr>
          <w:rFonts w:ascii="Arial" w:hAnsi="Arial" w:cs="Arial"/>
          <w:sz w:val="24"/>
          <w:szCs w:val="24"/>
        </w:rPr>
        <w:t xml:space="preserve">), </w:t>
      </w:r>
      <w:r w:rsidR="44255E45" w:rsidRPr="001902E0">
        <w:rPr>
          <w:rFonts w:ascii="Arial" w:hAnsi="Arial" w:cs="Arial"/>
          <w:sz w:val="24"/>
          <w:szCs w:val="24"/>
        </w:rPr>
        <w:t xml:space="preserve">iron-starved conditions (panel B), </w:t>
      </w:r>
      <w:r w:rsidR="12A6B480" w:rsidRPr="001902E0">
        <w:rPr>
          <w:rFonts w:ascii="Arial" w:hAnsi="Arial" w:cs="Arial"/>
          <w:sz w:val="24"/>
          <w:szCs w:val="24"/>
        </w:rPr>
        <w:t>oxide stress (2mM H</w:t>
      </w:r>
      <w:r w:rsidR="12A6B480" w:rsidRPr="001902E0">
        <w:rPr>
          <w:rFonts w:ascii="Arial" w:hAnsi="Arial" w:cs="Arial"/>
          <w:sz w:val="24"/>
          <w:szCs w:val="24"/>
          <w:vertAlign w:val="subscript"/>
        </w:rPr>
        <w:t>2</w:t>
      </w:r>
      <w:r w:rsidR="12A6B480" w:rsidRPr="001902E0">
        <w:rPr>
          <w:rFonts w:ascii="Arial" w:hAnsi="Arial" w:cs="Arial"/>
          <w:sz w:val="24"/>
          <w:szCs w:val="24"/>
        </w:rPr>
        <w:t>O</w:t>
      </w:r>
      <w:r w:rsidR="12A6B480" w:rsidRPr="001902E0">
        <w:rPr>
          <w:rFonts w:ascii="Arial" w:hAnsi="Arial" w:cs="Arial"/>
          <w:sz w:val="24"/>
          <w:szCs w:val="24"/>
          <w:vertAlign w:val="subscript"/>
        </w:rPr>
        <w:t>2</w:t>
      </w:r>
      <w:r w:rsidR="2B2F1C72" w:rsidRPr="001902E0">
        <w:rPr>
          <w:rFonts w:ascii="Arial" w:hAnsi="Arial" w:cs="Arial"/>
          <w:sz w:val="24"/>
          <w:szCs w:val="24"/>
        </w:rPr>
        <w:t>, Panel C</w:t>
      </w:r>
      <w:r w:rsidR="12A6B480" w:rsidRPr="001902E0">
        <w:rPr>
          <w:rFonts w:ascii="Arial" w:hAnsi="Arial" w:cs="Arial"/>
          <w:sz w:val="24"/>
          <w:szCs w:val="24"/>
        </w:rPr>
        <w:t>) and</w:t>
      </w:r>
      <w:r w:rsidR="7D51323E" w:rsidRPr="001902E0">
        <w:rPr>
          <w:rFonts w:ascii="Arial" w:hAnsi="Arial" w:cs="Arial"/>
          <w:sz w:val="24"/>
          <w:szCs w:val="24"/>
        </w:rPr>
        <w:t xml:space="preserve"> e</w:t>
      </w:r>
      <w:r w:rsidR="644338DD" w:rsidRPr="001902E0">
        <w:rPr>
          <w:rFonts w:ascii="Arial" w:hAnsi="Arial" w:cs="Arial"/>
          <w:sz w:val="24"/>
          <w:szCs w:val="24"/>
        </w:rPr>
        <w:t>levated temperature (45</w:t>
      </w:r>
      <w:r w:rsidR="644338DD" w:rsidRPr="001902E0">
        <w:rPr>
          <w:rFonts w:ascii="Arial" w:hAnsi="Arial" w:cs="Arial"/>
          <w:sz w:val="24"/>
          <w:szCs w:val="24"/>
          <w:vertAlign w:val="superscript"/>
        </w:rPr>
        <w:t>o</w:t>
      </w:r>
      <w:r w:rsidR="644338DD" w:rsidRPr="001902E0">
        <w:rPr>
          <w:rFonts w:ascii="Arial" w:hAnsi="Arial" w:cs="Arial"/>
          <w:sz w:val="24"/>
          <w:szCs w:val="24"/>
        </w:rPr>
        <w:t>C, panel D) i</w:t>
      </w:r>
      <w:r w:rsidR="12A6B480" w:rsidRPr="001902E0">
        <w:rPr>
          <w:rFonts w:ascii="Arial" w:hAnsi="Arial" w:cs="Arial"/>
          <w:sz w:val="24"/>
          <w:szCs w:val="24"/>
        </w:rPr>
        <w:t>n a high throughput screen. The growth of mutant in each condition was compared with their respective growth in standard condition AMM. The x-axis represents the normalised size change (Δ size) compared with the standard condition, and the y-axis represents the -log</w:t>
      </w:r>
      <w:r w:rsidR="12A6B480" w:rsidRPr="001902E0">
        <w:rPr>
          <w:rFonts w:ascii="Arial" w:hAnsi="Arial" w:cs="Arial"/>
          <w:sz w:val="24"/>
          <w:szCs w:val="24"/>
          <w:vertAlign w:val="subscript"/>
        </w:rPr>
        <w:t>10</w:t>
      </w:r>
      <w:r w:rsidR="12A6B480" w:rsidRPr="001902E0">
        <w:rPr>
          <w:rFonts w:ascii="Arial" w:hAnsi="Arial" w:cs="Arial"/>
          <w:sz w:val="24"/>
          <w:szCs w:val="24"/>
        </w:rPr>
        <w:t xml:space="preserve"> p-value. LncRNAs with a significant change in expression (p&lt; 0.05; |Δ size| &gt;= 0.15) are shown as red dots (fitness impaired) or green dots (fitness gain).</w:t>
      </w:r>
    </w:p>
    <w:p w14:paraId="028A56DC" w14:textId="35033772" w:rsidR="1FE3FF4C" w:rsidRPr="001902E0" w:rsidRDefault="1FE3FF4C" w:rsidP="001902E0">
      <w:pPr>
        <w:tabs>
          <w:tab w:val="left" w:pos="6225"/>
        </w:tabs>
        <w:spacing w:line="360" w:lineRule="auto"/>
        <w:jc w:val="both"/>
        <w:rPr>
          <w:rFonts w:ascii="Arial" w:hAnsi="Arial" w:cs="Arial"/>
          <w:sz w:val="24"/>
          <w:szCs w:val="24"/>
        </w:rPr>
      </w:pPr>
    </w:p>
    <w:p w14:paraId="20D87F23" w14:textId="16916FE7" w:rsidR="00B573F7" w:rsidRPr="001902E0" w:rsidRDefault="00B573F7" w:rsidP="001902E0">
      <w:pPr>
        <w:spacing w:after="0" w:line="360" w:lineRule="auto"/>
        <w:jc w:val="both"/>
        <w:rPr>
          <w:rFonts w:ascii="Arial" w:eastAsia="Calibri" w:hAnsi="Arial" w:cs="Arial"/>
          <w:color w:val="000000" w:themeColor="text1"/>
          <w:sz w:val="24"/>
          <w:szCs w:val="24"/>
        </w:rPr>
      </w:pPr>
    </w:p>
    <w:p w14:paraId="014FDB39" w14:textId="648E25BD" w:rsidR="00B573F7" w:rsidRPr="001902E0" w:rsidRDefault="6751D15A" w:rsidP="001902E0">
      <w:pPr>
        <w:spacing w:after="0" w:line="360" w:lineRule="auto"/>
        <w:jc w:val="both"/>
        <w:rPr>
          <w:rFonts w:ascii="Arial" w:hAnsi="Arial" w:cs="Arial"/>
          <w:sz w:val="24"/>
          <w:szCs w:val="24"/>
        </w:rPr>
      </w:pPr>
      <w:r w:rsidRPr="001902E0">
        <w:rPr>
          <w:rFonts w:ascii="Arial" w:eastAsia="Calibri" w:hAnsi="Arial" w:cs="Arial"/>
          <w:color w:val="000000" w:themeColor="text1"/>
          <w:sz w:val="24"/>
          <w:szCs w:val="24"/>
        </w:rPr>
        <w:lastRenderedPageBreak/>
        <w:t xml:space="preserve"> </w:t>
      </w:r>
    </w:p>
    <w:p w14:paraId="65CC6080" w14:textId="1026961E" w:rsidR="00B573F7" w:rsidRPr="001902E0" w:rsidRDefault="42C6DED4" w:rsidP="001902E0">
      <w:pPr>
        <w:spacing w:after="0" w:line="360" w:lineRule="auto"/>
        <w:jc w:val="center"/>
        <w:rPr>
          <w:rFonts w:ascii="Arial" w:hAnsi="Arial" w:cs="Arial"/>
          <w:sz w:val="24"/>
          <w:szCs w:val="24"/>
        </w:rPr>
      </w:pPr>
      <w:r w:rsidRPr="001902E0">
        <w:rPr>
          <w:rFonts w:ascii="Arial" w:hAnsi="Arial" w:cs="Arial"/>
          <w:noProof/>
          <w:sz w:val="24"/>
          <w:szCs w:val="24"/>
        </w:rPr>
        <w:drawing>
          <wp:inline distT="0" distB="0" distL="0" distR="0" wp14:anchorId="14AC76DC" wp14:editId="5824C116">
            <wp:extent cx="5250298" cy="4065779"/>
            <wp:effectExtent l="0" t="0" r="0" b="0"/>
            <wp:docPr id="900955821" name="Picture 900955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250298" cy="4065779"/>
                    </a:xfrm>
                    <a:prstGeom prst="rect">
                      <a:avLst/>
                    </a:prstGeom>
                  </pic:spPr>
                </pic:pic>
              </a:graphicData>
            </a:graphic>
          </wp:inline>
        </w:drawing>
      </w:r>
      <w:r w:rsidR="6751D15A" w:rsidRPr="001902E0">
        <w:rPr>
          <w:rFonts w:ascii="Arial" w:eastAsia="Calibri" w:hAnsi="Arial" w:cs="Arial"/>
          <w:color w:val="000000" w:themeColor="text1"/>
          <w:sz w:val="24"/>
          <w:szCs w:val="24"/>
        </w:rPr>
        <w:t xml:space="preserve"> </w:t>
      </w:r>
    </w:p>
    <w:p w14:paraId="0881E277" w14:textId="7F77C252" w:rsidR="00B573F7" w:rsidRPr="001902E0" w:rsidRDefault="6751D15A" w:rsidP="001902E0">
      <w:pPr>
        <w:spacing w:after="200" w:line="360" w:lineRule="auto"/>
        <w:jc w:val="both"/>
        <w:rPr>
          <w:rFonts w:ascii="Arial" w:eastAsia="Arial" w:hAnsi="Arial" w:cs="Arial"/>
          <w:sz w:val="24"/>
          <w:szCs w:val="24"/>
          <w:highlight w:val="yellow"/>
        </w:rPr>
      </w:pPr>
      <w:r w:rsidRPr="001902E0">
        <w:rPr>
          <w:rFonts w:ascii="Arial" w:eastAsia="Arial" w:hAnsi="Arial" w:cs="Arial"/>
          <w:b/>
          <w:bCs/>
          <w:sz w:val="24"/>
          <w:szCs w:val="24"/>
        </w:rPr>
        <w:t>Extended Data Figure 3</w:t>
      </w:r>
      <w:r w:rsidRPr="001902E0">
        <w:rPr>
          <w:rFonts w:ascii="Arial" w:eastAsia="Arial" w:hAnsi="Arial" w:cs="Arial"/>
          <w:sz w:val="24"/>
          <w:szCs w:val="24"/>
        </w:rPr>
        <w:t>. Strategies used for the lncRNA deletions via fusion PCR and homologous recombination</w:t>
      </w:r>
      <w:r w:rsidR="002D16D3">
        <w:rPr>
          <w:rFonts w:ascii="Arial" w:eastAsia="Arial" w:hAnsi="Arial" w:cs="Arial"/>
          <w:sz w:val="24"/>
          <w:szCs w:val="24"/>
        </w:rPr>
        <w:t xml:space="preserve"> as previously described</w:t>
      </w:r>
      <w:r w:rsidR="002D16D3" w:rsidRPr="0056155F">
        <w:rPr>
          <w:rFonts w:ascii="Arial" w:eastAsia="Arial" w:hAnsi="Arial" w:cs="Arial"/>
          <w:sz w:val="24"/>
          <w:szCs w:val="24"/>
          <w:highlight w:val="yellow"/>
        </w:rPr>
        <w:fldChar w:fldCharType="begin"/>
      </w:r>
      <w:r w:rsidR="00325665">
        <w:rPr>
          <w:rFonts w:ascii="Arial" w:eastAsia="Arial" w:hAnsi="Arial" w:cs="Arial"/>
          <w:sz w:val="24"/>
          <w:szCs w:val="24"/>
          <w:highlight w:val="yellow"/>
        </w:rPr>
        <w:instrText xml:space="preserve"> ADDIN ZOTERO_ITEM CSL_CITATION {"citationID":"a17v60ifcm8","properties":{"formattedCitation":"\\super 39\\nosupersub{}","plainCitation":"39","noteIndex":0},"citationItems":[{"id":"OBmFgxVO/nJkpMSxq","uris":["http://zotero.org/users/14764592/items/G465F4WR"],"itemData":{"id":479,"type":"article-journal","abstract":"Aspergillus fumigatus is a human pathogen and the principal etiologic agent of invasive and chronic aspergillosis leading to several hundreds of thousands of deaths every year. Very few antifungals are available to treat infections caused by A. fumigatus, and resistance is developing to those we have. Our understanding of the molecular mechanisms that drive pathogenicity and drug resistance have been hampered by the lack of large mutant collections, which limits our ability to perform functional genomics analysis. Here we present a high-throughput gene knockout method that combines a highly reproducible fusion PCR method to enable generation of gene replacement cassettes with a multiwell format transformation procedure. This process can be used to generate 96 null mutants within 5 days by a single person at a cost of less than £18 ($24) per mutant and is being employed in our laboratory to generate a barcoded genome-wide knockout library in A. fumigatus. © 2019 The Authors.","container-title":"Current Protocols in Microbiology","DOI":"10.1002/cpmc.88","ISSN":"1934-8533","issue":"1","language":"en","license":"© 2019 The Authors.","note":"_eprint: https://onlinelibrary.wiley.com/doi/pdf/10.1002/cpmc.88","page":"e88","source":"Wiley Online Library","title":"High-Throughput Gene Replacement in Aspergillus fumigatus","volume":"54","author":[{"family":"Zhao","given":"Can"},{"family":"Fraczek","given":"Marcin G."},{"family":"Dineen","given":"Lauren"},{"family":"Lebedinec","given":"Ressa"},{"family":"Macheleidt","given":"Juliane"},{"family":"Heinekamp","given":"Thorsten"},{"family":"Delneri","given":"Daniela"},{"family":"Bowyer","given":"Paul"},{"family":"Brakhage","given":"Axel A."},{"family":"Bromley","given":"Michael"}],"issued":{"date-parts":[["2019"]]}}}],"schema":"https://github.com/citation-style-language/schema/raw/master/csl-citation.json"} </w:instrText>
      </w:r>
      <w:r w:rsidR="002D16D3" w:rsidRPr="0056155F">
        <w:rPr>
          <w:rFonts w:ascii="Arial" w:eastAsia="Arial" w:hAnsi="Arial" w:cs="Arial"/>
          <w:sz w:val="24"/>
          <w:szCs w:val="24"/>
          <w:highlight w:val="yellow"/>
        </w:rPr>
        <w:fldChar w:fldCharType="separate"/>
      </w:r>
      <w:r w:rsidR="00325665" w:rsidRPr="00325665">
        <w:rPr>
          <w:rFonts w:ascii="Arial" w:hAnsi="Arial" w:cs="Arial"/>
          <w:sz w:val="24"/>
          <w:vertAlign w:val="superscript"/>
        </w:rPr>
        <w:t>39</w:t>
      </w:r>
      <w:r w:rsidR="002D16D3" w:rsidRPr="0056155F">
        <w:rPr>
          <w:rFonts w:ascii="Arial" w:eastAsia="Arial" w:hAnsi="Arial" w:cs="Arial"/>
          <w:sz w:val="24"/>
          <w:szCs w:val="24"/>
          <w:highlight w:val="yellow"/>
        </w:rPr>
        <w:fldChar w:fldCharType="end"/>
      </w:r>
      <w:r w:rsidRPr="0056155F">
        <w:rPr>
          <w:rFonts w:ascii="Arial" w:eastAsia="Arial" w:hAnsi="Arial" w:cs="Arial"/>
          <w:sz w:val="24"/>
          <w:szCs w:val="24"/>
          <w:highlight w:val="yellow"/>
        </w:rPr>
        <w:t>.</w:t>
      </w:r>
      <w:r w:rsidRPr="001902E0">
        <w:rPr>
          <w:rFonts w:ascii="Arial" w:eastAsia="Arial" w:hAnsi="Arial" w:cs="Arial"/>
          <w:sz w:val="24"/>
          <w:szCs w:val="24"/>
        </w:rPr>
        <w:t xml:space="preserve"> Upstream and downstream fragments are amplified using the primers pairs P1 and P2 (upstream) and P3 and P4 (downstream). The selective marker cassette (hph) is amplified using hph F and hph R primers and pAN7-1 plasmid was used as template. Linkers sequences are incorporated into the P2 and P3 primers to promote fusion with the marker cassette. </w:t>
      </w:r>
      <w:r w:rsidR="7A03B8B6" w:rsidRPr="001902E0">
        <w:rPr>
          <w:rFonts w:ascii="Arial" w:eastAsia="Arial" w:hAnsi="Arial" w:cs="Arial"/>
          <w:sz w:val="24"/>
          <w:szCs w:val="24"/>
        </w:rPr>
        <w:t>Using</w:t>
      </w:r>
      <w:r w:rsidRPr="001902E0">
        <w:rPr>
          <w:rFonts w:ascii="Arial" w:eastAsia="Arial" w:hAnsi="Arial" w:cs="Arial"/>
          <w:sz w:val="24"/>
          <w:szCs w:val="24"/>
        </w:rPr>
        <w:t xml:space="preserve"> nested primers P5 and P6, the upstream and downstream fragments are fused to the hph selective cassette to create a linear fragment containing large homologous sequences to the upstream and downstream regions of the target lncRNAs. Following transformation and homologous recombination, the target lncRNA is replaced by the hph cassette. </w:t>
      </w:r>
    </w:p>
    <w:p w14:paraId="1BA68B8E" w14:textId="53487F7B" w:rsidR="00B573F7" w:rsidRPr="001902E0" w:rsidRDefault="6751D15A" w:rsidP="001902E0">
      <w:pPr>
        <w:spacing w:after="0" w:line="360" w:lineRule="auto"/>
        <w:jc w:val="both"/>
        <w:rPr>
          <w:rFonts w:ascii="Arial" w:hAnsi="Arial" w:cs="Arial"/>
          <w:sz w:val="24"/>
          <w:szCs w:val="24"/>
        </w:rPr>
      </w:pPr>
      <w:r w:rsidRPr="001902E0">
        <w:rPr>
          <w:rFonts w:ascii="Arial" w:eastAsia="Calibri" w:hAnsi="Arial" w:cs="Arial"/>
          <w:color w:val="000000" w:themeColor="text1"/>
          <w:sz w:val="24"/>
          <w:szCs w:val="24"/>
        </w:rPr>
        <w:t xml:space="preserve"> </w:t>
      </w:r>
    </w:p>
    <w:p w14:paraId="716ED9C6" w14:textId="7AC6EA94" w:rsidR="00B573F7" w:rsidRPr="001902E0" w:rsidRDefault="6751D15A" w:rsidP="001902E0">
      <w:pPr>
        <w:spacing w:after="0" w:line="360" w:lineRule="auto"/>
        <w:jc w:val="both"/>
        <w:rPr>
          <w:rFonts w:ascii="Arial" w:eastAsia="Arial" w:hAnsi="Arial" w:cs="Arial"/>
          <w:sz w:val="24"/>
          <w:szCs w:val="24"/>
          <w:lang w:val="en-US"/>
        </w:rPr>
      </w:pPr>
      <w:r w:rsidRPr="001902E0">
        <w:rPr>
          <w:rFonts w:ascii="Arial" w:eastAsia="Calibri" w:hAnsi="Arial" w:cs="Arial"/>
          <w:color w:val="000000" w:themeColor="text1"/>
          <w:sz w:val="24"/>
          <w:szCs w:val="24"/>
        </w:rPr>
        <w:lastRenderedPageBreak/>
        <w:t xml:space="preserve"> </w:t>
      </w:r>
      <w:r w:rsidR="1AC18993" w:rsidRPr="001902E0">
        <w:rPr>
          <w:rFonts w:ascii="Arial" w:hAnsi="Arial" w:cs="Arial"/>
          <w:noProof/>
          <w:sz w:val="24"/>
          <w:szCs w:val="24"/>
        </w:rPr>
        <w:drawing>
          <wp:inline distT="0" distB="0" distL="0" distR="0" wp14:anchorId="6AD2C819" wp14:editId="0D3DADE5">
            <wp:extent cx="5724524" cy="3209925"/>
            <wp:effectExtent l="0" t="0" r="0" b="0"/>
            <wp:docPr id="42563356" name="Picture 42563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724524" cy="3209925"/>
                    </a:xfrm>
                    <a:prstGeom prst="rect">
                      <a:avLst/>
                    </a:prstGeom>
                  </pic:spPr>
                </pic:pic>
              </a:graphicData>
            </a:graphic>
          </wp:inline>
        </w:drawing>
      </w:r>
      <w:r w:rsidR="50EF7A10" w:rsidRPr="001902E0">
        <w:rPr>
          <w:rFonts w:ascii="Arial" w:eastAsia="Arial" w:hAnsi="Arial" w:cs="Arial"/>
          <w:b/>
          <w:bCs/>
          <w:sz w:val="24"/>
          <w:szCs w:val="24"/>
        </w:rPr>
        <w:t>Extended Data Figure 4</w:t>
      </w:r>
      <w:r w:rsidRPr="001902E0">
        <w:rPr>
          <w:rFonts w:ascii="Arial" w:eastAsia="Arial" w:hAnsi="Arial" w:cs="Arial"/>
          <w:sz w:val="24"/>
          <w:szCs w:val="24"/>
        </w:rPr>
        <w:t xml:space="preserve">. </w:t>
      </w:r>
      <w:r w:rsidR="0056155F">
        <w:rPr>
          <w:rFonts w:ascii="Arial" w:eastAsia="Arial" w:hAnsi="Arial" w:cs="Arial"/>
          <w:sz w:val="24"/>
          <w:szCs w:val="24"/>
        </w:rPr>
        <w:t>Schematic of experimental method</w:t>
      </w:r>
      <w:r w:rsidRPr="001902E0">
        <w:rPr>
          <w:rFonts w:ascii="Arial" w:eastAsia="Arial" w:hAnsi="Arial" w:cs="Arial"/>
          <w:sz w:val="24"/>
          <w:szCs w:val="24"/>
        </w:rPr>
        <w:t xml:space="preserve"> </w:t>
      </w:r>
      <w:r w:rsidRPr="001902E0">
        <w:rPr>
          <w:rFonts w:ascii="Arial" w:eastAsia="Arial" w:hAnsi="Arial" w:cs="Arial"/>
          <w:sz w:val="24"/>
          <w:szCs w:val="24"/>
          <w:lang w:val="en-US"/>
        </w:rPr>
        <w:t xml:space="preserve">used for data analysis of colony sizes. </w:t>
      </w:r>
      <w:r w:rsidR="0056155F">
        <w:rPr>
          <w:rFonts w:ascii="Arial" w:eastAsia="Arial" w:hAnsi="Arial" w:cs="Arial"/>
          <w:sz w:val="24"/>
          <w:szCs w:val="24"/>
          <w:lang w:val="en-US"/>
        </w:rPr>
        <w:t>A p</w:t>
      </w:r>
      <w:r w:rsidRPr="001902E0">
        <w:rPr>
          <w:rFonts w:ascii="Arial" w:eastAsia="Arial" w:hAnsi="Arial" w:cs="Arial"/>
          <w:sz w:val="24"/>
          <w:szCs w:val="24"/>
          <w:lang w:val="en-US"/>
        </w:rPr>
        <w:t>icture of each plate was taken in the same position with consistent light source. The original photo (A) was adjusted to black and white using photo processing software (Corel PaintShop Pro 2018) to optimize the analysis (B). The unevenly colored center of each colony was then uniformly filled in white (C) to improve the accuracy of the calculation of the colony size by the Phenobooth</w:t>
      </w:r>
      <w:r w:rsidR="0056155F">
        <w:rPr>
          <w:rFonts w:ascii="Arial" w:eastAsia="Arial" w:hAnsi="Arial" w:cs="Arial"/>
          <w:sz w:val="24"/>
          <w:szCs w:val="24"/>
          <w:lang w:val="en-US"/>
        </w:rPr>
        <w:t xml:space="preserve"> (</w:t>
      </w:r>
      <w:r w:rsidRPr="001902E0">
        <w:rPr>
          <w:rFonts w:ascii="Arial" w:eastAsia="Arial" w:hAnsi="Arial" w:cs="Arial"/>
          <w:sz w:val="24"/>
          <w:szCs w:val="24"/>
          <w:lang w:val="en-US"/>
        </w:rPr>
        <w:t>Singer</w:t>
      </w:r>
      <w:r w:rsidR="0056155F">
        <w:rPr>
          <w:rFonts w:ascii="Arial" w:eastAsia="Arial" w:hAnsi="Arial" w:cs="Arial"/>
          <w:sz w:val="24"/>
          <w:szCs w:val="24"/>
          <w:lang w:val="en-US"/>
        </w:rPr>
        <w:t xml:space="preserve"> </w:t>
      </w:r>
      <w:r w:rsidRPr="001902E0">
        <w:rPr>
          <w:rFonts w:ascii="Arial" w:eastAsia="Arial" w:hAnsi="Arial" w:cs="Arial"/>
          <w:sz w:val="24"/>
          <w:szCs w:val="24"/>
          <w:lang w:val="en-US"/>
        </w:rPr>
        <w:t>Instrument</w:t>
      </w:r>
      <w:r w:rsidR="0056155F">
        <w:rPr>
          <w:rFonts w:ascii="Arial" w:eastAsia="Arial" w:hAnsi="Arial" w:cs="Arial"/>
          <w:sz w:val="24"/>
          <w:szCs w:val="24"/>
          <w:lang w:val="en-US"/>
        </w:rPr>
        <w:t>s</w:t>
      </w:r>
      <w:r w:rsidRPr="001902E0">
        <w:rPr>
          <w:rFonts w:ascii="Arial" w:eastAsia="Arial" w:hAnsi="Arial" w:cs="Arial"/>
          <w:sz w:val="24"/>
          <w:szCs w:val="24"/>
          <w:lang w:val="en-US"/>
        </w:rPr>
        <w:t xml:space="preserve"> Ltd.</w:t>
      </w:r>
      <w:r w:rsidR="0056155F">
        <w:rPr>
          <w:rFonts w:ascii="Arial" w:eastAsia="Arial" w:hAnsi="Arial" w:cs="Arial"/>
          <w:sz w:val="24"/>
          <w:szCs w:val="24"/>
          <w:lang w:val="en-US"/>
        </w:rPr>
        <w:t>)</w:t>
      </w:r>
      <w:r w:rsidRPr="001902E0">
        <w:rPr>
          <w:rFonts w:ascii="Arial" w:eastAsia="Arial" w:hAnsi="Arial" w:cs="Arial"/>
          <w:sz w:val="24"/>
          <w:szCs w:val="24"/>
          <w:lang w:val="en-US"/>
        </w:rPr>
        <w:t xml:space="preserve"> (D). The resulting colony size outputs (E) were used to calculate the relative fitness of each ncRNA KO.</w:t>
      </w:r>
    </w:p>
    <w:p w14:paraId="033691A9" w14:textId="5EB4C206" w:rsidR="00B573F7" w:rsidRPr="001902E0" w:rsidRDefault="00B573F7" w:rsidP="001902E0">
      <w:pPr>
        <w:spacing w:line="360" w:lineRule="auto"/>
        <w:jc w:val="both"/>
        <w:rPr>
          <w:rFonts w:ascii="Arial" w:hAnsi="Arial" w:cs="Arial"/>
          <w:sz w:val="24"/>
          <w:szCs w:val="24"/>
        </w:rPr>
      </w:pPr>
    </w:p>
    <w:p w14:paraId="1A5CE879" w14:textId="757B083B" w:rsidR="00B573F7" w:rsidRPr="001902E0" w:rsidRDefault="395A1B84" w:rsidP="001902E0">
      <w:pPr>
        <w:spacing w:line="360" w:lineRule="auto"/>
        <w:jc w:val="both"/>
        <w:rPr>
          <w:rFonts w:ascii="Arial" w:hAnsi="Arial" w:cs="Arial"/>
          <w:sz w:val="24"/>
          <w:szCs w:val="24"/>
        </w:rPr>
      </w:pPr>
      <w:r w:rsidRPr="001902E0">
        <w:rPr>
          <w:rFonts w:ascii="Arial" w:hAnsi="Arial" w:cs="Arial"/>
          <w:noProof/>
          <w:sz w:val="24"/>
          <w:szCs w:val="24"/>
        </w:rPr>
        <w:lastRenderedPageBreak/>
        <w:drawing>
          <wp:inline distT="0" distB="0" distL="0" distR="0" wp14:anchorId="6A743B34" wp14:editId="3834347F">
            <wp:extent cx="5721926" cy="3981796"/>
            <wp:effectExtent l="0" t="0" r="0" b="0"/>
            <wp:docPr id="1162913231" name="Picture 116291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1926" cy="3981796"/>
                    </a:xfrm>
                    <a:prstGeom prst="rect">
                      <a:avLst/>
                    </a:prstGeom>
                  </pic:spPr>
                </pic:pic>
              </a:graphicData>
            </a:graphic>
          </wp:inline>
        </w:drawing>
      </w:r>
    </w:p>
    <w:p w14:paraId="50A7C7E6" w14:textId="4465E967" w:rsidR="004B64C8" w:rsidRPr="001902E0" w:rsidRDefault="44A87D2B" w:rsidP="001902E0">
      <w:pPr>
        <w:spacing w:after="0" w:line="360" w:lineRule="auto"/>
        <w:rPr>
          <w:rFonts w:ascii="Arial" w:eastAsia="Arial" w:hAnsi="Arial" w:cs="Arial"/>
          <w:color w:val="000000"/>
          <w:sz w:val="24"/>
          <w:szCs w:val="24"/>
        </w:rPr>
      </w:pPr>
      <w:r w:rsidRPr="001902E0">
        <w:rPr>
          <w:rFonts w:ascii="Arial" w:eastAsia="Arial" w:hAnsi="Arial" w:cs="Arial"/>
          <w:b/>
          <w:bCs/>
          <w:color w:val="000000" w:themeColor="text1"/>
          <w:sz w:val="24"/>
          <w:szCs w:val="24"/>
        </w:rPr>
        <w:t xml:space="preserve">Extended Data </w:t>
      </w:r>
      <w:r w:rsidR="52FB1939" w:rsidRPr="001902E0">
        <w:rPr>
          <w:rFonts w:ascii="Arial" w:eastAsia="Arial" w:hAnsi="Arial" w:cs="Arial"/>
          <w:b/>
          <w:bCs/>
          <w:color w:val="000000" w:themeColor="text1"/>
          <w:sz w:val="24"/>
          <w:szCs w:val="24"/>
        </w:rPr>
        <w:t>F</w:t>
      </w:r>
      <w:r w:rsidR="74327291" w:rsidRPr="001902E0">
        <w:rPr>
          <w:rFonts w:ascii="Arial" w:eastAsia="Arial" w:hAnsi="Arial" w:cs="Arial"/>
          <w:b/>
          <w:bCs/>
          <w:color w:val="000000" w:themeColor="text1"/>
          <w:sz w:val="24"/>
          <w:szCs w:val="24"/>
        </w:rPr>
        <w:t>i</w:t>
      </w:r>
      <w:r w:rsidR="52FB1939" w:rsidRPr="001902E0">
        <w:rPr>
          <w:rFonts w:ascii="Arial" w:eastAsia="Arial" w:hAnsi="Arial" w:cs="Arial"/>
          <w:b/>
          <w:bCs/>
          <w:color w:val="000000" w:themeColor="text1"/>
          <w:sz w:val="24"/>
          <w:szCs w:val="24"/>
        </w:rPr>
        <w:t>g</w:t>
      </w:r>
      <w:r w:rsidR="76317C08" w:rsidRPr="001902E0">
        <w:rPr>
          <w:rFonts w:ascii="Arial" w:eastAsia="Arial" w:hAnsi="Arial" w:cs="Arial"/>
          <w:b/>
          <w:bCs/>
          <w:color w:val="000000" w:themeColor="text1"/>
          <w:sz w:val="24"/>
          <w:szCs w:val="24"/>
        </w:rPr>
        <w:t xml:space="preserve">ure </w:t>
      </w:r>
      <w:r w:rsidR="39F5038D" w:rsidRPr="001902E0">
        <w:rPr>
          <w:rFonts w:ascii="Arial" w:eastAsia="Arial" w:hAnsi="Arial" w:cs="Arial"/>
          <w:b/>
          <w:bCs/>
          <w:color w:val="000000" w:themeColor="text1"/>
          <w:sz w:val="24"/>
          <w:szCs w:val="24"/>
        </w:rPr>
        <w:t>5</w:t>
      </w:r>
      <w:r w:rsidR="52FB1939" w:rsidRPr="001902E0">
        <w:rPr>
          <w:rFonts w:ascii="Arial" w:eastAsia="Arial" w:hAnsi="Arial" w:cs="Arial"/>
          <w:b/>
          <w:bCs/>
          <w:color w:val="000000" w:themeColor="text1"/>
          <w:sz w:val="24"/>
          <w:szCs w:val="24"/>
        </w:rPr>
        <w:t>. The</w:t>
      </w:r>
      <w:r w:rsidR="001021F2">
        <w:rPr>
          <w:rFonts w:ascii="Arial" w:eastAsia="Arial" w:hAnsi="Arial" w:cs="Arial"/>
          <w:b/>
          <w:bCs/>
          <w:color w:val="000000" w:themeColor="text1"/>
          <w:sz w:val="24"/>
          <w:szCs w:val="24"/>
        </w:rPr>
        <w:t>re is</w:t>
      </w:r>
      <w:r w:rsidR="52FB1939" w:rsidRPr="001902E0">
        <w:rPr>
          <w:rFonts w:ascii="Arial" w:eastAsia="Arial" w:hAnsi="Arial" w:cs="Arial"/>
          <w:b/>
          <w:bCs/>
          <w:color w:val="000000" w:themeColor="text1"/>
          <w:sz w:val="24"/>
          <w:szCs w:val="24"/>
        </w:rPr>
        <w:t xml:space="preserve"> </w:t>
      </w:r>
      <w:r w:rsidR="001021F2">
        <w:rPr>
          <w:rFonts w:ascii="Arial" w:eastAsia="Arial" w:hAnsi="Arial" w:cs="Arial"/>
          <w:b/>
          <w:bCs/>
          <w:color w:val="000000" w:themeColor="text1"/>
          <w:sz w:val="24"/>
          <w:szCs w:val="24"/>
        </w:rPr>
        <w:t xml:space="preserve">significant </w:t>
      </w:r>
      <w:r w:rsidR="52FB1939" w:rsidRPr="001902E0">
        <w:rPr>
          <w:rFonts w:ascii="Arial" w:eastAsia="Arial" w:hAnsi="Arial" w:cs="Arial"/>
          <w:b/>
          <w:bCs/>
          <w:color w:val="000000" w:themeColor="text1"/>
          <w:sz w:val="24"/>
          <w:szCs w:val="24"/>
        </w:rPr>
        <w:t xml:space="preserve">co-expression observed between siderophore genes and co-localized lncRNA and </w:t>
      </w:r>
      <w:r w:rsidR="001021F2">
        <w:rPr>
          <w:rFonts w:ascii="Arial" w:eastAsia="Arial" w:hAnsi="Arial" w:cs="Arial"/>
          <w:b/>
          <w:bCs/>
          <w:color w:val="000000" w:themeColor="text1"/>
          <w:sz w:val="24"/>
          <w:szCs w:val="24"/>
        </w:rPr>
        <w:t>similar correlation is not found between the lncRNA and other nearby genes.</w:t>
      </w:r>
      <w:r w:rsidR="52FB1939" w:rsidRPr="001902E0">
        <w:rPr>
          <w:rFonts w:ascii="Arial" w:eastAsia="Arial" w:hAnsi="Arial" w:cs="Arial"/>
          <w:b/>
          <w:bCs/>
          <w:color w:val="000000" w:themeColor="text1"/>
          <w:sz w:val="24"/>
          <w:szCs w:val="24"/>
        </w:rPr>
        <w:t xml:space="preserve"> A. </w:t>
      </w:r>
      <w:r w:rsidR="001021F2">
        <w:rPr>
          <w:rFonts w:ascii="Arial" w:eastAsia="Arial" w:hAnsi="Arial" w:cs="Arial"/>
          <w:color w:val="000000" w:themeColor="text1"/>
          <w:sz w:val="24"/>
          <w:szCs w:val="24"/>
        </w:rPr>
        <w:t>Three lncRNA (</w:t>
      </w:r>
      <w:r w:rsidR="001021F2" w:rsidRPr="001902E0">
        <w:rPr>
          <w:rFonts w:ascii="Arial" w:eastAsia="Arial" w:hAnsi="Arial" w:cs="Arial"/>
          <w:color w:val="000000" w:themeColor="text1"/>
          <w:sz w:val="24"/>
          <w:szCs w:val="24"/>
        </w:rPr>
        <w:t>AFUBlnc_191</w:t>
      </w:r>
      <w:r w:rsidR="001021F2">
        <w:rPr>
          <w:rFonts w:ascii="Arial" w:eastAsia="Arial" w:hAnsi="Arial" w:cs="Arial"/>
          <w:color w:val="000000" w:themeColor="text1"/>
          <w:sz w:val="24"/>
          <w:szCs w:val="24"/>
        </w:rPr>
        <w:t xml:space="preserve">5.28, </w:t>
      </w:r>
      <w:r w:rsidR="001021F2" w:rsidRPr="001902E0">
        <w:rPr>
          <w:rFonts w:ascii="Arial" w:eastAsia="Arial" w:hAnsi="Arial" w:cs="Arial"/>
          <w:color w:val="000000" w:themeColor="text1"/>
          <w:sz w:val="24"/>
          <w:szCs w:val="24"/>
        </w:rPr>
        <w:t>AFUBlnc_191</w:t>
      </w:r>
      <w:r w:rsidR="001021F2">
        <w:rPr>
          <w:rFonts w:ascii="Arial" w:eastAsia="Arial" w:hAnsi="Arial" w:cs="Arial"/>
          <w:color w:val="000000" w:themeColor="text1"/>
          <w:sz w:val="24"/>
          <w:szCs w:val="24"/>
        </w:rPr>
        <w:t>8</w:t>
      </w:r>
      <w:r w:rsidR="001021F2" w:rsidRPr="001902E0">
        <w:rPr>
          <w:rFonts w:ascii="Arial" w:eastAsia="Arial" w:hAnsi="Arial" w:cs="Arial"/>
          <w:color w:val="000000" w:themeColor="text1"/>
          <w:sz w:val="24"/>
          <w:szCs w:val="24"/>
        </w:rPr>
        <w:t>.</w:t>
      </w:r>
      <w:r w:rsidR="001021F2">
        <w:rPr>
          <w:rFonts w:ascii="Arial" w:eastAsia="Arial" w:hAnsi="Arial" w:cs="Arial"/>
          <w:color w:val="000000" w:themeColor="text1"/>
          <w:sz w:val="24"/>
          <w:szCs w:val="24"/>
        </w:rPr>
        <w:t xml:space="preserve">8 and </w:t>
      </w:r>
      <w:r w:rsidR="001021F2" w:rsidRPr="001902E0">
        <w:rPr>
          <w:rFonts w:ascii="Arial" w:eastAsia="Arial" w:hAnsi="Arial" w:cs="Arial"/>
          <w:color w:val="000000" w:themeColor="text1"/>
          <w:sz w:val="24"/>
          <w:szCs w:val="24"/>
        </w:rPr>
        <w:t>AFUBlnc_191</w:t>
      </w:r>
      <w:r w:rsidR="001021F2">
        <w:rPr>
          <w:rFonts w:ascii="Arial" w:eastAsia="Arial" w:hAnsi="Arial" w:cs="Arial"/>
          <w:color w:val="000000" w:themeColor="text1"/>
          <w:sz w:val="24"/>
          <w:szCs w:val="24"/>
        </w:rPr>
        <w:t>7.17) co-localise with sidA and displayed significant co-expression with this gene (</w:t>
      </w:r>
      <w:r w:rsidR="001021F2">
        <w:rPr>
          <w:rFonts w:ascii="Arial" w:eastAsia="Arial" w:hAnsi="Arial" w:cs="Arial"/>
          <w:i/>
          <w:iCs/>
          <w:color w:val="000000" w:themeColor="text1"/>
          <w:sz w:val="24"/>
          <w:szCs w:val="24"/>
        </w:rPr>
        <w:t xml:space="preserve">p </w:t>
      </w:r>
      <w:r w:rsidR="001021F2">
        <w:rPr>
          <w:rFonts w:ascii="Arial" w:eastAsia="Arial" w:hAnsi="Arial" w:cs="Arial"/>
          <w:color w:val="000000" w:themeColor="text1"/>
          <w:sz w:val="24"/>
          <w:szCs w:val="24"/>
        </w:rPr>
        <w:t xml:space="preserve">&lt; 0.001). </w:t>
      </w:r>
      <w:r w:rsidR="52FB1939" w:rsidRPr="001902E0">
        <w:rPr>
          <w:rFonts w:ascii="Arial" w:eastAsia="Arial" w:hAnsi="Arial" w:cs="Arial"/>
          <w:color w:val="000000" w:themeColor="text1"/>
          <w:sz w:val="24"/>
          <w:szCs w:val="24"/>
        </w:rPr>
        <w:t>Of the</w:t>
      </w:r>
      <w:r w:rsidR="001021F2">
        <w:rPr>
          <w:rFonts w:ascii="Arial" w:eastAsia="Arial" w:hAnsi="Arial" w:cs="Arial"/>
          <w:color w:val="000000" w:themeColor="text1"/>
          <w:sz w:val="24"/>
          <w:szCs w:val="24"/>
        </w:rPr>
        <w:t xml:space="preserve">se </w:t>
      </w:r>
      <w:r w:rsidR="52FB1939" w:rsidRPr="001902E0">
        <w:rPr>
          <w:rFonts w:ascii="Arial" w:eastAsia="Arial" w:hAnsi="Arial" w:cs="Arial"/>
          <w:color w:val="000000" w:themeColor="text1"/>
          <w:sz w:val="24"/>
          <w:szCs w:val="24"/>
        </w:rPr>
        <w:t xml:space="preserve">co-localized </w:t>
      </w:r>
      <w:r w:rsidR="001021F2" w:rsidRPr="001902E0">
        <w:rPr>
          <w:rFonts w:ascii="Arial" w:eastAsia="Arial" w:hAnsi="Arial" w:cs="Arial"/>
          <w:color w:val="000000" w:themeColor="text1"/>
          <w:sz w:val="24"/>
          <w:szCs w:val="24"/>
        </w:rPr>
        <w:t>lncRNA</w:t>
      </w:r>
      <w:r w:rsidR="52FB1939" w:rsidRPr="001902E0">
        <w:rPr>
          <w:rFonts w:ascii="Arial" w:eastAsia="Arial" w:hAnsi="Arial" w:cs="Arial"/>
          <w:color w:val="000000" w:themeColor="text1"/>
          <w:sz w:val="24"/>
          <w:szCs w:val="24"/>
        </w:rPr>
        <w:t xml:space="preserve">, AFUBlnc_1917.17 displays the </w:t>
      </w:r>
      <w:r w:rsidR="001021F2">
        <w:rPr>
          <w:rFonts w:ascii="Arial" w:eastAsia="Arial" w:hAnsi="Arial" w:cs="Arial"/>
          <w:color w:val="000000" w:themeColor="text1"/>
          <w:sz w:val="24"/>
          <w:szCs w:val="24"/>
        </w:rPr>
        <w:t>highest</w:t>
      </w:r>
      <w:r w:rsidR="52FB1939" w:rsidRPr="001902E0">
        <w:rPr>
          <w:rFonts w:ascii="Arial" w:eastAsia="Arial" w:hAnsi="Arial" w:cs="Arial"/>
          <w:color w:val="000000" w:themeColor="text1"/>
          <w:sz w:val="24"/>
          <w:szCs w:val="24"/>
        </w:rPr>
        <w:t xml:space="preserve"> correlated expression (log fold change)</w:t>
      </w:r>
      <w:r w:rsidR="0EA05EBD" w:rsidRPr="001902E0">
        <w:rPr>
          <w:rFonts w:ascii="Arial" w:eastAsia="Arial" w:hAnsi="Arial" w:cs="Arial"/>
          <w:color w:val="000000" w:themeColor="text1"/>
          <w:sz w:val="24"/>
          <w:szCs w:val="24"/>
        </w:rPr>
        <w:t xml:space="preserve"> </w:t>
      </w:r>
      <w:r w:rsidR="52FB1939" w:rsidRPr="001902E0">
        <w:rPr>
          <w:rFonts w:ascii="Arial" w:eastAsia="Arial" w:hAnsi="Arial" w:cs="Arial"/>
          <w:color w:val="000000" w:themeColor="text1"/>
          <w:sz w:val="24"/>
          <w:szCs w:val="24"/>
        </w:rPr>
        <w:t xml:space="preserve">with </w:t>
      </w:r>
      <w:r w:rsidR="001021F2">
        <w:rPr>
          <w:rFonts w:ascii="Arial" w:eastAsia="Arial" w:hAnsi="Arial" w:cs="Arial"/>
          <w:color w:val="000000" w:themeColor="text1"/>
          <w:sz w:val="24"/>
          <w:szCs w:val="24"/>
        </w:rPr>
        <w:t>sidA (</w:t>
      </w:r>
      <w:r w:rsidR="001021F2" w:rsidRPr="001902E0">
        <w:rPr>
          <w:rFonts w:ascii="Arial" w:eastAsia="Arial" w:hAnsi="Arial" w:cs="Arial"/>
          <w:color w:val="000000" w:themeColor="text1"/>
          <w:sz w:val="24"/>
          <w:szCs w:val="24"/>
        </w:rPr>
        <w:t>R</w:t>
      </w:r>
      <w:r w:rsidR="001021F2" w:rsidRPr="001902E0">
        <w:rPr>
          <w:rFonts w:ascii="Arial" w:eastAsia="Arial" w:hAnsi="Arial" w:cs="Arial"/>
          <w:color w:val="000000" w:themeColor="text1"/>
          <w:sz w:val="24"/>
          <w:szCs w:val="24"/>
          <w:vertAlign w:val="superscript"/>
        </w:rPr>
        <w:t xml:space="preserve">2 </w:t>
      </w:r>
      <w:r w:rsidR="001021F2">
        <w:rPr>
          <w:rFonts w:ascii="Arial" w:eastAsia="Arial" w:hAnsi="Arial" w:cs="Arial"/>
          <w:color w:val="000000" w:themeColor="text1"/>
          <w:sz w:val="24"/>
          <w:szCs w:val="24"/>
        </w:rPr>
        <w:t>&gt;</w:t>
      </w:r>
      <w:r w:rsidR="001021F2" w:rsidRPr="001902E0">
        <w:rPr>
          <w:rFonts w:ascii="Arial" w:eastAsia="Arial" w:hAnsi="Arial" w:cs="Arial"/>
          <w:color w:val="000000" w:themeColor="text1"/>
          <w:sz w:val="24"/>
          <w:szCs w:val="24"/>
        </w:rPr>
        <w:t xml:space="preserve"> 0.5</w:t>
      </w:r>
      <w:r w:rsidR="001021F2">
        <w:rPr>
          <w:rFonts w:ascii="Arial" w:eastAsia="Arial" w:hAnsi="Arial" w:cs="Arial"/>
          <w:color w:val="000000" w:themeColor="text1"/>
          <w:sz w:val="24"/>
          <w:szCs w:val="24"/>
        </w:rPr>
        <w:t>)</w:t>
      </w:r>
      <w:r w:rsidR="52FB1939" w:rsidRPr="001902E0">
        <w:rPr>
          <w:rFonts w:ascii="Arial" w:eastAsia="Arial" w:hAnsi="Arial" w:cs="Arial"/>
          <w:color w:val="000000" w:themeColor="text1"/>
          <w:sz w:val="24"/>
          <w:szCs w:val="24"/>
        </w:rPr>
        <w:t xml:space="preserve">. </w:t>
      </w:r>
      <w:r w:rsidR="52FB1939" w:rsidRPr="001902E0">
        <w:rPr>
          <w:rFonts w:ascii="Arial" w:eastAsia="Arial" w:hAnsi="Arial" w:cs="Arial"/>
          <w:b/>
          <w:bCs/>
          <w:color w:val="000000" w:themeColor="text1"/>
          <w:sz w:val="24"/>
          <w:szCs w:val="24"/>
        </w:rPr>
        <w:t xml:space="preserve">B. </w:t>
      </w:r>
      <w:r w:rsidR="52FB1939" w:rsidRPr="001902E0">
        <w:rPr>
          <w:rFonts w:ascii="Arial" w:eastAsia="Arial" w:hAnsi="Arial" w:cs="Arial"/>
          <w:color w:val="000000" w:themeColor="text1"/>
          <w:sz w:val="24"/>
          <w:szCs w:val="24"/>
        </w:rPr>
        <w:t>AFUBlnc_1917.17 displays considerably lower correlation (R</w:t>
      </w:r>
      <w:r w:rsidR="52FB1939" w:rsidRPr="001902E0">
        <w:rPr>
          <w:rFonts w:ascii="Arial" w:eastAsia="Arial" w:hAnsi="Arial" w:cs="Arial"/>
          <w:color w:val="000000" w:themeColor="text1"/>
          <w:sz w:val="24"/>
          <w:szCs w:val="24"/>
          <w:vertAlign w:val="superscript"/>
        </w:rPr>
        <w:t>2</w:t>
      </w:r>
      <w:r w:rsidR="52FB1939" w:rsidRPr="001902E0">
        <w:rPr>
          <w:rFonts w:ascii="Arial" w:eastAsia="Arial" w:hAnsi="Arial" w:cs="Arial"/>
          <w:color w:val="000000" w:themeColor="text1"/>
          <w:sz w:val="24"/>
          <w:szCs w:val="24"/>
        </w:rPr>
        <w:t xml:space="preserve"> &lt; 0.5) with the next two closest genes, AFUB_023710 and AFUB_023730. In addition, the log fold change values of these genes are low (below 1). </w:t>
      </w:r>
      <w:r w:rsidR="52FB1939" w:rsidRPr="001902E0">
        <w:rPr>
          <w:rFonts w:ascii="Arial" w:eastAsia="Arial" w:hAnsi="Arial" w:cs="Arial"/>
          <w:b/>
          <w:bCs/>
          <w:color w:val="000000" w:themeColor="text1"/>
          <w:sz w:val="24"/>
          <w:szCs w:val="24"/>
        </w:rPr>
        <w:t xml:space="preserve">C. </w:t>
      </w:r>
      <w:r w:rsidR="52FB1939" w:rsidRPr="001902E0">
        <w:rPr>
          <w:rFonts w:ascii="Arial" w:eastAsia="Arial" w:hAnsi="Arial" w:cs="Arial"/>
          <w:color w:val="000000" w:themeColor="text1"/>
          <w:sz w:val="24"/>
          <w:szCs w:val="24"/>
        </w:rPr>
        <w:t>AFUBlnc_3085.15 displays no significant correlation with the next two closest genes outside of the sidG cluster, AFUB_044460 and AFUB_044510</w:t>
      </w:r>
      <w:r w:rsidR="67763E3B" w:rsidRPr="001902E0">
        <w:rPr>
          <w:rFonts w:ascii="Arial" w:eastAsia="Arial" w:hAnsi="Arial" w:cs="Arial"/>
          <w:color w:val="000000" w:themeColor="text1"/>
          <w:sz w:val="24"/>
          <w:szCs w:val="24"/>
        </w:rPr>
        <w:t>.</w:t>
      </w:r>
    </w:p>
    <w:p w14:paraId="696F6394" w14:textId="41D4FE18" w:rsidR="1FE3FF4C" w:rsidRPr="001902E0" w:rsidRDefault="1FE3FF4C" w:rsidP="001902E0">
      <w:pPr>
        <w:spacing w:after="0" w:line="360" w:lineRule="auto"/>
        <w:rPr>
          <w:rFonts w:ascii="Arial" w:eastAsia="Arial" w:hAnsi="Arial" w:cs="Arial"/>
          <w:color w:val="000000" w:themeColor="text1"/>
          <w:sz w:val="24"/>
          <w:szCs w:val="24"/>
        </w:rPr>
      </w:pPr>
    </w:p>
    <w:p w14:paraId="36139E86" w14:textId="77777777" w:rsidR="00F258E0" w:rsidRPr="001902E0" w:rsidRDefault="00F258E0" w:rsidP="00F258E0">
      <w:pPr>
        <w:pStyle w:val="Heading1"/>
        <w:spacing w:line="360" w:lineRule="auto"/>
        <w:jc w:val="both"/>
        <w:rPr>
          <w:rFonts w:ascii="Arial" w:hAnsi="Arial" w:cs="Arial"/>
          <w:sz w:val="24"/>
          <w:szCs w:val="24"/>
        </w:rPr>
      </w:pPr>
      <w:r w:rsidRPr="001902E0">
        <w:rPr>
          <w:rFonts w:ascii="Arial" w:hAnsi="Arial" w:cs="Arial"/>
          <w:sz w:val="24"/>
          <w:szCs w:val="24"/>
        </w:rPr>
        <w:lastRenderedPageBreak/>
        <w:t xml:space="preserve">Supplementary </w:t>
      </w:r>
      <w:r>
        <w:rPr>
          <w:rFonts w:ascii="Arial" w:hAnsi="Arial" w:cs="Arial"/>
          <w:sz w:val="24"/>
          <w:szCs w:val="24"/>
        </w:rPr>
        <w:t>text</w:t>
      </w:r>
    </w:p>
    <w:p w14:paraId="0D209C59" w14:textId="77777777" w:rsidR="00F258E0" w:rsidRDefault="00F258E0" w:rsidP="001902E0">
      <w:pPr>
        <w:pStyle w:val="PalH2"/>
        <w:spacing w:line="360" w:lineRule="auto"/>
        <w:jc w:val="both"/>
        <w:rPr>
          <w:rFonts w:ascii="Arial" w:hAnsi="Arial" w:cs="Arial"/>
          <w:sz w:val="24"/>
        </w:rPr>
      </w:pPr>
    </w:p>
    <w:p w14:paraId="1429619A" w14:textId="50A961FA" w:rsidR="1FE3FF4C" w:rsidRPr="001902E0" w:rsidRDefault="69933BF6" w:rsidP="001902E0">
      <w:pPr>
        <w:pStyle w:val="PalH2"/>
        <w:spacing w:line="360" w:lineRule="auto"/>
        <w:jc w:val="both"/>
        <w:rPr>
          <w:rFonts w:ascii="Arial" w:hAnsi="Arial" w:cs="Arial"/>
          <w:sz w:val="24"/>
        </w:rPr>
      </w:pPr>
      <w:r w:rsidRPr="001902E0">
        <w:rPr>
          <w:rFonts w:ascii="Arial" w:hAnsi="Arial" w:cs="Arial"/>
          <w:sz w:val="24"/>
        </w:rPr>
        <w:t xml:space="preserve">LncRNAs display coordinated expression with neighbouring protein coding genes </w:t>
      </w:r>
    </w:p>
    <w:p w14:paraId="2510D518" w14:textId="606A8FC6" w:rsidR="69933BF6" w:rsidRPr="001902E0" w:rsidRDefault="69933BF6" w:rsidP="001902E0">
      <w:pPr>
        <w:pStyle w:val="PalH2"/>
        <w:spacing w:line="360" w:lineRule="auto"/>
        <w:jc w:val="both"/>
        <w:rPr>
          <w:rFonts w:ascii="Arial" w:hAnsi="Arial" w:cs="Arial"/>
          <w:b w:val="0"/>
          <w:sz w:val="24"/>
        </w:rPr>
      </w:pPr>
      <w:r w:rsidRPr="001902E0">
        <w:rPr>
          <w:rFonts w:ascii="Arial" w:hAnsi="Arial" w:cs="Arial"/>
          <w:b w:val="0"/>
          <w:sz w:val="24"/>
        </w:rPr>
        <w:t xml:space="preserve">The ability of lncRNA to play a role in azole response led us to identify further candidates that may be involved in azole susceptibility or resistance. To do this, we mapped data from an RNA-seq experiment which exposed strain A1163 to itraconazole at five MIC’s (0.25, 0.5, 1, 2 and 4) to our newly generated transcriptome. Differential expression (DE) analysis was then performed in comparison to a no drug control.  A total of 2,746 PCGs and 245 lncRNAs (intergenic=130, antisense=115), were found to have a significant response to itraconazole in at least one concentration (Fig. </w:t>
      </w:r>
      <w:r w:rsidR="20136032" w:rsidRPr="001902E0">
        <w:rPr>
          <w:rFonts w:ascii="Arial" w:hAnsi="Arial" w:cs="Arial"/>
          <w:b w:val="0"/>
          <w:sz w:val="24"/>
        </w:rPr>
        <w:t>2G</w:t>
      </w:r>
      <w:r w:rsidRPr="001902E0">
        <w:rPr>
          <w:rFonts w:ascii="Arial" w:hAnsi="Arial" w:cs="Arial"/>
          <w:b w:val="0"/>
          <w:sz w:val="24"/>
        </w:rPr>
        <w:t xml:space="preserve">). Clustering was performed to identify lncRNA’s that have similar or opposing expression patterns with PCG’s across dosage. Using a hierarchical k-means clustering approach we were able to generate 15 distinct groups that had parallel expression patterns (Fig. </w:t>
      </w:r>
      <w:r w:rsidR="59295A83" w:rsidRPr="001902E0">
        <w:rPr>
          <w:rFonts w:ascii="Arial" w:hAnsi="Arial" w:cs="Arial"/>
          <w:b w:val="0"/>
          <w:sz w:val="24"/>
        </w:rPr>
        <w:t>2-I</w:t>
      </w:r>
      <w:r w:rsidRPr="001902E0">
        <w:rPr>
          <w:rFonts w:ascii="Arial" w:hAnsi="Arial" w:cs="Arial"/>
          <w:b w:val="0"/>
          <w:sz w:val="24"/>
        </w:rPr>
        <w:t>).</w:t>
      </w:r>
    </w:p>
    <w:p w14:paraId="669A50D1" w14:textId="77777777" w:rsidR="1FE3FF4C" w:rsidRPr="001902E0" w:rsidRDefault="1FE3FF4C" w:rsidP="001902E0">
      <w:pPr>
        <w:pStyle w:val="PalH2"/>
        <w:spacing w:line="360" w:lineRule="auto"/>
        <w:jc w:val="both"/>
        <w:rPr>
          <w:rFonts w:ascii="Arial" w:hAnsi="Arial" w:cs="Arial"/>
          <w:b w:val="0"/>
          <w:sz w:val="24"/>
        </w:rPr>
      </w:pPr>
    </w:p>
    <w:p w14:paraId="6B33F70E" w14:textId="4C3B9791" w:rsidR="1FE3FF4C" w:rsidRPr="001902E0" w:rsidRDefault="69933BF6" w:rsidP="001902E0">
      <w:pPr>
        <w:pStyle w:val="ListParagraph"/>
        <w:numPr>
          <w:ilvl w:val="0"/>
          <w:numId w:val="3"/>
        </w:numPr>
        <w:spacing w:line="360" w:lineRule="auto"/>
        <w:jc w:val="both"/>
        <w:rPr>
          <w:rFonts w:ascii="Arial" w:hAnsi="Arial" w:cs="Arial"/>
          <w:sz w:val="24"/>
          <w:szCs w:val="24"/>
        </w:rPr>
      </w:pPr>
      <w:r w:rsidRPr="001902E0">
        <w:rPr>
          <w:rFonts w:ascii="Arial" w:hAnsi="Arial" w:cs="Arial"/>
          <w:sz w:val="24"/>
          <w:szCs w:val="24"/>
        </w:rPr>
        <w:t>Using our clustering results, we were able to elucidate groups of PCGs and lncRNAs that are found to be localised within 5 kb of the genome and that have either a coordinated or divergent pattern of expression. We found 1,485 lncRNA-PCG pairs of neighbouring loci, with the majority of lncRNA found to be upstream (n=1,043) of a PCG</w:t>
      </w:r>
      <w:r w:rsidR="00C23ED1">
        <w:rPr>
          <w:rFonts w:ascii="Arial" w:hAnsi="Arial" w:cs="Arial"/>
          <w:sz w:val="24"/>
          <w:szCs w:val="24"/>
        </w:rPr>
        <w:t xml:space="preserve"> (Supplementary table 10).</w:t>
      </w:r>
      <w:r w:rsidRPr="001902E0">
        <w:rPr>
          <w:rFonts w:ascii="Arial" w:hAnsi="Arial" w:cs="Arial"/>
          <w:sz w:val="24"/>
          <w:szCs w:val="24"/>
        </w:rPr>
        <w:t xml:space="preserve"> Of these neighbours, 46 lncRNA-PCG pairs were found to be within the same cluster, indicating coordinated expression, whereas 16 were found to be inversely clustered, indicating divergent expression. Enrichment analysis found that there were no significantly over-represented ontologies in lncRNA-PCG pairs that share either similar or opposing expression profiles. Within the 46 pairs that exhibited a similar expression profile as their neighbouring lncRNA</w:t>
      </w:r>
      <w:r w:rsidR="257EB8F3" w:rsidRPr="001902E0">
        <w:rPr>
          <w:rFonts w:ascii="Arial" w:hAnsi="Arial" w:cs="Arial"/>
          <w:sz w:val="24"/>
          <w:szCs w:val="24"/>
        </w:rPr>
        <w:t>.</w:t>
      </w:r>
      <w:r w:rsidRPr="001902E0">
        <w:rPr>
          <w:rFonts w:ascii="Arial" w:hAnsi="Arial" w:cs="Arial"/>
          <w:sz w:val="24"/>
          <w:szCs w:val="24"/>
        </w:rPr>
        <w:t xml:space="preserve"> We performed the same analysis on differentially expressed antisense lncRNA and their “sense” PCGs</w:t>
      </w:r>
      <w:r w:rsidR="00C23ED1">
        <w:rPr>
          <w:rFonts w:ascii="Arial" w:hAnsi="Arial" w:cs="Arial"/>
          <w:sz w:val="24"/>
          <w:szCs w:val="24"/>
        </w:rPr>
        <w:t xml:space="preserve"> (Supplementary table 11)</w:t>
      </w:r>
      <w:r w:rsidRPr="001902E0">
        <w:rPr>
          <w:rFonts w:ascii="Arial" w:hAnsi="Arial" w:cs="Arial"/>
          <w:sz w:val="24"/>
          <w:szCs w:val="24"/>
        </w:rPr>
        <w:t xml:space="preserve">. Within this study we identified a total of 492 sense/antisense (S/AS) pairs, of these we found 48 lncRNA that are antisense to two PCGs and 3 that are antisense to three PCGs. A total of 14 S/AS pairs were clustered together and 6 were inversely clustered. Once again, neither of these pair sets were functionally enriched. </w:t>
      </w:r>
      <w:commentRangeStart w:id="0"/>
      <w:commentRangeStart w:id="1"/>
      <w:commentRangeEnd w:id="0"/>
      <w:r w:rsidR="1FE3FF4C" w:rsidRPr="001902E0">
        <w:rPr>
          <w:rStyle w:val="CommentReference"/>
          <w:rFonts w:ascii="Arial" w:hAnsi="Arial" w:cs="Arial"/>
          <w:sz w:val="24"/>
          <w:szCs w:val="24"/>
        </w:rPr>
        <w:commentReference w:id="0"/>
      </w:r>
      <w:commentRangeEnd w:id="1"/>
      <w:r w:rsidR="1FE3FF4C" w:rsidRPr="001902E0">
        <w:rPr>
          <w:rStyle w:val="CommentReference"/>
          <w:rFonts w:ascii="Arial" w:hAnsi="Arial" w:cs="Arial"/>
          <w:sz w:val="24"/>
          <w:szCs w:val="24"/>
        </w:rPr>
        <w:commentReference w:id="1"/>
      </w:r>
      <w:commentRangeStart w:id="2"/>
      <w:commentRangeEnd w:id="2"/>
      <w:r w:rsidR="1FE3FF4C" w:rsidRPr="001902E0">
        <w:rPr>
          <w:rStyle w:val="CommentReference"/>
          <w:rFonts w:ascii="Arial" w:hAnsi="Arial" w:cs="Arial"/>
          <w:sz w:val="24"/>
          <w:szCs w:val="24"/>
        </w:rPr>
        <w:commentReference w:id="2"/>
      </w:r>
    </w:p>
    <w:p w14:paraId="28F46469" w14:textId="738E160D" w:rsidR="1FE3FF4C" w:rsidRPr="001902E0" w:rsidRDefault="1FE3FF4C" w:rsidP="001902E0">
      <w:pPr>
        <w:pStyle w:val="ListParagraph"/>
        <w:spacing w:line="360" w:lineRule="auto"/>
        <w:ind w:left="0"/>
        <w:jc w:val="both"/>
        <w:rPr>
          <w:rFonts w:ascii="Arial" w:hAnsi="Arial" w:cs="Arial"/>
          <w:sz w:val="24"/>
          <w:szCs w:val="24"/>
        </w:rPr>
      </w:pPr>
    </w:p>
    <w:p w14:paraId="6E74EC26" w14:textId="1F8CD79E" w:rsidR="1FE3FF4C" w:rsidRPr="001902E0" w:rsidRDefault="69933BF6" w:rsidP="001902E0">
      <w:pPr>
        <w:pStyle w:val="ListParagraph"/>
        <w:spacing w:line="360" w:lineRule="auto"/>
        <w:ind w:left="0"/>
        <w:jc w:val="both"/>
        <w:rPr>
          <w:rFonts w:ascii="Arial" w:hAnsi="Arial" w:cs="Arial"/>
          <w:sz w:val="24"/>
          <w:szCs w:val="24"/>
        </w:rPr>
      </w:pPr>
      <w:r w:rsidRPr="001902E0">
        <w:rPr>
          <w:rFonts w:ascii="Arial" w:hAnsi="Arial" w:cs="Arial"/>
          <w:sz w:val="24"/>
          <w:szCs w:val="24"/>
        </w:rPr>
        <w:lastRenderedPageBreak/>
        <w:t>To understand whether these coordinated responses are due to the same regulatory elements controlling these loci we overlayed the binding sites of transcription factors from several studies. We found a total of 545 lncRNAs that have a transcription factor binding site within 200 bp upstream from their locus, from this we found 51 that do not have an adjacent PCG and 11 of these were found to be DE in response to itraconazole.</w:t>
      </w:r>
      <w:commentRangeStart w:id="3"/>
      <w:commentRangeStart w:id="4"/>
      <w:commentRangeStart w:id="5"/>
      <w:commentRangeStart w:id="6"/>
      <w:r w:rsidRPr="001902E0">
        <w:rPr>
          <w:rFonts w:ascii="Arial" w:hAnsi="Arial" w:cs="Arial"/>
          <w:sz w:val="24"/>
          <w:szCs w:val="24"/>
        </w:rPr>
        <w:t xml:space="preserve"> </w:t>
      </w:r>
      <w:commentRangeEnd w:id="3"/>
      <w:r w:rsidR="1FE3FF4C" w:rsidRPr="001902E0">
        <w:rPr>
          <w:rStyle w:val="CommentReference"/>
          <w:rFonts w:ascii="Arial" w:hAnsi="Arial" w:cs="Arial"/>
          <w:sz w:val="24"/>
          <w:szCs w:val="24"/>
        </w:rPr>
        <w:commentReference w:id="3"/>
      </w:r>
      <w:commentRangeEnd w:id="4"/>
      <w:r w:rsidR="1FE3FF4C" w:rsidRPr="001902E0">
        <w:rPr>
          <w:rStyle w:val="CommentReference"/>
          <w:rFonts w:ascii="Arial" w:hAnsi="Arial" w:cs="Arial"/>
          <w:sz w:val="24"/>
          <w:szCs w:val="24"/>
        </w:rPr>
        <w:commentReference w:id="4"/>
      </w:r>
      <w:commentRangeEnd w:id="5"/>
      <w:r w:rsidR="1FE3FF4C" w:rsidRPr="001902E0">
        <w:rPr>
          <w:rStyle w:val="CommentReference"/>
          <w:rFonts w:ascii="Arial" w:hAnsi="Arial" w:cs="Arial"/>
          <w:sz w:val="24"/>
          <w:szCs w:val="24"/>
        </w:rPr>
        <w:commentReference w:id="5"/>
      </w:r>
      <w:commentRangeEnd w:id="6"/>
      <w:r w:rsidR="1FE3FF4C" w:rsidRPr="001902E0">
        <w:rPr>
          <w:rStyle w:val="CommentReference"/>
          <w:rFonts w:ascii="Arial" w:hAnsi="Arial" w:cs="Arial"/>
          <w:sz w:val="24"/>
          <w:szCs w:val="24"/>
        </w:rPr>
        <w:commentReference w:id="6"/>
      </w:r>
    </w:p>
    <w:p w14:paraId="2B6606F6" w14:textId="6CA29F15" w:rsidR="004B64C8" w:rsidRPr="001902E0" w:rsidRDefault="5A631897" w:rsidP="001902E0">
      <w:pPr>
        <w:spacing w:line="360" w:lineRule="auto"/>
        <w:jc w:val="both"/>
        <w:rPr>
          <w:rFonts w:ascii="Arial" w:hAnsi="Arial" w:cs="Arial"/>
          <w:sz w:val="24"/>
          <w:szCs w:val="24"/>
        </w:rPr>
      </w:pPr>
      <w:r w:rsidRPr="001902E0">
        <w:rPr>
          <w:rFonts w:ascii="Arial" w:hAnsi="Arial" w:cs="Arial"/>
          <w:sz w:val="24"/>
          <w:szCs w:val="24"/>
        </w:rPr>
        <w:t xml:space="preserve">Cluster analysis found that three genes - </w:t>
      </w:r>
      <w:r w:rsidRPr="001902E0">
        <w:rPr>
          <w:rFonts w:ascii="Arial" w:hAnsi="Arial" w:cs="Arial"/>
          <w:i/>
          <w:iCs/>
          <w:sz w:val="24"/>
          <w:szCs w:val="24"/>
        </w:rPr>
        <w:t>hapB</w:t>
      </w:r>
      <w:r w:rsidRPr="001902E0">
        <w:rPr>
          <w:rFonts w:ascii="Arial" w:hAnsi="Arial" w:cs="Arial"/>
          <w:sz w:val="24"/>
          <w:szCs w:val="24"/>
        </w:rPr>
        <w:t xml:space="preserve">, </w:t>
      </w:r>
      <w:r w:rsidRPr="001902E0">
        <w:rPr>
          <w:rFonts w:ascii="Arial" w:hAnsi="Arial" w:cs="Arial"/>
          <w:i/>
          <w:iCs/>
          <w:sz w:val="24"/>
          <w:szCs w:val="24"/>
        </w:rPr>
        <w:t xml:space="preserve">sidA </w:t>
      </w:r>
      <w:r w:rsidRPr="001902E0">
        <w:rPr>
          <w:rFonts w:ascii="Arial" w:hAnsi="Arial" w:cs="Arial"/>
          <w:sz w:val="24"/>
          <w:szCs w:val="24"/>
        </w:rPr>
        <w:t>and</w:t>
      </w:r>
      <w:r w:rsidRPr="001902E0">
        <w:rPr>
          <w:rFonts w:ascii="Arial" w:hAnsi="Arial" w:cs="Arial"/>
          <w:i/>
          <w:iCs/>
          <w:sz w:val="24"/>
          <w:szCs w:val="24"/>
        </w:rPr>
        <w:t xml:space="preserve"> sidG </w:t>
      </w:r>
      <w:r w:rsidRPr="001902E0">
        <w:rPr>
          <w:rFonts w:ascii="Arial" w:hAnsi="Arial" w:cs="Arial"/>
          <w:sz w:val="24"/>
          <w:szCs w:val="24"/>
        </w:rPr>
        <w:t>- had similar or opposing expression patterns to their corresponding lncRNA (see</w:t>
      </w:r>
      <w:r w:rsidR="7C74B61D" w:rsidRPr="001902E0">
        <w:rPr>
          <w:rFonts w:ascii="Arial" w:hAnsi="Arial" w:cs="Arial"/>
          <w:sz w:val="24"/>
          <w:szCs w:val="24"/>
        </w:rPr>
        <w:t xml:space="preserve"> Supplementary Table</w:t>
      </w:r>
      <w:r w:rsidR="00B93FE7">
        <w:rPr>
          <w:rFonts w:ascii="Arial" w:hAnsi="Arial" w:cs="Arial"/>
          <w:sz w:val="24"/>
          <w:szCs w:val="24"/>
        </w:rPr>
        <w:t>s</w:t>
      </w:r>
      <w:r w:rsidR="7C74B61D" w:rsidRPr="001902E0">
        <w:rPr>
          <w:rFonts w:ascii="Arial" w:hAnsi="Arial" w:cs="Arial"/>
          <w:sz w:val="24"/>
          <w:szCs w:val="24"/>
        </w:rPr>
        <w:t xml:space="preserve"> </w:t>
      </w:r>
      <w:r w:rsidR="00B93FE7">
        <w:rPr>
          <w:rFonts w:ascii="Arial" w:hAnsi="Arial" w:cs="Arial"/>
          <w:sz w:val="24"/>
          <w:szCs w:val="24"/>
        </w:rPr>
        <w:t>7, 10 and 11</w:t>
      </w:r>
      <w:r w:rsidRPr="001902E0">
        <w:rPr>
          <w:rFonts w:ascii="Arial" w:hAnsi="Arial" w:cs="Arial"/>
          <w:sz w:val="24"/>
          <w:szCs w:val="24"/>
        </w:rPr>
        <w:t>). The CCAAT-binding complex (CBC) subunit, HapB, has an upstream bidirectional lncRNA (</w:t>
      </w:r>
      <w:r w:rsidR="7749C9DA" w:rsidRPr="001902E0">
        <w:rPr>
          <w:rFonts w:ascii="Arial" w:hAnsi="Arial" w:cs="Arial"/>
          <w:sz w:val="24"/>
          <w:szCs w:val="24"/>
        </w:rPr>
        <w:t>AFUBlnc_</w:t>
      </w:r>
      <w:r w:rsidRPr="001902E0">
        <w:rPr>
          <w:rFonts w:ascii="Arial" w:hAnsi="Arial" w:cs="Arial"/>
          <w:sz w:val="24"/>
          <w:szCs w:val="24"/>
        </w:rPr>
        <w:t xml:space="preserve">2633.12) found to have an opposing expression pattern in response to itraconazole. The expression pattern of this lncRNA and its co-expression with hapB is distinct to the response to itraconazole, and not observed for other antifungal drugs </w:t>
      </w:r>
      <w:r w:rsidR="00B93FE7">
        <w:rPr>
          <w:rFonts w:ascii="Arial" w:hAnsi="Arial" w:cs="Arial"/>
          <w:sz w:val="24"/>
          <w:szCs w:val="24"/>
        </w:rPr>
        <w:t>(Supplementary table 5).</w:t>
      </w:r>
    </w:p>
    <w:p w14:paraId="0425D0C1" w14:textId="3F67B831" w:rsidR="004B64C8" w:rsidRPr="001902E0" w:rsidRDefault="5A631897" w:rsidP="001902E0">
      <w:pPr>
        <w:spacing w:line="360" w:lineRule="auto"/>
        <w:jc w:val="both"/>
        <w:rPr>
          <w:rFonts w:ascii="Arial" w:hAnsi="Arial" w:cs="Arial"/>
          <w:sz w:val="24"/>
          <w:szCs w:val="24"/>
        </w:rPr>
      </w:pPr>
      <w:r w:rsidRPr="001902E0">
        <w:rPr>
          <w:rFonts w:ascii="Arial" w:hAnsi="Arial" w:cs="Arial"/>
          <w:sz w:val="24"/>
          <w:szCs w:val="24"/>
        </w:rPr>
        <w:t>The L-orthinine N5-oxygenase, SidA</w:t>
      </w:r>
      <w:r w:rsidRPr="001902E0">
        <w:rPr>
          <w:rFonts w:ascii="Arial" w:hAnsi="Arial" w:cs="Arial"/>
          <w:i/>
          <w:iCs/>
          <w:sz w:val="24"/>
          <w:szCs w:val="24"/>
        </w:rPr>
        <w:t xml:space="preserve">, </w:t>
      </w:r>
      <w:r w:rsidRPr="001902E0">
        <w:rPr>
          <w:rFonts w:ascii="Arial" w:hAnsi="Arial" w:cs="Arial"/>
          <w:sz w:val="24"/>
          <w:szCs w:val="24"/>
        </w:rPr>
        <w:t>is responsible for the first step in siderophore biosynthesis. The sidA gene</w:t>
      </w:r>
      <w:r w:rsidRPr="001902E0">
        <w:rPr>
          <w:rFonts w:ascii="Arial" w:hAnsi="Arial" w:cs="Arial"/>
          <w:i/>
          <w:iCs/>
          <w:sz w:val="24"/>
          <w:szCs w:val="24"/>
        </w:rPr>
        <w:t xml:space="preserve"> </w:t>
      </w:r>
      <w:r w:rsidRPr="001902E0">
        <w:rPr>
          <w:rFonts w:ascii="Arial" w:hAnsi="Arial" w:cs="Arial"/>
          <w:sz w:val="24"/>
          <w:szCs w:val="24"/>
        </w:rPr>
        <w:t>is surrounded by lncRNA, with one downstream (</w:t>
      </w:r>
      <w:r w:rsidR="7754C1CB" w:rsidRPr="001902E0">
        <w:rPr>
          <w:rFonts w:ascii="Arial" w:hAnsi="Arial" w:cs="Arial"/>
          <w:sz w:val="24"/>
          <w:szCs w:val="24"/>
        </w:rPr>
        <w:t>AFUBlnc_</w:t>
      </w:r>
      <w:r w:rsidRPr="001902E0">
        <w:rPr>
          <w:rFonts w:ascii="Arial" w:hAnsi="Arial" w:cs="Arial"/>
          <w:sz w:val="24"/>
          <w:szCs w:val="24"/>
        </w:rPr>
        <w:t>1915.28) and two upstream lncRNA (</w:t>
      </w:r>
      <w:r w:rsidR="25B034D7" w:rsidRPr="001902E0">
        <w:rPr>
          <w:rFonts w:ascii="Arial" w:hAnsi="Arial" w:cs="Arial"/>
          <w:sz w:val="24"/>
          <w:szCs w:val="24"/>
        </w:rPr>
        <w:t>AFUBlnc_</w:t>
      </w:r>
      <w:r w:rsidRPr="001902E0">
        <w:rPr>
          <w:rFonts w:ascii="Arial" w:hAnsi="Arial" w:cs="Arial"/>
          <w:sz w:val="24"/>
          <w:szCs w:val="24"/>
        </w:rPr>
        <w:t xml:space="preserve">1917.17 and </w:t>
      </w:r>
      <w:r w:rsidR="54DD2959" w:rsidRPr="001902E0">
        <w:rPr>
          <w:rFonts w:ascii="Arial" w:hAnsi="Arial" w:cs="Arial"/>
          <w:sz w:val="24"/>
          <w:szCs w:val="24"/>
        </w:rPr>
        <w:t>AFUBlnc_</w:t>
      </w:r>
      <w:r w:rsidRPr="001902E0">
        <w:rPr>
          <w:rFonts w:ascii="Arial" w:hAnsi="Arial" w:cs="Arial"/>
          <w:sz w:val="24"/>
          <w:szCs w:val="24"/>
        </w:rPr>
        <w:t xml:space="preserve">1918.8) (Fig. </w:t>
      </w:r>
      <w:r w:rsidR="3F07E157" w:rsidRPr="001902E0">
        <w:rPr>
          <w:rFonts w:ascii="Arial" w:hAnsi="Arial" w:cs="Arial"/>
          <w:sz w:val="24"/>
          <w:szCs w:val="24"/>
        </w:rPr>
        <w:t>3</w:t>
      </w:r>
      <w:r w:rsidRPr="001902E0">
        <w:rPr>
          <w:rFonts w:ascii="Arial" w:hAnsi="Arial" w:cs="Arial"/>
          <w:sz w:val="24"/>
          <w:szCs w:val="24"/>
        </w:rPr>
        <w:t>A).</w:t>
      </w:r>
      <w:r w:rsidRPr="001902E0">
        <w:rPr>
          <w:rFonts w:ascii="Arial" w:hAnsi="Arial" w:cs="Arial"/>
          <w:i/>
          <w:iCs/>
          <w:sz w:val="24"/>
          <w:szCs w:val="24"/>
        </w:rPr>
        <w:t xml:space="preserve">  </w:t>
      </w:r>
      <w:r w:rsidRPr="001902E0">
        <w:rPr>
          <w:rFonts w:ascii="Arial" w:hAnsi="Arial" w:cs="Arial"/>
          <w:sz w:val="24"/>
          <w:szCs w:val="24"/>
        </w:rPr>
        <w:t xml:space="preserve">Although only the upstream bidirectional </w:t>
      </w:r>
      <w:r w:rsidR="54DD2959" w:rsidRPr="001902E0">
        <w:rPr>
          <w:rFonts w:ascii="Arial" w:hAnsi="Arial" w:cs="Arial"/>
          <w:sz w:val="24"/>
          <w:szCs w:val="24"/>
        </w:rPr>
        <w:t>AFUBlnc_</w:t>
      </w:r>
      <w:r w:rsidRPr="001902E0">
        <w:rPr>
          <w:rFonts w:ascii="Arial" w:hAnsi="Arial" w:cs="Arial"/>
          <w:sz w:val="24"/>
          <w:szCs w:val="24"/>
        </w:rPr>
        <w:t>1917.17 was classified in the same cluster as sidA (</w:t>
      </w:r>
      <w:r w:rsidR="00B93FE7">
        <w:rPr>
          <w:rFonts w:ascii="Arial" w:hAnsi="Arial" w:cs="Arial"/>
          <w:sz w:val="24"/>
          <w:szCs w:val="24"/>
        </w:rPr>
        <w:t xml:space="preserve">Supplementary Table 10, </w:t>
      </w:r>
      <w:r w:rsidRPr="001902E0">
        <w:rPr>
          <w:rFonts w:ascii="Arial" w:hAnsi="Arial" w:cs="Arial"/>
          <w:sz w:val="24"/>
          <w:szCs w:val="24"/>
        </w:rPr>
        <w:t xml:space="preserve">cluster 7), all three lncRNA near </w:t>
      </w:r>
      <w:r w:rsidRPr="001902E0">
        <w:rPr>
          <w:rFonts w:ascii="Arial" w:hAnsi="Arial" w:cs="Arial"/>
          <w:i/>
          <w:iCs/>
          <w:sz w:val="24"/>
          <w:szCs w:val="24"/>
        </w:rPr>
        <w:t>sidA</w:t>
      </w:r>
      <w:r w:rsidRPr="001902E0">
        <w:rPr>
          <w:rFonts w:ascii="Arial" w:hAnsi="Arial" w:cs="Arial"/>
          <w:sz w:val="24"/>
          <w:szCs w:val="24"/>
        </w:rPr>
        <w:t xml:space="preserve"> displayed co-down expression dose response patterns upon itraconazole treatment (Fig. </w:t>
      </w:r>
      <w:r w:rsidR="14717ED3" w:rsidRPr="001902E0">
        <w:rPr>
          <w:rFonts w:ascii="Arial" w:hAnsi="Arial" w:cs="Arial"/>
          <w:sz w:val="24"/>
          <w:szCs w:val="24"/>
        </w:rPr>
        <w:t>3</w:t>
      </w:r>
      <w:r w:rsidRPr="001902E0">
        <w:rPr>
          <w:rFonts w:ascii="Arial" w:hAnsi="Arial" w:cs="Arial"/>
          <w:sz w:val="24"/>
          <w:szCs w:val="24"/>
        </w:rPr>
        <w:t>B).</w:t>
      </w:r>
      <w:r w:rsidRPr="001902E0">
        <w:rPr>
          <w:rFonts w:ascii="Arial" w:hAnsi="Arial" w:cs="Arial"/>
          <w:i/>
          <w:iCs/>
          <w:sz w:val="24"/>
          <w:szCs w:val="24"/>
        </w:rPr>
        <w:t xml:space="preserve"> </w:t>
      </w:r>
      <w:r w:rsidRPr="001902E0">
        <w:rPr>
          <w:rFonts w:ascii="Arial" w:hAnsi="Arial" w:cs="Arial"/>
          <w:sz w:val="24"/>
          <w:szCs w:val="24"/>
        </w:rPr>
        <w:t xml:space="preserve">The lncRNA </w:t>
      </w:r>
      <w:r w:rsidR="2699FFBF" w:rsidRPr="001902E0">
        <w:rPr>
          <w:rFonts w:ascii="Arial" w:hAnsi="Arial" w:cs="Arial"/>
          <w:sz w:val="24"/>
          <w:szCs w:val="24"/>
        </w:rPr>
        <w:t>AFUBlnc_</w:t>
      </w:r>
      <w:r w:rsidRPr="001902E0">
        <w:rPr>
          <w:rFonts w:ascii="Arial" w:hAnsi="Arial" w:cs="Arial"/>
          <w:sz w:val="24"/>
          <w:szCs w:val="24"/>
        </w:rPr>
        <w:t>1917.17 was found to have a similar down expression pattern in response to all drugs excluding hygromycin, with all other drug responses identified in cluster 5 or 12 (</w:t>
      </w:r>
      <w:r w:rsidR="095EABCA" w:rsidRPr="001902E0">
        <w:rPr>
          <w:rFonts w:ascii="Arial" w:hAnsi="Arial" w:cs="Arial"/>
          <w:sz w:val="24"/>
          <w:szCs w:val="24"/>
        </w:rPr>
        <w:t>Fig. 2J</w:t>
      </w:r>
      <w:r w:rsidRPr="001902E0">
        <w:rPr>
          <w:rFonts w:ascii="Arial" w:hAnsi="Arial" w:cs="Arial"/>
          <w:sz w:val="24"/>
          <w:szCs w:val="24"/>
        </w:rPr>
        <w:t xml:space="preserve">). Similar to the observation with itraconazole, </w:t>
      </w:r>
      <w:r w:rsidR="071C6774" w:rsidRPr="001902E0">
        <w:rPr>
          <w:rFonts w:ascii="Arial" w:hAnsi="Arial" w:cs="Arial"/>
          <w:sz w:val="24"/>
          <w:szCs w:val="24"/>
        </w:rPr>
        <w:t>AFUBlnc_</w:t>
      </w:r>
      <w:r w:rsidRPr="001902E0">
        <w:rPr>
          <w:rFonts w:ascii="Arial" w:hAnsi="Arial" w:cs="Arial"/>
          <w:sz w:val="24"/>
          <w:szCs w:val="24"/>
        </w:rPr>
        <w:t xml:space="preserve">1917.17 and other neighbouring lncRNA also displayed similar expression patterns to sidA in these drug datasets. There was significant correlation between sidA and </w:t>
      </w:r>
      <w:r w:rsidR="071C6774" w:rsidRPr="001902E0">
        <w:rPr>
          <w:rFonts w:ascii="Arial" w:hAnsi="Arial" w:cs="Arial"/>
          <w:sz w:val="24"/>
          <w:szCs w:val="24"/>
        </w:rPr>
        <w:t>AFUBlnc_</w:t>
      </w:r>
      <w:r w:rsidRPr="001902E0">
        <w:rPr>
          <w:rFonts w:ascii="Arial" w:hAnsi="Arial" w:cs="Arial"/>
          <w:sz w:val="24"/>
          <w:szCs w:val="24"/>
        </w:rPr>
        <w:t>1917.17 log fold change values from all drug datasets excluding hygromycin (R</w:t>
      </w:r>
      <w:r w:rsidRPr="001902E0">
        <w:rPr>
          <w:rFonts w:ascii="Arial" w:hAnsi="Arial" w:cs="Arial"/>
          <w:sz w:val="24"/>
          <w:szCs w:val="24"/>
          <w:vertAlign w:val="superscript"/>
        </w:rPr>
        <w:t xml:space="preserve">2 </w:t>
      </w:r>
      <w:r w:rsidRPr="001902E0">
        <w:rPr>
          <w:rFonts w:ascii="Arial" w:hAnsi="Arial" w:cs="Arial"/>
          <w:sz w:val="24"/>
          <w:szCs w:val="24"/>
        </w:rPr>
        <w:t xml:space="preserve">= 0.7, </w:t>
      </w:r>
      <w:r w:rsidRPr="001902E0">
        <w:rPr>
          <w:rFonts w:ascii="Arial" w:hAnsi="Arial" w:cs="Arial"/>
          <w:i/>
          <w:iCs/>
          <w:sz w:val="24"/>
          <w:szCs w:val="24"/>
        </w:rPr>
        <w:t xml:space="preserve">p </w:t>
      </w:r>
      <w:r w:rsidRPr="001902E0">
        <w:rPr>
          <w:rFonts w:ascii="Arial" w:hAnsi="Arial" w:cs="Arial"/>
          <w:sz w:val="24"/>
          <w:szCs w:val="24"/>
        </w:rPr>
        <w:t xml:space="preserve">= 2.2e-07) (Fig. </w:t>
      </w:r>
      <w:r w:rsidR="69F165ED" w:rsidRPr="001902E0">
        <w:rPr>
          <w:rFonts w:ascii="Arial" w:hAnsi="Arial" w:cs="Arial"/>
          <w:sz w:val="24"/>
          <w:szCs w:val="24"/>
        </w:rPr>
        <w:t>3C</w:t>
      </w:r>
      <w:r w:rsidR="5B3D23AF" w:rsidRPr="001902E0">
        <w:rPr>
          <w:rFonts w:ascii="Arial" w:hAnsi="Arial" w:cs="Arial"/>
          <w:sz w:val="24"/>
          <w:szCs w:val="24"/>
        </w:rPr>
        <w:t xml:space="preserve"> and </w:t>
      </w:r>
      <w:r w:rsidR="7A20DE81" w:rsidRPr="001902E0">
        <w:rPr>
          <w:rFonts w:ascii="Arial" w:hAnsi="Arial" w:cs="Arial"/>
          <w:sz w:val="24"/>
          <w:szCs w:val="24"/>
        </w:rPr>
        <w:t xml:space="preserve">Extended Data Figure </w:t>
      </w:r>
      <w:r w:rsidR="5F8E4FD7" w:rsidRPr="001902E0">
        <w:rPr>
          <w:rFonts w:ascii="Arial" w:hAnsi="Arial" w:cs="Arial"/>
          <w:sz w:val="24"/>
          <w:szCs w:val="24"/>
        </w:rPr>
        <w:t>5</w:t>
      </w:r>
      <w:r w:rsidR="00832546">
        <w:rPr>
          <w:rFonts w:ascii="Arial" w:hAnsi="Arial" w:cs="Arial"/>
          <w:sz w:val="24"/>
          <w:szCs w:val="24"/>
        </w:rPr>
        <w:t>A</w:t>
      </w:r>
      <w:r w:rsidRPr="001902E0">
        <w:rPr>
          <w:rFonts w:ascii="Arial" w:hAnsi="Arial" w:cs="Arial"/>
          <w:sz w:val="24"/>
          <w:szCs w:val="24"/>
        </w:rPr>
        <w:t>). There was also significant correlation between the other nearby lncRNAs and sidA LFC values, albeit with less apparent co-expression patterns (R</w:t>
      </w:r>
      <w:r w:rsidRPr="001902E0">
        <w:rPr>
          <w:rFonts w:ascii="Arial" w:hAnsi="Arial" w:cs="Arial"/>
          <w:sz w:val="24"/>
          <w:szCs w:val="24"/>
          <w:vertAlign w:val="superscript"/>
        </w:rPr>
        <w:t xml:space="preserve">2 </w:t>
      </w:r>
      <w:r w:rsidRPr="001902E0">
        <w:rPr>
          <w:rFonts w:ascii="Arial" w:hAnsi="Arial" w:cs="Arial"/>
          <w:sz w:val="24"/>
          <w:szCs w:val="24"/>
        </w:rPr>
        <w:t xml:space="preserve">= 0.46, </w:t>
      </w:r>
      <w:r w:rsidRPr="001902E0">
        <w:rPr>
          <w:rFonts w:ascii="Arial" w:hAnsi="Arial" w:cs="Arial"/>
          <w:i/>
          <w:iCs/>
          <w:sz w:val="24"/>
          <w:szCs w:val="24"/>
        </w:rPr>
        <w:t xml:space="preserve">p </w:t>
      </w:r>
      <w:r w:rsidRPr="001902E0">
        <w:rPr>
          <w:rFonts w:ascii="Arial" w:hAnsi="Arial" w:cs="Arial"/>
          <w:sz w:val="24"/>
          <w:szCs w:val="24"/>
        </w:rPr>
        <w:t>= 0.0001 and R</w:t>
      </w:r>
      <w:r w:rsidRPr="001902E0">
        <w:rPr>
          <w:rFonts w:ascii="Arial" w:hAnsi="Arial" w:cs="Arial"/>
          <w:sz w:val="24"/>
          <w:szCs w:val="24"/>
          <w:vertAlign w:val="superscript"/>
        </w:rPr>
        <w:t xml:space="preserve">2 </w:t>
      </w:r>
      <w:r w:rsidRPr="001902E0">
        <w:rPr>
          <w:rFonts w:ascii="Arial" w:hAnsi="Arial" w:cs="Arial"/>
          <w:sz w:val="24"/>
          <w:szCs w:val="24"/>
        </w:rPr>
        <w:t xml:space="preserve">= 0.43, </w:t>
      </w:r>
      <w:r w:rsidRPr="001902E0">
        <w:rPr>
          <w:rFonts w:ascii="Arial" w:hAnsi="Arial" w:cs="Arial"/>
          <w:i/>
          <w:iCs/>
          <w:sz w:val="24"/>
          <w:szCs w:val="24"/>
        </w:rPr>
        <w:t xml:space="preserve">p </w:t>
      </w:r>
      <w:r w:rsidRPr="001902E0">
        <w:rPr>
          <w:rFonts w:ascii="Arial" w:hAnsi="Arial" w:cs="Arial"/>
          <w:sz w:val="24"/>
          <w:szCs w:val="24"/>
        </w:rPr>
        <w:t xml:space="preserve">= 0.0002 for </w:t>
      </w:r>
      <w:r w:rsidR="72A28E4A" w:rsidRPr="001902E0">
        <w:rPr>
          <w:rFonts w:ascii="Arial" w:hAnsi="Arial" w:cs="Arial"/>
          <w:sz w:val="24"/>
          <w:szCs w:val="24"/>
        </w:rPr>
        <w:t>AFUBlnc_</w:t>
      </w:r>
      <w:r w:rsidRPr="001902E0">
        <w:rPr>
          <w:rFonts w:ascii="Arial" w:hAnsi="Arial" w:cs="Arial"/>
          <w:sz w:val="24"/>
          <w:szCs w:val="24"/>
        </w:rPr>
        <w:t xml:space="preserve">1915.28 and </w:t>
      </w:r>
      <w:r w:rsidR="72A28E4A" w:rsidRPr="001902E0">
        <w:rPr>
          <w:rFonts w:ascii="Arial" w:hAnsi="Arial" w:cs="Arial"/>
          <w:sz w:val="24"/>
          <w:szCs w:val="24"/>
        </w:rPr>
        <w:t>AFUBlnc_</w:t>
      </w:r>
      <w:r w:rsidRPr="001902E0">
        <w:rPr>
          <w:rFonts w:ascii="Arial" w:hAnsi="Arial" w:cs="Arial"/>
          <w:sz w:val="24"/>
          <w:szCs w:val="24"/>
        </w:rPr>
        <w:t>1918.8, respectively) (</w:t>
      </w:r>
      <w:r w:rsidR="763A72CD" w:rsidRPr="001902E0">
        <w:rPr>
          <w:rFonts w:ascii="Arial" w:hAnsi="Arial" w:cs="Arial"/>
          <w:sz w:val="24"/>
          <w:szCs w:val="24"/>
        </w:rPr>
        <w:t xml:space="preserve">Extended Data Figure </w:t>
      </w:r>
      <w:r w:rsidR="04895912" w:rsidRPr="001902E0">
        <w:rPr>
          <w:rFonts w:ascii="Arial" w:hAnsi="Arial" w:cs="Arial"/>
          <w:sz w:val="24"/>
          <w:szCs w:val="24"/>
        </w:rPr>
        <w:t>5</w:t>
      </w:r>
      <w:r w:rsidR="001021F2">
        <w:rPr>
          <w:rFonts w:ascii="Arial" w:hAnsi="Arial" w:cs="Arial"/>
          <w:sz w:val="24"/>
          <w:szCs w:val="24"/>
        </w:rPr>
        <w:t>A</w:t>
      </w:r>
      <w:r w:rsidRPr="001902E0">
        <w:rPr>
          <w:rFonts w:ascii="Arial" w:hAnsi="Arial" w:cs="Arial"/>
          <w:sz w:val="24"/>
          <w:szCs w:val="24"/>
        </w:rPr>
        <w:t xml:space="preserve">). </w:t>
      </w:r>
      <w:r w:rsidR="001021F2">
        <w:rPr>
          <w:rFonts w:ascii="Arial" w:hAnsi="Arial" w:cs="Arial"/>
          <w:sz w:val="24"/>
          <w:szCs w:val="24"/>
        </w:rPr>
        <w:t xml:space="preserve">No significant correlation was found between </w:t>
      </w:r>
      <w:r w:rsidR="001021F2" w:rsidRPr="001902E0">
        <w:rPr>
          <w:rFonts w:ascii="Arial" w:hAnsi="Arial" w:cs="Arial"/>
          <w:sz w:val="24"/>
          <w:szCs w:val="24"/>
        </w:rPr>
        <w:t>AFUBlnc_1917.17</w:t>
      </w:r>
      <w:r w:rsidR="001021F2">
        <w:rPr>
          <w:rFonts w:ascii="Arial" w:hAnsi="Arial" w:cs="Arial"/>
          <w:sz w:val="24"/>
          <w:szCs w:val="24"/>
        </w:rPr>
        <w:t xml:space="preserve"> and the next two flanking genes (AFUB_023710 and AFUB_023730) </w:t>
      </w:r>
      <w:r w:rsidR="001021F2" w:rsidRPr="001902E0">
        <w:rPr>
          <w:rFonts w:ascii="Arial" w:hAnsi="Arial" w:cs="Arial"/>
          <w:sz w:val="24"/>
          <w:szCs w:val="24"/>
        </w:rPr>
        <w:t>(Extended Data Figure 5</w:t>
      </w:r>
      <w:r w:rsidR="001021F2">
        <w:rPr>
          <w:rFonts w:ascii="Arial" w:hAnsi="Arial" w:cs="Arial"/>
          <w:sz w:val="24"/>
          <w:szCs w:val="24"/>
        </w:rPr>
        <w:t>B</w:t>
      </w:r>
      <w:r w:rsidR="001021F2" w:rsidRPr="001902E0">
        <w:rPr>
          <w:rFonts w:ascii="Arial" w:hAnsi="Arial" w:cs="Arial"/>
          <w:sz w:val="24"/>
          <w:szCs w:val="24"/>
        </w:rPr>
        <w:t>).</w:t>
      </w:r>
    </w:p>
    <w:p w14:paraId="39C6373B" w14:textId="7C4C4F6A" w:rsidR="004B64C8" w:rsidRPr="001902E0" w:rsidRDefault="5A631897" w:rsidP="001902E0">
      <w:pPr>
        <w:spacing w:line="360" w:lineRule="auto"/>
        <w:jc w:val="both"/>
        <w:rPr>
          <w:rFonts w:ascii="Arial" w:hAnsi="Arial" w:cs="Arial"/>
          <w:sz w:val="24"/>
          <w:szCs w:val="24"/>
        </w:rPr>
      </w:pPr>
      <w:r w:rsidRPr="001902E0">
        <w:rPr>
          <w:rFonts w:ascii="Arial" w:hAnsi="Arial" w:cs="Arial"/>
          <w:sz w:val="24"/>
          <w:szCs w:val="24"/>
        </w:rPr>
        <w:lastRenderedPageBreak/>
        <w:t>The fusarinine C acetyltransferase gene, sidG is located within one of the siderophore gene clusters which also includes mirB, estB and an ABC transporter (AFUB_044470)</w:t>
      </w:r>
      <w:r w:rsidR="00435632">
        <w:rPr>
          <w:rFonts w:ascii="Arial" w:hAnsi="Arial" w:cs="Arial"/>
          <w:sz w:val="24"/>
          <w:szCs w:val="24"/>
        </w:rPr>
        <w:fldChar w:fldCharType="begin"/>
      </w:r>
      <w:r w:rsidR="00325665">
        <w:rPr>
          <w:rFonts w:ascii="Arial" w:hAnsi="Arial" w:cs="Arial"/>
          <w:sz w:val="24"/>
          <w:szCs w:val="24"/>
        </w:rPr>
        <w:instrText xml:space="preserve"> ADDIN ZOTERO_ITEM CSL_CITATION {"citationID":"a2l41h2lbg7","properties":{"formattedCitation":"\\super 57\\nosupersub{}","plainCitation":"57","noteIndex":0},"citationItems":[{"id":"OBmFgxVO/VH9wCxDx","uris":["http://zotero.org/users/14764592/items/CPSMAB2L"],"itemData":{"id":497,"type":"article-journal","abstract":"Aspergillus fumigatus, the most common airborne fungal pathogen of humans, employs two high-affinity iron uptake systems: iron uptake mediated by the extracellular siderophore triacetylfusarinine C and reductive iron assimilation. Furthermore, A. fumigatus utilizes two intracellular siderophores, ferricrocin and hydroxyferricrocin, to store iron. Siderophore biosynthesis, which is essential for virulence, is repressed by iron. Here we show that this control is mediated by the GATA factor SreA. During iron-replete conditions, SreA deficiency partially derepressed synthesis of triacetylfusarinine C and uptake of iron resulting in increased cellular accumulation of both iron and ferricrocin. Genome-wide DNA microarray analysis identified 49 genes that are repressed by iron in an SreA-dependent manner. This gene set, termed SreA regulon, includes all known genes involved in iron acquisition, putative novel siderophore biosynthetic genes, and also genes not directly linked to iron metabolism. SreA deficiency also caused upregulation of iron-dependent and antioxidative pathways, probably due to the increased iron content and iron-mediated oxidative stress. Consistently, the sreA disruption mutant displayed increased sensitivity to iron, menadion and phleomycin but retained wild-type virulence in a mouse model. As all detrimental effects of sreA disruption are restricted to iron-replete conditions these data underscore that A. fumigatus faces iron-depleted conditions during infection.","call-number":"2","container-title":"Molecular Microbiology","DOI":"10.1111/j.1365-2958.2008.06376.x","ISSN":"1365-2958","issue":"1","journalAbbreviation":"Mol Microbiol","language":"eng","note":"PMID: 18721228\nPMCID: PMC2610380","page":"27-43","source":"3.6","title":"SreA-mediated iron regulation in Aspergillus fumigatus","volume":"70","author":[{"family":"Schrettl","given":"Markus"},{"family":"Kim","given":"H. Stanley"},{"family":"Eisendle","given":"Martin"},{"family":"Kragl","given":"Claudia"},{"family":"Nierman","given":"William C."},{"family":"Heinekamp","given":"Thorsten"},{"family":"Werner","given":"Ernst R."},{"family":"Jacobsen","given":"Ilse"},{"family":"Illmer","given":"Paul"},{"family":"Yi","given":"Hyojeong"},{"family":"Brakhage","given":"Axel A."},{"family":"Haas","given":"Hubertus"}],"issued":{"date-parts":[["2008",10]]}}}],"schema":"https://github.com/citation-style-language/schema/raw/master/csl-citation.json"} </w:instrText>
      </w:r>
      <w:r w:rsidR="00435632">
        <w:rPr>
          <w:rFonts w:ascii="Arial" w:hAnsi="Arial" w:cs="Arial"/>
          <w:sz w:val="24"/>
          <w:szCs w:val="24"/>
        </w:rPr>
        <w:fldChar w:fldCharType="separate"/>
      </w:r>
      <w:r w:rsidR="00325665" w:rsidRPr="00325665">
        <w:rPr>
          <w:rFonts w:ascii="Arial" w:hAnsi="Arial" w:cs="Arial"/>
          <w:sz w:val="24"/>
          <w:vertAlign w:val="superscript"/>
        </w:rPr>
        <w:t>57</w:t>
      </w:r>
      <w:r w:rsidR="00435632">
        <w:rPr>
          <w:rFonts w:ascii="Arial" w:hAnsi="Arial" w:cs="Arial"/>
          <w:sz w:val="24"/>
          <w:szCs w:val="24"/>
        </w:rPr>
        <w:fldChar w:fldCharType="end"/>
      </w:r>
      <w:r w:rsidR="00435632">
        <w:rPr>
          <w:rFonts w:ascii="Arial" w:hAnsi="Arial" w:cs="Arial"/>
          <w:sz w:val="24"/>
          <w:szCs w:val="24"/>
        </w:rPr>
        <w:t>.</w:t>
      </w:r>
      <w:r w:rsidRPr="001902E0">
        <w:rPr>
          <w:rFonts w:ascii="Arial" w:hAnsi="Arial" w:cs="Arial"/>
          <w:sz w:val="24"/>
          <w:szCs w:val="24"/>
        </w:rPr>
        <w:t xml:space="preserve">The lncRNA </w:t>
      </w:r>
      <w:r w:rsidR="29A5A7C4" w:rsidRPr="001902E0">
        <w:rPr>
          <w:rFonts w:ascii="Arial" w:hAnsi="Arial" w:cs="Arial"/>
          <w:sz w:val="24"/>
          <w:szCs w:val="24"/>
        </w:rPr>
        <w:t>AFUBlnc_</w:t>
      </w:r>
      <w:r w:rsidRPr="001902E0">
        <w:rPr>
          <w:rFonts w:ascii="Arial" w:hAnsi="Arial" w:cs="Arial"/>
          <w:sz w:val="24"/>
          <w:szCs w:val="24"/>
        </w:rPr>
        <w:t xml:space="preserve">3085.15 is also within this gene cluster and is antisense to both sidG and estB (Fig. </w:t>
      </w:r>
      <w:r w:rsidR="283451A1" w:rsidRPr="001902E0">
        <w:rPr>
          <w:rFonts w:ascii="Arial" w:hAnsi="Arial" w:cs="Arial"/>
          <w:sz w:val="24"/>
          <w:szCs w:val="24"/>
        </w:rPr>
        <w:t>3D</w:t>
      </w:r>
      <w:r w:rsidRPr="001902E0">
        <w:rPr>
          <w:rFonts w:ascii="Arial" w:hAnsi="Arial" w:cs="Arial"/>
          <w:sz w:val="24"/>
          <w:szCs w:val="24"/>
        </w:rPr>
        <w:t xml:space="preserve">). As well as sidG, earlier cluster analysis identified that </w:t>
      </w:r>
      <w:r w:rsidR="29A5A7C4" w:rsidRPr="001902E0">
        <w:rPr>
          <w:rFonts w:ascii="Arial" w:hAnsi="Arial" w:cs="Arial"/>
          <w:sz w:val="24"/>
          <w:szCs w:val="24"/>
        </w:rPr>
        <w:t>AFUBlnc_</w:t>
      </w:r>
      <w:r w:rsidRPr="001902E0">
        <w:rPr>
          <w:rFonts w:ascii="Arial" w:hAnsi="Arial" w:cs="Arial"/>
          <w:sz w:val="24"/>
          <w:szCs w:val="24"/>
        </w:rPr>
        <w:t xml:space="preserve">3085.15 also displayed similar itraconazole response pattern to mirB and the ABC transporter (all found in cluster 7) (Fig. </w:t>
      </w:r>
      <w:r w:rsidR="723539C0" w:rsidRPr="001902E0">
        <w:rPr>
          <w:rFonts w:ascii="Arial" w:hAnsi="Arial" w:cs="Arial"/>
          <w:sz w:val="24"/>
          <w:szCs w:val="24"/>
        </w:rPr>
        <w:t>3</w:t>
      </w:r>
      <w:r w:rsidRPr="001902E0">
        <w:rPr>
          <w:rFonts w:ascii="Arial" w:hAnsi="Arial" w:cs="Arial"/>
          <w:sz w:val="24"/>
          <w:szCs w:val="24"/>
        </w:rPr>
        <w:t xml:space="preserve">E). </w:t>
      </w:r>
      <w:r w:rsidR="00F257D8">
        <w:rPr>
          <w:rFonts w:ascii="Arial" w:hAnsi="Arial" w:cs="Arial"/>
          <w:sz w:val="24"/>
          <w:szCs w:val="24"/>
        </w:rPr>
        <w:t>Notably,</w:t>
      </w:r>
      <w:r w:rsidR="00F257D8" w:rsidRPr="00F257D8">
        <w:rPr>
          <w:rFonts w:ascii="Arial" w:hAnsi="Arial" w:cs="Arial"/>
          <w:sz w:val="24"/>
          <w:szCs w:val="24"/>
        </w:rPr>
        <w:t xml:space="preserve"> </w:t>
      </w:r>
      <w:r w:rsidR="00F257D8" w:rsidRPr="001902E0">
        <w:rPr>
          <w:rFonts w:ascii="Arial" w:hAnsi="Arial" w:cs="Arial"/>
          <w:sz w:val="24"/>
          <w:szCs w:val="24"/>
        </w:rPr>
        <w:t xml:space="preserve">AFUBlnc_3085.15 </w:t>
      </w:r>
      <w:r w:rsidR="00F257D8">
        <w:rPr>
          <w:rFonts w:ascii="Arial" w:hAnsi="Arial" w:cs="Arial"/>
          <w:sz w:val="24"/>
          <w:szCs w:val="24"/>
        </w:rPr>
        <w:t xml:space="preserve">does not display correlated expression with nearby genes </w:t>
      </w:r>
      <w:r w:rsidR="00BB75E9">
        <w:rPr>
          <w:rFonts w:ascii="Arial" w:hAnsi="Arial" w:cs="Arial"/>
          <w:sz w:val="24"/>
          <w:szCs w:val="24"/>
        </w:rPr>
        <w:t xml:space="preserve">which are </w:t>
      </w:r>
      <w:r w:rsidR="00F257D8">
        <w:rPr>
          <w:rFonts w:ascii="Arial" w:hAnsi="Arial" w:cs="Arial"/>
          <w:sz w:val="24"/>
          <w:szCs w:val="24"/>
        </w:rPr>
        <w:t xml:space="preserve">outside </w:t>
      </w:r>
      <w:r w:rsidR="00BB75E9">
        <w:rPr>
          <w:rFonts w:ascii="Arial" w:hAnsi="Arial" w:cs="Arial"/>
          <w:sz w:val="24"/>
          <w:szCs w:val="24"/>
        </w:rPr>
        <w:t xml:space="preserve">of </w:t>
      </w:r>
      <w:r w:rsidR="00F257D8">
        <w:rPr>
          <w:rFonts w:ascii="Arial" w:hAnsi="Arial" w:cs="Arial"/>
          <w:sz w:val="24"/>
          <w:szCs w:val="24"/>
        </w:rPr>
        <w:t xml:space="preserve">the SidG cluster (AFUB_044460 and AFUB_044510) (Extended Data Figure 5C). </w:t>
      </w:r>
      <w:r w:rsidRPr="001902E0">
        <w:rPr>
          <w:rFonts w:ascii="Arial" w:hAnsi="Arial" w:cs="Arial"/>
          <w:sz w:val="24"/>
          <w:szCs w:val="24"/>
        </w:rPr>
        <w:t xml:space="preserve">When assessing the expression pattern of this lncRNA in other datasets, it was found to be down expressed in response to all drugs excluding hygromycin, with all other drug responses identified in either cluster 5 or 12 </w:t>
      </w:r>
      <w:r w:rsidR="6CCF8D37" w:rsidRPr="001902E0">
        <w:rPr>
          <w:rFonts w:ascii="Arial" w:hAnsi="Arial" w:cs="Arial"/>
          <w:sz w:val="24"/>
          <w:szCs w:val="24"/>
        </w:rPr>
        <w:t>(Fig. 2J)</w:t>
      </w:r>
      <w:r w:rsidRPr="001902E0">
        <w:rPr>
          <w:rFonts w:ascii="Arial" w:hAnsi="Arial" w:cs="Arial"/>
          <w:sz w:val="24"/>
          <w:szCs w:val="24"/>
        </w:rPr>
        <w:t xml:space="preserve">. As found with itraconazole, the lncRNA displayed a strikingly similar co-expression pattern to all the genes in the sidG cluster in response to simvastatin </w:t>
      </w:r>
      <w:r w:rsidR="4B8F2F37" w:rsidRPr="001902E0">
        <w:rPr>
          <w:rFonts w:ascii="Arial" w:hAnsi="Arial" w:cs="Arial"/>
          <w:sz w:val="24"/>
          <w:szCs w:val="24"/>
        </w:rPr>
        <w:t>(Fig. 3E)</w:t>
      </w:r>
      <w:r w:rsidRPr="001902E0">
        <w:rPr>
          <w:rFonts w:ascii="Arial" w:hAnsi="Arial" w:cs="Arial"/>
          <w:sz w:val="24"/>
          <w:szCs w:val="24"/>
        </w:rPr>
        <w:t xml:space="preserve">. Combining the data from all drug treatments excluding hygromycin demonstrated strong correlation between the LFC values of the lncRNA and each gene (Fig. </w:t>
      </w:r>
      <w:r w:rsidR="31E47B5F" w:rsidRPr="001902E0">
        <w:rPr>
          <w:rFonts w:ascii="Arial" w:hAnsi="Arial" w:cs="Arial"/>
          <w:sz w:val="24"/>
          <w:szCs w:val="24"/>
        </w:rPr>
        <w:t>3</w:t>
      </w:r>
      <w:r w:rsidRPr="001902E0">
        <w:rPr>
          <w:rFonts w:ascii="Arial" w:hAnsi="Arial" w:cs="Arial"/>
          <w:sz w:val="24"/>
          <w:szCs w:val="24"/>
        </w:rPr>
        <w:t>F). Notably, the strongest correlation in LFC values was observed for the lncRNA with mirB and sidG (R</w:t>
      </w:r>
      <w:r w:rsidRPr="001902E0">
        <w:rPr>
          <w:rFonts w:ascii="Arial" w:hAnsi="Arial" w:cs="Arial"/>
          <w:sz w:val="24"/>
          <w:szCs w:val="24"/>
          <w:vertAlign w:val="superscript"/>
        </w:rPr>
        <w:t xml:space="preserve">2 </w:t>
      </w:r>
      <w:r w:rsidRPr="001902E0">
        <w:rPr>
          <w:rFonts w:ascii="Arial" w:hAnsi="Arial" w:cs="Arial"/>
          <w:sz w:val="24"/>
          <w:szCs w:val="24"/>
        </w:rPr>
        <w:t xml:space="preserve">= 0.96, </w:t>
      </w:r>
      <w:r w:rsidRPr="001902E0">
        <w:rPr>
          <w:rFonts w:ascii="Arial" w:hAnsi="Arial" w:cs="Arial"/>
          <w:i/>
          <w:iCs/>
          <w:sz w:val="24"/>
          <w:szCs w:val="24"/>
        </w:rPr>
        <w:t xml:space="preserve">p </w:t>
      </w:r>
      <w:r w:rsidRPr="001902E0">
        <w:rPr>
          <w:rFonts w:ascii="Arial" w:hAnsi="Arial" w:cs="Arial"/>
          <w:sz w:val="24"/>
          <w:szCs w:val="24"/>
        </w:rPr>
        <w:t>= 3.3e-18 and R</w:t>
      </w:r>
      <w:r w:rsidRPr="001902E0">
        <w:rPr>
          <w:rFonts w:ascii="Arial" w:hAnsi="Arial" w:cs="Arial"/>
          <w:sz w:val="24"/>
          <w:szCs w:val="24"/>
          <w:vertAlign w:val="superscript"/>
        </w:rPr>
        <w:t xml:space="preserve">2 </w:t>
      </w:r>
      <w:r w:rsidRPr="001902E0">
        <w:rPr>
          <w:rFonts w:ascii="Arial" w:hAnsi="Arial" w:cs="Arial"/>
          <w:sz w:val="24"/>
          <w:szCs w:val="24"/>
        </w:rPr>
        <w:t xml:space="preserve">= 0.93, </w:t>
      </w:r>
      <w:r w:rsidRPr="001902E0">
        <w:rPr>
          <w:rFonts w:ascii="Arial" w:hAnsi="Arial" w:cs="Arial"/>
          <w:i/>
          <w:iCs/>
          <w:sz w:val="24"/>
          <w:szCs w:val="24"/>
        </w:rPr>
        <w:t xml:space="preserve">p </w:t>
      </w:r>
      <w:r w:rsidRPr="001902E0">
        <w:rPr>
          <w:rFonts w:ascii="Arial" w:hAnsi="Arial" w:cs="Arial"/>
          <w:sz w:val="24"/>
          <w:szCs w:val="24"/>
        </w:rPr>
        <w:t xml:space="preserve">= 5.1e-15, respectively). Therefore, the novel lncRNA antisense to sidG and estB displays significant co-expression with all the genes in this siderophore-associated gene cluster. </w:t>
      </w:r>
    </w:p>
    <w:p w14:paraId="0441B857" w14:textId="4F1BBD72" w:rsidR="004B64C8" w:rsidRPr="001902E0" w:rsidRDefault="004B64C8" w:rsidP="001902E0">
      <w:pPr>
        <w:spacing w:line="360" w:lineRule="auto"/>
        <w:jc w:val="both"/>
        <w:rPr>
          <w:rFonts w:ascii="Arial" w:hAnsi="Arial" w:cs="Arial"/>
          <w:sz w:val="24"/>
          <w:szCs w:val="24"/>
        </w:rPr>
      </w:pPr>
    </w:p>
    <w:p w14:paraId="695C2D51" w14:textId="3CB06F4B" w:rsidR="015B2471" w:rsidRPr="001902E0" w:rsidRDefault="015B2471" w:rsidP="001902E0">
      <w:pPr>
        <w:tabs>
          <w:tab w:val="left" w:pos="6225"/>
        </w:tabs>
        <w:spacing w:line="360" w:lineRule="auto"/>
        <w:jc w:val="both"/>
        <w:rPr>
          <w:rFonts w:ascii="Arial" w:hAnsi="Arial" w:cs="Arial"/>
          <w:color w:val="000000" w:themeColor="text1"/>
          <w:sz w:val="24"/>
          <w:szCs w:val="24"/>
        </w:rPr>
      </w:pPr>
      <w:r w:rsidRPr="001902E0">
        <w:rPr>
          <w:rFonts w:ascii="Arial" w:hAnsi="Arial" w:cs="Arial"/>
          <w:color w:val="000000" w:themeColor="text1"/>
          <w:sz w:val="24"/>
          <w:szCs w:val="24"/>
        </w:rPr>
        <w:t>Cyp51A is a sterol C14-demethylase and is the target of the azole antifungals. As a result, its mutation is a significant contributor to azole resistance. There are two lncRNAs found within the promoter region of Cyp51A and are hence named Cyp51A-promoter lncRNA (CPL) for the lncRNA transcribed in sense to cyp51A (AFUBlnc_4669.11) and antiCPL for the lncRNA described in the opposite direction (AFUBlnc_4670.4) (Fig. 3G). CPL covers all known regulatory binding motifs in the promoter, including the CCAAT-binding complex (CBC), HapX, SrbA</w:t>
      </w:r>
      <w:r w:rsidRPr="001902E0">
        <w:rPr>
          <w:rFonts w:ascii="Arial" w:hAnsi="Arial" w:cs="Arial"/>
          <w:color w:val="000000" w:themeColor="text1"/>
          <w:sz w:val="24"/>
          <w:szCs w:val="24"/>
        </w:rPr>
        <w:fldChar w:fldCharType="begin"/>
      </w:r>
      <w:r w:rsidRPr="001902E0">
        <w:rPr>
          <w:rFonts w:ascii="Arial" w:hAnsi="Arial" w:cs="Arial"/>
          <w:color w:val="000000" w:themeColor="text1"/>
          <w:sz w:val="24"/>
          <w:szCs w:val="24"/>
        </w:rPr>
        <w:instrText xml:space="preserve"> ADDIN EN.CITE &lt;EndNote&gt;&lt;Cite&gt;&lt;Author&gt;Gsaller&lt;/Author&gt;&lt;Year&gt;2016&lt;/Year&gt;&lt;IDText&gt;Sterol Biosynthesis and Azole Tolerance Is Governed by the Opposing Actions of SrbA and the CCAAT Binding Complex&lt;/IDText&gt;&lt;DisplayText&gt;&lt;style face="superscript"&gt;19&lt;/style&gt;&lt;/DisplayText&gt;&lt;record&gt;&lt;titles&gt;&lt;title&gt;Sterol Biosynthesis and Azole Tolerance Is Governed by the Opposing Actions of SrbA and the CCAAT Binding Complex&lt;/title&gt;&lt;secondary-title&gt;PLOS Pathogens&lt;/secondary-title&gt;&lt;/titles&gt;&lt;pages&gt;e1005775&lt;/pages&gt;&lt;contributors&gt;&lt;authors&gt;&lt;author&gt;Gsaller, Fabio&lt;/author&gt;&lt;author&gt;Hortschansky, Peter&lt;/author&gt;&lt;author&gt;Furukawa, Takanori&lt;/author&gt;&lt;author&gt;Carr, Paul D.&lt;/author&gt;&lt;author&gt;Rash, Bharat&lt;/author&gt;&lt;author&gt;Capilla, Javier&lt;/author&gt;&lt;author&gt;Müller, Christoph&lt;/author&gt;&lt;author&gt;Bracher, Franz&lt;/author&gt;&lt;author&gt;Bowyer, Paul&lt;/author&gt;&lt;author&gt;Haas, Hubertus&lt;/author&gt;&lt;author&gt;Brakhage, Axel A.&lt;/author&gt;&lt;author&gt;Bromley, Michael J.&lt;/author&gt;&lt;/authors&gt;&lt;/contributors&gt;&lt;added-date format="utc"&gt;1663847519&lt;/added-date&gt;&lt;ref-type name="Generic"&gt;13&lt;/ref-type&gt;&lt;dates&gt;&lt;year&gt;2016&lt;/year&gt;&lt;/dates&gt;&lt;rec-number&gt;27&lt;/rec-number&gt;&lt;publisher&gt;Public Library of Science&lt;/publisher&gt;&lt;last-updated-date format="utc"&gt;1663847519&lt;/last-updated-date&gt;&lt;contributors&gt;&lt;secondary-authors&gt;&lt;author&gt;Krysan, Damian J&lt;/author&gt;&lt;/secondary-authors&gt;&lt;/contributors&gt;&lt;electronic-resource-num&gt;10.1371/journal.ppat.1005775&lt;/electronic-resource-num&gt;&lt;volume&gt;12&lt;/volume&gt;&lt;/record&gt;&lt;/Cite&gt;&lt;/EndNote&gt;</w:instrText>
      </w:r>
      <w:r w:rsidRPr="001902E0">
        <w:rPr>
          <w:rFonts w:ascii="Arial" w:hAnsi="Arial" w:cs="Arial"/>
          <w:color w:val="000000" w:themeColor="text1"/>
          <w:sz w:val="24"/>
          <w:szCs w:val="24"/>
        </w:rPr>
        <w:fldChar w:fldCharType="separate"/>
      </w:r>
      <w:r w:rsidRPr="001902E0">
        <w:rPr>
          <w:rFonts w:ascii="Arial" w:hAnsi="Arial" w:cs="Arial"/>
          <w:color w:val="000000" w:themeColor="text1"/>
          <w:sz w:val="24"/>
          <w:szCs w:val="24"/>
          <w:vertAlign w:val="superscript"/>
        </w:rPr>
        <w:t>19</w:t>
      </w:r>
      <w:r w:rsidRPr="001902E0">
        <w:rPr>
          <w:rFonts w:ascii="Arial" w:hAnsi="Arial" w:cs="Arial"/>
          <w:color w:val="000000" w:themeColor="text1"/>
          <w:sz w:val="24"/>
          <w:szCs w:val="24"/>
        </w:rPr>
        <w:fldChar w:fldCharType="end"/>
      </w:r>
      <w:r w:rsidRPr="001902E0">
        <w:rPr>
          <w:rFonts w:ascii="Arial" w:hAnsi="Arial" w:cs="Arial"/>
          <w:color w:val="000000" w:themeColor="text1"/>
          <w:sz w:val="24"/>
          <w:szCs w:val="24"/>
        </w:rPr>
        <w:t>, AtrR</w:t>
      </w:r>
      <w:r w:rsidR="0062623C">
        <w:rPr>
          <w:rFonts w:ascii="Arial" w:hAnsi="Arial" w:cs="Arial"/>
          <w:color w:val="000000" w:themeColor="text1"/>
          <w:sz w:val="24"/>
          <w:szCs w:val="24"/>
        </w:rPr>
        <w:fldChar w:fldCharType="begin"/>
      </w:r>
      <w:r w:rsidR="00325665">
        <w:rPr>
          <w:rFonts w:ascii="Arial" w:hAnsi="Arial" w:cs="Arial"/>
          <w:color w:val="000000" w:themeColor="text1"/>
          <w:sz w:val="24"/>
          <w:szCs w:val="24"/>
        </w:rPr>
        <w:instrText xml:space="preserve"> ADDIN ZOTERO_ITEM CSL_CITATION {"citationID":"a12l5nfj7t7","properties":{"formattedCitation":"\\super 58\\nosupersub{}","plainCitation":"58","noteIndex":0},"citationItems":[{"id":"OBmFgxVO/2iaOcMtu","uris":["http://zotero.org/users/14764592/items/M7ZFK4D7"],"itemData":{"id":494,"type":"article-journal","abstract":"Aspergillosis associated with azole-resistant Aspergillus fumigatus has a mortality rate that can approach 90% in certain patient populations. The best-understood avenue for azole resistance involves changes in the cyp51A gene that encodes the target of azole drugs, lanosterol α-14 demethylase. The most common azole resistance allele currently described is a linked change corresponding to a change in the coding sequence of cyp51A and a duplication of a 34-bp region in the promoter leading to a tandem repeat (TR). Our previous studies identified a positively acting transcription factor called AtrR that binds to the promoter of cyp51A as well as that of an important membrane transporter protein gene called abcG1. In this work, we characterize two different mutant alleles of atrR, either an overproducing or an epitope-tagged form, causing constitutive activation of this factor. Using an epitope-tagged allele of atrR for chromatin immunoprecipitation coupled with high-throughput sequencing (ChIP-seq), the genomic binding sites for AtrR were determined. Close to 900 genes were found to have an AtrR response element (ATRE) in their promoter regions. Transcriptome evaluation by RNA sequencing (RNA-seq) indicated that both alleles led to elevated transcription of a subset of target genes. An electrophoretic mobility shift assay and DNase I protection mapping localized the ATREs in both the abcG1 and cyp51A promoters. The ATRE in cyp51A was located within the 34-bp repeat element. Virulence in a murine model was compromised when AtrR was either deleted or overproduced, indicating that the proper dosage of this factor is key for pathogenesis.IMPORTANCE Aspergillus fumigatus is the major filamentous fungal pathogen in humans. Infections associated with A. fumigatus are often treated with azole drugs, but resistance to these antifungal agents is increasing. Mortality from aspergillosis associated with azole-resistant fungi is extremely high. Previous work has identified transcriptional control of the azole drug target-encoding gene cyp51A as an important contributor to resistance in A. fumigatus. Here, we demonstrate that the transcription factor AtrR binds to a region in the cyp51A promoter that is associated with alleles of this gene conferring clinically important azole resistance. Using high-throughput genomic technologies, we also uncover a large suite of target genes controlled by AtrR. These data indicate that AtrR coordinately regulates many different processes involved in drug resistance, metabolism, and virulence. Our new understanding of AtrR function provides important new insight into the pathogenesis of A. fumigatus.","call-number":"1","container-title":"mBio","DOI":"10.1128/mbio.02563-18","issue":"2","note":"publisher: American Society for Microbiology","page":"10.1128/mbio.02563-18","source":"6.4","title":"AtrR Is an Essential Determinant of Azole Resistance in Aspergillus fumigatus","volume":"10","author":[{"family":"Paul","given":"Sanjoy"},{"family":"Stamnes","given":"Mark"},{"family":"Thomas","given":"Grace Heredge"},{"family":"Liu","given":"Hong"},{"family":"Hagiwara","given":"Daisuke"},{"family":"Gomi","given":"Katsuya"},{"family":"Filler","given":"Scott G."},{"family":"Moye-Rowley","given":"W. Scott"}],"issued":{"date-parts":[["2019",3,12]]}}}],"schema":"https://github.com/citation-style-language/schema/raw/master/csl-citation.json"} </w:instrText>
      </w:r>
      <w:r w:rsidR="0062623C">
        <w:rPr>
          <w:rFonts w:ascii="Arial" w:hAnsi="Arial" w:cs="Arial"/>
          <w:color w:val="000000" w:themeColor="text1"/>
          <w:sz w:val="24"/>
          <w:szCs w:val="24"/>
        </w:rPr>
        <w:fldChar w:fldCharType="separate"/>
      </w:r>
      <w:r w:rsidR="00325665" w:rsidRPr="00325665">
        <w:rPr>
          <w:rFonts w:ascii="Arial" w:hAnsi="Arial" w:cs="Arial"/>
          <w:sz w:val="24"/>
          <w:vertAlign w:val="superscript"/>
        </w:rPr>
        <w:t>58</w:t>
      </w:r>
      <w:r w:rsidR="0062623C">
        <w:rPr>
          <w:rFonts w:ascii="Arial" w:hAnsi="Arial" w:cs="Arial"/>
          <w:color w:val="000000" w:themeColor="text1"/>
          <w:sz w:val="24"/>
          <w:szCs w:val="24"/>
        </w:rPr>
        <w:fldChar w:fldCharType="end"/>
      </w:r>
      <w:r w:rsidRPr="001902E0">
        <w:rPr>
          <w:rFonts w:ascii="Arial" w:hAnsi="Arial" w:cs="Arial"/>
          <w:color w:val="000000" w:themeColor="text1"/>
          <w:sz w:val="24"/>
          <w:szCs w:val="24"/>
        </w:rPr>
        <w:t xml:space="preserve"> and NctA/B</w:t>
      </w:r>
      <w:r w:rsidR="00E373D4">
        <w:rPr>
          <w:rFonts w:ascii="Arial" w:hAnsi="Arial" w:cs="Arial"/>
          <w:color w:val="000000" w:themeColor="text1"/>
          <w:sz w:val="24"/>
          <w:szCs w:val="24"/>
        </w:rPr>
        <w:fldChar w:fldCharType="begin"/>
      </w:r>
      <w:r w:rsidR="00867624">
        <w:rPr>
          <w:rFonts w:ascii="Arial" w:hAnsi="Arial" w:cs="Arial"/>
          <w:color w:val="000000" w:themeColor="text1"/>
          <w:sz w:val="24"/>
          <w:szCs w:val="24"/>
        </w:rPr>
        <w:instrText xml:space="preserve"> ADDIN ZOTERO_ITEM CSL_CITATION {"citationID":"a1h7jt618m0","properties":{"formattedCitation":"\\super 27\\nosupersub{}","plainCitation":"27","noteIndex":0},"citationItems":[{"id":"OBmFgxVO/qrMlXmNy","uris":["http://zotero.org/users/14764592/items/6TJKFQUU"],"itemData":{"id":"jDxs4RoC/gEANCMW7","type":"article-journal","abstract":"The frequency of antifungal resistance, particularly to the azole class of ergosterol biosynthetic inhibitors, is a growing global health problem. Survival rates for those infected with resistant isolates are exceptionally low. Beyond modification of the drug target, our understanding of the molecular basis of azole resistance in the fungal pathogen Aspergillus fumigatus is limited. We reasoned that clinically relevant antifungal resistance could derive from transcriptional rewiring, promoting drug resistance without concomitant reductions in pathogenicity. Here we report a genome-wide annotation of transcriptional regulators in A. fumigatus and construction of a library of 484 transcription factor null mutants. We identify 12 regulators that have a demonstrable role in itraconazole susceptibility and show that loss of the negative cofactor 2 complex leads to resistance, not only to the azoles but also the salvage therapeutics amphotericin B and terbinafine without significantly affecting pathogenicity.","call-number":"1","container-title":"Nature Communications","DOI":"10.1038/s41467-019-14191-1","ISSN":"2041-1723","issue":"1","journalAbbreviation":"Nat Commun","language":"en","license":"2020 The Author(s)","note":"publisher: Nature Publishing Group","page":"427","source":"16.6","title":"The negative cofactor 2 complex is a key regulator of drug resistance in Aspergillus fumigatus","volume":"11","author":[{"family":"Furukawa","given":"Takanori"},{"family":"Rhijn","given":"Norman","non-dropping-particle":"van"},{"family":"Fraczek","given":"Marcin"},{"family":"Gsaller","given":"Fabio"},{"family":"Davies","given":"Emma"},{"family":"Carr","given":"Paul"},{"family":"Gago","given":"Sara"},{"family":"Fortune-Grant","given":"Rachael"},{"family":"Rahman","given":"Sayema"},{"family":"Gilsenan","given":"Jane Mabey"},{"family":"Houlder","given":"Emma"},{"family":"Kowalski","given":"Caitlin H."},{"family":"Raj","given":"Shriya"},{"family":"Paul","given":"Sanjoy"},{"family":"Cook","given":"Peter"},{"family":"Parker","given":"Josie E."},{"family":"Kelly","given":"Steve"},{"family":"Cramer","given":"Robert A."},{"family":"Latgé","given":"Jean-Paul"},{"family":"Moye-Rowley","given":"Scott"},{"family":"Bignell","given":"Elaine"},{"family":"Bowyer","given":"Paul"},{"family":"Bromley","given":"Michael J."}],"issued":{"date-parts":[["2020",1,22]]}}}],"schema":"https://github.com/citation-style-language/schema/raw/master/csl-citation.json"} </w:instrText>
      </w:r>
      <w:r w:rsidR="00E373D4">
        <w:rPr>
          <w:rFonts w:ascii="Arial" w:hAnsi="Arial" w:cs="Arial"/>
          <w:color w:val="000000" w:themeColor="text1"/>
          <w:sz w:val="24"/>
          <w:szCs w:val="24"/>
        </w:rPr>
        <w:fldChar w:fldCharType="separate"/>
      </w:r>
      <w:r w:rsidR="00867624" w:rsidRPr="00867624">
        <w:rPr>
          <w:rFonts w:ascii="Arial" w:hAnsi="Arial" w:cs="Arial"/>
          <w:sz w:val="24"/>
          <w:vertAlign w:val="superscript"/>
        </w:rPr>
        <w:t>27</w:t>
      </w:r>
      <w:r w:rsidR="00E373D4">
        <w:rPr>
          <w:rFonts w:ascii="Arial" w:hAnsi="Arial" w:cs="Arial"/>
          <w:color w:val="000000" w:themeColor="text1"/>
          <w:sz w:val="24"/>
          <w:szCs w:val="24"/>
        </w:rPr>
        <w:fldChar w:fldCharType="end"/>
      </w:r>
      <w:r w:rsidR="0068629C">
        <w:rPr>
          <w:rFonts w:ascii="Arial" w:hAnsi="Arial" w:cs="Arial"/>
          <w:color w:val="000000" w:themeColor="text1"/>
          <w:sz w:val="24"/>
          <w:szCs w:val="24"/>
        </w:rPr>
        <w:t>.</w:t>
      </w:r>
      <w:r w:rsidRPr="001902E0">
        <w:rPr>
          <w:rFonts w:ascii="Arial" w:hAnsi="Arial" w:cs="Arial"/>
          <w:color w:val="000000" w:themeColor="text1"/>
          <w:sz w:val="24"/>
          <w:szCs w:val="24"/>
        </w:rPr>
        <w:t xml:space="preserve"> AntiCPL is shorter than CPL and contained entirely within it, and notably excludes the significant regulatory section near the TR34 region. In untreated culture, CPL and antiCPL are expressed at above median lncRNA levels (3.3 TPM), 28.6 and 11.7 TPM, respectively. An example of the transcriptional profile of Cyp51A and its upstream lncRNAs is shown in Fig. 73H. Transcription from the lncRNA locus upstream of Cyp51A was validated using qRT-PCR (Fig. 3J). </w:t>
      </w:r>
      <w:r w:rsidRPr="001902E0">
        <w:rPr>
          <w:rFonts w:ascii="Arial" w:hAnsi="Arial" w:cs="Arial"/>
          <w:sz w:val="24"/>
          <w:szCs w:val="24"/>
        </w:rPr>
        <w:t xml:space="preserve">In response to </w:t>
      </w:r>
      <w:r w:rsidRPr="001902E0">
        <w:rPr>
          <w:rFonts w:ascii="Arial" w:hAnsi="Arial" w:cs="Arial"/>
          <w:sz w:val="24"/>
          <w:szCs w:val="24"/>
        </w:rPr>
        <w:lastRenderedPageBreak/>
        <w:t xml:space="preserve">itraconazole, CPL is significantly differentially expressed with a LFC of 1.7 at 4-fold MIC. Clustering of gene and lncRNA responses upon itraconazole treatment did not identify correlated expression between either lncRNA and Cyp51A. When assessing the behaviour of the lncRNAs and Cyp51A in the other drug datasets, it is apparent that </w:t>
      </w:r>
      <w:r w:rsidRPr="001902E0">
        <w:rPr>
          <w:rFonts w:ascii="Arial" w:hAnsi="Arial" w:cs="Arial"/>
          <w:color w:val="000000" w:themeColor="text1"/>
          <w:sz w:val="24"/>
          <w:szCs w:val="24"/>
        </w:rPr>
        <w:t xml:space="preserve">CPL was consistently upregulated in response to drug treatment and showed distinct dose response expression patterns to Cyp51A </w:t>
      </w:r>
      <w:r w:rsidRPr="001902E0">
        <w:rPr>
          <w:rFonts w:ascii="Arial" w:hAnsi="Arial" w:cs="Arial"/>
          <w:sz w:val="24"/>
          <w:szCs w:val="24"/>
        </w:rPr>
        <w:t>(Fig. 3I).</w:t>
      </w:r>
      <w:r w:rsidRPr="001902E0">
        <w:rPr>
          <w:rFonts w:ascii="Arial" w:hAnsi="Arial" w:cs="Arial"/>
          <w:color w:val="000000" w:themeColor="text1"/>
          <w:sz w:val="24"/>
          <w:szCs w:val="24"/>
        </w:rPr>
        <w:t xml:space="preserve"> </w:t>
      </w:r>
      <w:r w:rsidRPr="001902E0">
        <w:rPr>
          <w:rFonts w:ascii="Arial" w:hAnsi="Arial" w:cs="Arial"/>
          <w:sz w:val="24"/>
          <w:szCs w:val="24"/>
        </w:rPr>
        <w:t xml:space="preserve">However, an experimental attempt to over express the lncRNAs in trans (via a plasmid) had no apparent influence on </w:t>
      </w:r>
      <w:r w:rsidRPr="001902E0">
        <w:rPr>
          <w:rFonts w:ascii="Arial" w:hAnsi="Arial" w:cs="Arial"/>
          <w:i/>
          <w:iCs/>
          <w:sz w:val="24"/>
          <w:szCs w:val="24"/>
        </w:rPr>
        <w:t xml:space="preserve">Cyp51A </w:t>
      </w:r>
      <w:r w:rsidRPr="001902E0">
        <w:rPr>
          <w:rFonts w:ascii="Arial" w:hAnsi="Arial" w:cs="Arial"/>
          <w:sz w:val="24"/>
          <w:szCs w:val="24"/>
        </w:rPr>
        <w:t>expression levels or azole resistance (not shown).</w:t>
      </w:r>
    </w:p>
    <w:p w14:paraId="0F4DD210" w14:textId="77777777" w:rsidR="00500880" w:rsidRDefault="00500880" w:rsidP="001902E0">
      <w:pPr>
        <w:spacing w:line="360" w:lineRule="auto"/>
        <w:jc w:val="both"/>
        <w:rPr>
          <w:rFonts w:ascii="Arial" w:hAnsi="Arial" w:cs="Arial"/>
          <w:sz w:val="24"/>
          <w:szCs w:val="24"/>
        </w:rPr>
      </w:pPr>
    </w:p>
    <w:sectPr w:rsidR="00500880" w:rsidSect="00EC084B">
      <w:pgSz w:w="11906" w:h="16838"/>
      <w:pgMar w:top="1440" w:right="1440" w:bottom="1440" w:left="1440" w:header="0" w:footer="0" w:gutter="0"/>
      <w:lnNumType w:countBy="1" w:restart="continuous"/>
      <w:cols w:space="720"/>
      <w:formProt w:val="0"/>
      <w:docGrid w:linePitch="360" w:charSpace="409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Harry Chown" w:date="2023-08-04T10:15:00Z" w:initials="HC">
    <w:p w14:paraId="56FCF7A4" w14:textId="77777777" w:rsidR="00E71C3C" w:rsidRDefault="00E71C3C">
      <w:pPr>
        <w:pStyle w:val="CommentText"/>
      </w:pPr>
      <w:r w:rsidRPr="1FE3FF4C">
        <w:t xml:space="preserve">Antisense lncRNAs can modulate transcription of sense RNAs through hybridization. </w:t>
      </w:r>
      <w:r>
        <w:rPr>
          <w:rStyle w:val="CommentReference"/>
        </w:rPr>
        <w:annotationRef/>
      </w:r>
    </w:p>
  </w:comment>
  <w:comment w:id="1" w:author="Harry Chown" w:date="2023-08-04T10:16:00Z" w:initials="HC">
    <w:p w14:paraId="175BB4DA" w14:textId="77777777" w:rsidR="00E71C3C" w:rsidRDefault="00E71C3C">
      <w:pPr>
        <w:pStyle w:val="CommentText"/>
      </w:pPr>
      <w:r w:rsidRPr="1FE3FF4C">
        <w:t>Keep for discussion</w:t>
      </w:r>
      <w:r>
        <w:rPr>
          <w:rStyle w:val="CommentReference"/>
        </w:rPr>
        <w:annotationRef/>
      </w:r>
    </w:p>
  </w:comment>
  <w:comment w:id="2" w:author="Harry Chown" w:date="2023-07-20T08:43:00Z" w:initials="HC">
    <w:p w14:paraId="7C167C7A" w14:textId="77777777" w:rsidR="00E71C3C" w:rsidRDefault="00E71C3C">
      <w:pPr>
        <w:pStyle w:val="CommentText"/>
      </w:pPr>
      <w:r w:rsidRPr="1FE3FF4C">
        <w:t>We use the word clustered a lot but maybe we need to drill home the fact that they have the same expression pattern</w:t>
      </w:r>
      <w:r>
        <w:rPr>
          <w:rStyle w:val="CommentReference"/>
        </w:rPr>
        <w:annotationRef/>
      </w:r>
    </w:p>
  </w:comment>
  <w:comment w:id="3" w:author="Danielle Weaver" w:date="2024-07-26T09:31:00Z" w:initials="DW">
    <w:p w14:paraId="312EA088" w14:textId="2CD916BD" w:rsidR="00E71C3C" w:rsidRDefault="00E71C3C">
      <w:pPr>
        <w:pStyle w:val="CommentText"/>
      </w:pPr>
      <w:r>
        <w:t>keeping for discussion:</w:t>
      </w:r>
      <w:r>
        <w:rPr>
          <w:rStyle w:val="CommentReference"/>
        </w:rPr>
        <w:annotationRef/>
      </w:r>
    </w:p>
    <w:p w14:paraId="782248A0" w14:textId="560EFD34" w:rsidR="00E71C3C" w:rsidRDefault="00E71C3C">
      <w:pPr>
        <w:pStyle w:val="CommentText"/>
      </w:pPr>
    </w:p>
    <w:p w14:paraId="0607D86C" w14:textId="0F45ABD5" w:rsidR="00E71C3C" w:rsidRDefault="00E71C3C">
      <w:pPr>
        <w:pStyle w:val="CommentText"/>
      </w:pPr>
      <w:r>
        <w:t>Suggest that many lncRNAs may be governed by the same transcription factors as PCGs but also there may exist TF binding sites that are ecxlusive to lncRNAs, highlighting the regulatory specificity of non-coding genes.</w:t>
      </w:r>
    </w:p>
  </w:comment>
  <w:comment w:id="4" w:author="Harry Chown" w:date="2023-07-20T08:45:00Z" w:initials="HC">
    <w:p w14:paraId="38866B39" w14:textId="77777777" w:rsidR="00E71C3C" w:rsidRDefault="00E71C3C">
      <w:pPr>
        <w:pStyle w:val="CommentText"/>
      </w:pPr>
      <w:r w:rsidRPr="1FE3FF4C">
        <w:t>It also suggests that not all genes have been annotated in A1163..</w:t>
      </w:r>
      <w:r>
        <w:rPr>
          <w:rStyle w:val="CommentReference"/>
        </w:rPr>
        <w:annotationRef/>
      </w:r>
    </w:p>
  </w:comment>
  <w:comment w:id="5" w:author="Harry Chown" w:date="2023-08-04T14:50:00Z" w:initials="HC">
    <w:p w14:paraId="1DE7CD7D" w14:textId="77777777" w:rsidR="00E71C3C" w:rsidRDefault="00E71C3C">
      <w:pPr>
        <w:pStyle w:val="CommentText"/>
      </w:pPr>
      <w:r w:rsidRPr="1FE3FF4C">
        <w:t>Do any of these cluster? </w:t>
      </w:r>
      <w:r>
        <w:rPr>
          <w:rStyle w:val="CommentReference"/>
        </w:rPr>
        <w:annotationRef/>
      </w:r>
    </w:p>
  </w:comment>
  <w:comment w:id="6" w:author="Harry Chown" w:date="2023-08-04T14:50:00Z" w:initials="HC">
    <w:p w14:paraId="72351D96" w14:textId="77777777" w:rsidR="00E71C3C" w:rsidRDefault="00E71C3C">
      <w:pPr>
        <w:pStyle w:val="CommentText"/>
      </w:pPr>
      <w:r w:rsidRPr="1FE3FF4C">
        <w:t>Do we have a table and method section for this?</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6FCF7A4" w15:done="0"/>
  <w15:commentEx w15:paraId="175BB4DA" w15:paraIdParent="56FCF7A4" w15:done="0"/>
  <w15:commentEx w15:paraId="7C167C7A" w15:done="0"/>
  <w15:commentEx w15:paraId="0607D86C" w15:done="0"/>
  <w15:commentEx w15:paraId="38866B39" w15:done="0"/>
  <w15:commentEx w15:paraId="1DE7CD7D" w15:paraIdParent="38866B39" w15:done="0"/>
  <w15:commentEx w15:paraId="72351D96" w15:paraIdParent="38866B3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774E59" w16cex:dateUtc="2023-08-04T09:15:00Z"/>
  <w16cex:commentExtensible w16cex:durableId="28774E62" w16cex:dateUtc="2023-08-04T09:16:00Z"/>
  <w16cex:commentExtensible w16cex:durableId="28637237" w16cex:dateUtc="2023-07-20T07:43:00Z"/>
  <w16cex:commentExtensible w16cex:durableId="12AA601C" w16cex:dateUtc="2024-07-26T08:31:00Z"/>
  <w16cex:commentExtensible w16cex:durableId="286372B3" w16cex:dateUtc="2023-07-20T07:45:00Z"/>
  <w16cex:commentExtensible w16cex:durableId="28778EB0" w16cex:dateUtc="2023-08-04T13:50:00Z"/>
  <w16cex:commentExtensible w16cex:durableId="28778EBD" w16cex:dateUtc="2023-08-04T13: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6FCF7A4" w16cid:durableId="28774E59"/>
  <w16cid:commentId w16cid:paraId="175BB4DA" w16cid:durableId="28774E62"/>
  <w16cid:commentId w16cid:paraId="7C167C7A" w16cid:durableId="28637237"/>
  <w16cid:commentId w16cid:paraId="0607D86C" w16cid:durableId="12AA601C"/>
  <w16cid:commentId w16cid:paraId="38866B39" w16cid:durableId="286372B3"/>
  <w16cid:commentId w16cid:paraId="1DE7CD7D" w16cid:durableId="28778EB0"/>
  <w16cid:commentId w16cid:paraId="72351D96" w16cid:durableId="28778EB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01"/>
    <w:family w:val="auto"/>
    <w:pitch w:val="variable"/>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Noto Sans CJK SC">
    <w:charset w:val="00"/>
    <w:family w:val="auto"/>
    <w:pitch w:val="variable"/>
  </w:font>
  <w:font w:name="Lohit Devanagari">
    <w:altName w:val="Cambria"/>
    <w:charset w:val="00"/>
    <w:family w:val="auto"/>
    <w:pitch w:val="variable"/>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CJK SC Regular">
    <w:charset w:val="00"/>
    <w:family w:val="auto"/>
    <w:pitch w:val="variable"/>
  </w:font>
  <w:font w:name="FreeSans">
    <w:altName w:val="Yu Gothic"/>
    <w:charset w:val="80"/>
    <w:family w:val="swiss"/>
    <w:pitch w:val="variable"/>
    <w:sig w:usb0="C05F8EFF" w:usb1="580760FB" w:usb2="000002B0" w:usb3="00000000" w:csb0="800200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15A33"/>
    <w:multiLevelType w:val="hybridMultilevel"/>
    <w:tmpl w:val="645236B2"/>
    <w:lvl w:ilvl="0" w:tplc="D7CC68DC">
      <w:start w:val="1"/>
      <w:numFmt w:val="bullet"/>
      <w:lvlText w:val=""/>
      <w:lvlJc w:val="left"/>
      <w:pPr>
        <w:ind w:left="1440" w:hanging="360"/>
      </w:pPr>
      <w:rPr>
        <w:rFonts w:ascii="Symbol" w:hAnsi="Symbol"/>
      </w:rPr>
    </w:lvl>
    <w:lvl w:ilvl="1" w:tplc="60ECC8B8">
      <w:start w:val="1"/>
      <w:numFmt w:val="bullet"/>
      <w:lvlText w:val=""/>
      <w:lvlJc w:val="left"/>
      <w:pPr>
        <w:ind w:left="1440" w:hanging="360"/>
      </w:pPr>
      <w:rPr>
        <w:rFonts w:ascii="Symbol" w:hAnsi="Symbol"/>
      </w:rPr>
    </w:lvl>
    <w:lvl w:ilvl="2" w:tplc="B6B6D22A">
      <w:start w:val="1"/>
      <w:numFmt w:val="bullet"/>
      <w:lvlText w:val=""/>
      <w:lvlJc w:val="left"/>
      <w:pPr>
        <w:ind w:left="1440" w:hanging="360"/>
      </w:pPr>
      <w:rPr>
        <w:rFonts w:ascii="Symbol" w:hAnsi="Symbol"/>
      </w:rPr>
    </w:lvl>
    <w:lvl w:ilvl="3" w:tplc="157A4354">
      <w:start w:val="1"/>
      <w:numFmt w:val="bullet"/>
      <w:lvlText w:val=""/>
      <w:lvlJc w:val="left"/>
      <w:pPr>
        <w:ind w:left="1440" w:hanging="360"/>
      </w:pPr>
      <w:rPr>
        <w:rFonts w:ascii="Symbol" w:hAnsi="Symbol"/>
      </w:rPr>
    </w:lvl>
    <w:lvl w:ilvl="4" w:tplc="60087F0A">
      <w:start w:val="1"/>
      <w:numFmt w:val="bullet"/>
      <w:lvlText w:val=""/>
      <w:lvlJc w:val="left"/>
      <w:pPr>
        <w:ind w:left="1440" w:hanging="360"/>
      </w:pPr>
      <w:rPr>
        <w:rFonts w:ascii="Symbol" w:hAnsi="Symbol"/>
      </w:rPr>
    </w:lvl>
    <w:lvl w:ilvl="5" w:tplc="010ED9FE">
      <w:start w:val="1"/>
      <w:numFmt w:val="bullet"/>
      <w:lvlText w:val=""/>
      <w:lvlJc w:val="left"/>
      <w:pPr>
        <w:ind w:left="1440" w:hanging="360"/>
      </w:pPr>
      <w:rPr>
        <w:rFonts w:ascii="Symbol" w:hAnsi="Symbol"/>
      </w:rPr>
    </w:lvl>
    <w:lvl w:ilvl="6" w:tplc="9F5E4968">
      <w:start w:val="1"/>
      <w:numFmt w:val="bullet"/>
      <w:lvlText w:val=""/>
      <w:lvlJc w:val="left"/>
      <w:pPr>
        <w:ind w:left="1440" w:hanging="360"/>
      </w:pPr>
      <w:rPr>
        <w:rFonts w:ascii="Symbol" w:hAnsi="Symbol"/>
      </w:rPr>
    </w:lvl>
    <w:lvl w:ilvl="7" w:tplc="704444A8">
      <w:start w:val="1"/>
      <w:numFmt w:val="bullet"/>
      <w:lvlText w:val=""/>
      <w:lvlJc w:val="left"/>
      <w:pPr>
        <w:ind w:left="1440" w:hanging="360"/>
      </w:pPr>
      <w:rPr>
        <w:rFonts w:ascii="Symbol" w:hAnsi="Symbol"/>
      </w:rPr>
    </w:lvl>
    <w:lvl w:ilvl="8" w:tplc="5AE210CA">
      <w:start w:val="1"/>
      <w:numFmt w:val="bullet"/>
      <w:lvlText w:val=""/>
      <w:lvlJc w:val="left"/>
      <w:pPr>
        <w:ind w:left="1440" w:hanging="360"/>
      </w:pPr>
      <w:rPr>
        <w:rFonts w:ascii="Symbol" w:hAnsi="Symbol"/>
      </w:rPr>
    </w:lvl>
  </w:abstractNum>
  <w:abstractNum w:abstractNumId="1" w15:restartNumberingAfterBreak="0">
    <w:nsid w:val="137E6CBF"/>
    <w:multiLevelType w:val="multilevel"/>
    <w:tmpl w:val="73D2CDE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2BAE69BD"/>
    <w:multiLevelType w:val="multilevel"/>
    <w:tmpl w:val="6DB053F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2C770013"/>
    <w:multiLevelType w:val="hybridMultilevel"/>
    <w:tmpl w:val="053AC846"/>
    <w:lvl w:ilvl="0" w:tplc="D584C088">
      <w:start w:val="1"/>
      <w:numFmt w:val="bullet"/>
      <w:lvlText w:val=""/>
      <w:lvlJc w:val="left"/>
      <w:pPr>
        <w:ind w:left="1440" w:hanging="360"/>
      </w:pPr>
      <w:rPr>
        <w:rFonts w:ascii="Symbol" w:hAnsi="Symbol"/>
      </w:rPr>
    </w:lvl>
    <w:lvl w:ilvl="1" w:tplc="C692817A">
      <w:start w:val="1"/>
      <w:numFmt w:val="bullet"/>
      <w:lvlText w:val=""/>
      <w:lvlJc w:val="left"/>
      <w:pPr>
        <w:ind w:left="1440" w:hanging="360"/>
      </w:pPr>
      <w:rPr>
        <w:rFonts w:ascii="Symbol" w:hAnsi="Symbol"/>
      </w:rPr>
    </w:lvl>
    <w:lvl w:ilvl="2" w:tplc="C9FEB78A">
      <w:start w:val="1"/>
      <w:numFmt w:val="bullet"/>
      <w:lvlText w:val=""/>
      <w:lvlJc w:val="left"/>
      <w:pPr>
        <w:ind w:left="1440" w:hanging="360"/>
      </w:pPr>
      <w:rPr>
        <w:rFonts w:ascii="Symbol" w:hAnsi="Symbol"/>
      </w:rPr>
    </w:lvl>
    <w:lvl w:ilvl="3" w:tplc="C26AF0B2">
      <w:start w:val="1"/>
      <w:numFmt w:val="bullet"/>
      <w:lvlText w:val=""/>
      <w:lvlJc w:val="left"/>
      <w:pPr>
        <w:ind w:left="1440" w:hanging="360"/>
      </w:pPr>
      <w:rPr>
        <w:rFonts w:ascii="Symbol" w:hAnsi="Symbol"/>
      </w:rPr>
    </w:lvl>
    <w:lvl w:ilvl="4" w:tplc="A1828D76">
      <w:start w:val="1"/>
      <w:numFmt w:val="bullet"/>
      <w:lvlText w:val=""/>
      <w:lvlJc w:val="left"/>
      <w:pPr>
        <w:ind w:left="1440" w:hanging="360"/>
      </w:pPr>
      <w:rPr>
        <w:rFonts w:ascii="Symbol" w:hAnsi="Symbol"/>
      </w:rPr>
    </w:lvl>
    <w:lvl w:ilvl="5" w:tplc="8C46EA8C">
      <w:start w:val="1"/>
      <w:numFmt w:val="bullet"/>
      <w:lvlText w:val=""/>
      <w:lvlJc w:val="left"/>
      <w:pPr>
        <w:ind w:left="1440" w:hanging="360"/>
      </w:pPr>
      <w:rPr>
        <w:rFonts w:ascii="Symbol" w:hAnsi="Symbol"/>
      </w:rPr>
    </w:lvl>
    <w:lvl w:ilvl="6" w:tplc="9B7C4D3E">
      <w:start w:val="1"/>
      <w:numFmt w:val="bullet"/>
      <w:lvlText w:val=""/>
      <w:lvlJc w:val="left"/>
      <w:pPr>
        <w:ind w:left="1440" w:hanging="360"/>
      </w:pPr>
      <w:rPr>
        <w:rFonts w:ascii="Symbol" w:hAnsi="Symbol"/>
      </w:rPr>
    </w:lvl>
    <w:lvl w:ilvl="7" w:tplc="D94A9154">
      <w:start w:val="1"/>
      <w:numFmt w:val="bullet"/>
      <w:lvlText w:val=""/>
      <w:lvlJc w:val="left"/>
      <w:pPr>
        <w:ind w:left="1440" w:hanging="360"/>
      </w:pPr>
      <w:rPr>
        <w:rFonts w:ascii="Symbol" w:hAnsi="Symbol"/>
      </w:rPr>
    </w:lvl>
    <w:lvl w:ilvl="8" w:tplc="C03AEB66">
      <w:start w:val="1"/>
      <w:numFmt w:val="bullet"/>
      <w:lvlText w:val=""/>
      <w:lvlJc w:val="left"/>
      <w:pPr>
        <w:ind w:left="1440" w:hanging="360"/>
      </w:pPr>
      <w:rPr>
        <w:rFonts w:ascii="Symbol" w:hAnsi="Symbol"/>
      </w:rPr>
    </w:lvl>
  </w:abstractNum>
  <w:abstractNum w:abstractNumId="4" w15:restartNumberingAfterBreak="0">
    <w:nsid w:val="31FF3942"/>
    <w:multiLevelType w:val="hybridMultilevel"/>
    <w:tmpl w:val="A6DCD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815B70"/>
    <w:multiLevelType w:val="multilevel"/>
    <w:tmpl w:val="51FC950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FEB57CA"/>
    <w:multiLevelType w:val="multilevel"/>
    <w:tmpl w:val="01405DC4"/>
    <w:lvl w:ilvl="0">
      <w:start w:val="1"/>
      <w:numFmt w:val="none"/>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41B27E5B"/>
    <w:multiLevelType w:val="multilevel"/>
    <w:tmpl w:val="732610A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2B302CA"/>
    <w:multiLevelType w:val="multilevel"/>
    <w:tmpl w:val="235026C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4EB37A14"/>
    <w:multiLevelType w:val="multilevel"/>
    <w:tmpl w:val="24588D4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15:restartNumberingAfterBreak="0">
    <w:nsid w:val="59D21A8D"/>
    <w:multiLevelType w:val="multilevel"/>
    <w:tmpl w:val="A596F9E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5B6D289E"/>
    <w:multiLevelType w:val="multilevel"/>
    <w:tmpl w:val="FCE0CAC0"/>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15:restartNumberingAfterBreak="0">
    <w:nsid w:val="60A27744"/>
    <w:multiLevelType w:val="hybridMultilevel"/>
    <w:tmpl w:val="6CA21AD6"/>
    <w:lvl w:ilvl="0" w:tplc="DBC47906">
      <w:start w:val="1"/>
      <w:numFmt w:val="bullet"/>
      <w:lvlText w:val=""/>
      <w:lvlJc w:val="left"/>
      <w:pPr>
        <w:ind w:left="1440" w:hanging="360"/>
      </w:pPr>
      <w:rPr>
        <w:rFonts w:ascii="Symbol" w:hAnsi="Symbol"/>
      </w:rPr>
    </w:lvl>
    <w:lvl w:ilvl="1" w:tplc="75CEC874">
      <w:start w:val="1"/>
      <w:numFmt w:val="bullet"/>
      <w:lvlText w:val=""/>
      <w:lvlJc w:val="left"/>
      <w:pPr>
        <w:ind w:left="1440" w:hanging="360"/>
      </w:pPr>
      <w:rPr>
        <w:rFonts w:ascii="Symbol" w:hAnsi="Symbol"/>
      </w:rPr>
    </w:lvl>
    <w:lvl w:ilvl="2" w:tplc="BA922B94">
      <w:start w:val="1"/>
      <w:numFmt w:val="bullet"/>
      <w:lvlText w:val=""/>
      <w:lvlJc w:val="left"/>
      <w:pPr>
        <w:ind w:left="1440" w:hanging="360"/>
      </w:pPr>
      <w:rPr>
        <w:rFonts w:ascii="Symbol" w:hAnsi="Symbol"/>
      </w:rPr>
    </w:lvl>
    <w:lvl w:ilvl="3" w:tplc="196A6820">
      <w:start w:val="1"/>
      <w:numFmt w:val="bullet"/>
      <w:lvlText w:val=""/>
      <w:lvlJc w:val="left"/>
      <w:pPr>
        <w:ind w:left="1440" w:hanging="360"/>
      </w:pPr>
      <w:rPr>
        <w:rFonts w:ascii="Symbol" w:hAnsi="Symbol"/>
      </w:rPr>
    </w:lvl>
    <w:lvl w:ilvl="4" w:tplc="1C1E1520">
      <w:start w:val="1"/>
      <w:numFmt w:val="bullet"/>
      <w:lvlText w:val=""/>
      <w:lvlJc w:val="left"/>
      <w:pPr>
        <w:ind w:left="1440" w:hanging="360"/>
      </w:pPr>
      <w:rPr>
        <w:rFonts w:ascii="Symbol" w:hAnsi="Symbol"/>
      </w:rPr>
    </w:lvl>
    <w:lvl w:ilvl="5" w:tplc="E370F788">
      <w:start w:val="1"/>
      <w:numFmt w:val="bullet"/>
      <w:lvlText w:val=""/>
      <w:lvlJc w:val="left"/>
      <w:pPr>
        <w:ind w:left="1440" w:hanging="360"/>
      </w:pPr>
      <w:rPr>
        <w:rFonts w:ascii="Symbol" w:hAnsi="Symbol"/>
      </w:rPr>
    </w:lvl>
    <w:lvl w:ilvl="6" w:tplc="DAAC80C0">
      <w:start w:val="1"/>
      <w:numFmt w:val="bullet"/>
      <w:lvlText w:val=""/>
      <w:lvlJc w:val="left"/>
      <w:pPr>
        <w:ind w:left="1440" w:hanging="360"/>
      </w:pPr>
      <w:rPr>
        <w:rFonts w:ascii="Symbol" w:hAnsi="Symbol"/>
      </w:rPr>
    </w:lvl>
    <w:lvl w:ilvl="7" w:tplc="E6AAAA9A">
      <w:start w:val="1"/>
      <w:numFmt w:val="bullet"/>
      <w:lvlText w:val=""/>
      <w:lvlJc w:val="left"/>
      <w:pPr>
        <w:ind w:left="1440" w:hanging="360"/>
      </w:pPr>
      <w:rPr>
        <w:rFonts w:ascii="Symbol" w:hAnsi="Symbol"/>
      </w:rPr>
    </w:lvl>
    <w:lvl w:ilvl="8" w:tplc="74461238">
      <w:start w:val="1"/>
      <w:numFmt w:val="bullet"/>
      <w:lvlText w:val=""/>
      <w:lvlJc w:val="left"/>
      <w:pPr>
        <w:ind w:left="1440" w:hanging="360"/>
      </w:pPr>
      <w:rPr>
        <w:rFonts w:ascii="Symbol" w:hAnsi="Symbol"/>
      </w:rPr>
    </w:lvl>
  </w:abstractNum>
  <w:abstractNum w:abstractNumId="13" w15:restartNumberingAfterBreak="0">
    <w:nsid w:val="63F739DD"/>
    <w:multiLevelType w:val="hybridMultilevel"/>
    <w:tmpl w:val="31225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AB568F"/>
    <w:multiLevelType w:val="multilevel"/>
    <w:tmpl w:val="0BC01A30"/>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15:restartNumberingAfterBreak="0">
    <w:nsid w:val="77C93927"/>
    <w:multiLevelType w:val="multilevel"/>
    <w:tmpl w:val="9C9C87F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353995363">
    <w:abstractNumId w:val="6"/>
  </w:num>
  <w:num w:numId="2" w16cid:durableId="743649529">
    <w:abstractNumId w:val="8"/>
  </w:num>
  <w:num w:numId="3" w16cid:durableId="375277879">
    <w:abstractNumId w:val="2"/>
  </w:num>
  <w:num w:numId="4" w16cid:durableId="195656473">
    <w:abstractNumId w:val="7"/>
  </w:num>
  <w:num w:numId="5" w16cid:durableId="428232136">
    <w:abstractNumId w:val="1"/>
  </w:num>
  <w:num w:numId="6" w16cid:durableId="1558860491">
    <w:abstractNumId w:val="11"/>
  </w:num>
  <w:num w:numId="7" w16cid:durableId="1961955491">
    <w:abstractNumId w:val="14"/>
  </w:num>
  <w:num w:numId="8" w16cid:durableId="2111045897">
    <w:abstractNumId w:val="15"/>
  </w:num>
  <w:num w:numId="9" w16cid:durableId="1179927695">
    <w:abstractNumId w:val="5"/>
  </w:num>
  <w:num w:numId="10" w16cid:durableId="65685330">
    <w:abstractNumId w:val="9"/>
  </w:num>
  <w:num w:numId="11" w16cid:durableId="596329956">
    <w:abstractNumId w:val="10"/>
  </w:num>
  <w:num w:numId="12" w16cid:durableId="855385515">
    <w:abstractNumId w:val="13"/>
  </w:num>
  <w:num w:numId="13" w16cid:durableId="1140657128">
    <w:abstractNumId w:val="4"/>
  </w:num>
  <w:num w:numId="14" w16cid:durableId="859733729">
    <w:abstractNumId w:val="12"/>
  </w:num>
  <w:num w:numId="15" w16cid:durableId="1231188520">
    <w:abstractNumId w:val="3"/>
  </w:num>
  <w:num w:numId="16" w16cid:durableId="24256872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rry Chown">
    <w15:presenceInfo w15:providerId="AD" w15:userId="S::harry.chown@postgrad.manchester.ac.uk::c5aeb990-d375-4d4f-9737-46626168a534"/>
  </w15:person>
  <w15:person w15:author="Danielle Weaver">
    <w15:presenceInfo w15:providerId="AD" w15:userId="S::danielle.weaver@manchester.ac.uk::99c6f7a7-e28c-464f-91fc-ad3270aa989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61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646812"/>
    <w:rsid w:val="00001A0F"/>
    <w:rsid w:val="00006C5E"/>
    <w:rsid w:val="00011BD2"/>
    <w:rsid w:val="0001308B"/>
    <w:rsid w:val="000155F3"/>
    <w:rsid w:val="00016889"/>
    <w:rsid w:val="000268B5"/>
    <w:rsid w:val="000301A8"/>
    <w:rsid w:val="00037CB9"/>
    <w:rsid w:val="00037F46"/>
    <w:rsid w:val="0004648C"/>
    <w:rsid w:val="00047D6A"/>
    <w:rsid w:val="0005144B"/>
    <w:rsid w:val="00051DC4"/>
    <w:rsid w:val="00070487"/>
    <w:rsid w:val="00070818"/>
    <w:rsid w:val="000710CC"/>
    <w:rsid w:val="00073496"/>
    <w:rsid w:val="00073D21"/>
    <w:rsid w:val="00083010"/>
    <w:rsid w:val="000851CC"/>
    <w:rsid w:val="000953FD"/>
    <w:rsid w:val="00095921"/>
    <w:rsid w:val="000A2CF3"/>
    <w:rsid w:val="000A6889"/>
    <w:rsid w:val="000B0BF9"/>
    <w:rsid w:val="000B23B6"/>
    <w:rsid w:val="000B4B47"/>
    <w:rsid w:val="000B5F10"/>
    <w:rsid w:val="000B75B4"/>
    <w:rsid w:val="000C3200"/>
    <w:rsid w:val="000C6269"/>
    <w:rsid w:val="000D114B"/>
    <w:rsid w:val="000D1CDA"/>
    <w:rsid w:val="000E04F9"/>
    <w:rsid w:val="000E49F7"/>
    <w:rsid w:val="000E501E"/>
    <w:rsid w:val="000F1146"/>
    <w:rsid w:val="000F1E35"/>
    <w:rsid w:val="000F3062"/>
    <w:rsid w:val="001021F2"/>
    <w:rsid w:val="00107FB6"/>
    <w:rsid w:val="001241FA"/>
    <w:rsid w:val="00126E9C"/>
    <w:rsid w:val="00133740"/>
    <w:rsid w:val="00134109"/>
    <w:rsid w:val="00134E7B"/>
    <w:rsid w:val="00144466"/>
    <w:rsid w:val="00146B8F"/>
    <w:rsid w:val="00147560"/>
    <w:rsid w:val="00151125"/>
    <w:rsid w:val="00153A84"/>
    <w:rsid w:val="00175B23"/>
    <w:rsid w:val="00176DFB"/>
    <w:rsid w:val="00180FF2"/>
    <w:rsid w:val="00182BA9"/>
    <w:rsid w:val="0018473B"/>
    <w:rsid w:val="001902E0"/>
    <w:rsid w:val="00190938"/>
    <w:rsid w:val="00194CE6"/>
    <w:rsid w:val="001A009C"/>
    <w:rsid w:val="001A3BB6"/>
    <w:rsid w:val="001A702C"/>
    <w:rsid w:val="001A745A"/>
    <w:rsid w:val="001B35AB"/>
    <w:rsid w:val="001B469A"/>
    <w:rsid w:val="001B644D"/>
    <w:rsid w:val="001C064E"/>
    <w:rsid w:val="001C20D6"/>
    <w:rsid w:val="001C62AB"/>
    <w:rsid w:val="001C70B8"/>
    <w:rsid w:val="001C770C"/>
    <w:rsid w:val="001C7AE3"/>
    <w:rsid w:val="001D2ACB"/>
    <w:rsid w:val="001E0B6B"/>
    <w:rsid w:val="001E1259"/>
    <w:rsid w:val="001E7771"/>
    <w:rsid w:val="001F4608"/>
    <w:rsid w:val="001F503D"/>
    <w:rsid w:val="001F7325"/>
    <w:rsid w:val="002003AE"/>
    <w:rsid w:val="00200A41"/>
    <w:rsid w:val="0020254A"/>
    <w:rsid w:val="00203194"/>
    <w:rsid w:val="00203714"/>
    <w:rsid w:val="0020541F"/>
    <w:rsid w:val="0021761D"/>
    <w:rsid w:val="00221FFD"/>
    <w:rsid w:val="00222A4D"/>
    <w:rsid w:val="002243CA"/>
    <w:rsid w:val="00225C6F"/>
    <w:rsid w:val="0023117B"/>
    <w:rsid w:val="0023222A"/>
    <w:rsid w:val="0023381D"/>
    <w:rsid w:val="00240A0F"/>
    <w:rsid w:val="00246B8F"/>
    <w:rsid w:val="00247E74"/>
    <w:rsid w:val="00250C53"/>
    <w:rsid w:val="00250E49"/>
    <w:rsid w:val="00253870"/>
    <w:rsid w:val="002565CF"/>
    <w:rsid w:val="00261338"/>
    <w:rsid w:val="00294676"/>
    <w:rsid w:val="002B11A2"/>
    <w:rsid w:val="002B2040"/>
    <w:rsid w:val="002B5DE3"/>
    <w:rsid w:val="002B78FC"/>
    <w:rsid w:val="002C298C"/>
    <w:rsid w:val="002C6D37"/>
    <w:rsid w:val="002C7089"/>
    <w:rsid w:val="002D16D3"/>
    <w:rsid w:val="002D3F67"/>
    <w:rsid w:val="002D50C9"/>
    <w:rsid w:val="002E30F1"/>
    <w:rsid w:val="002E34E8"/>
    <w:rsid w:val="002E45ED"/>
    <w:rsid w:val="002E7295"/>
    <w:rsid w:val="002F0F27"/>
    <w:rsid w:val="002F1099"/>
    <w:rsid w:val="002F1D6C"/>
    <w:rsid w:val="00302ED0"/>
    <w:rsid w:val="00303053"/>
    <w:rsid w:val="003070B8"/>
    <w:rsid w:val="0031307A"/>
    <w:rsid w:val="00316C75"/>
    <w:rsid w:val="00316F47"/>
    <w:rsid w:val="00325665"/>
    <w:rsid w:val="0032611F"/>
    <w:rsid w:val="0033213E"/>
    <w:rsid w:val="003348B3"/>
    <w:rsid w:val="003453B1"/>
    <w:rsid w:val="00361B40"/>
    <w:rsid w:val="00362657"/>
    <w:rsid w:val="00362FEF"/>
    <w:rsid w:val="003714BC"/>
    <w:rsid w:val="00371FA9"/>
    <w:rsid w:val="00375005"/>
    <w:rsid w:val="00375A2A"/>
    <w:rsid w:val="003813F1"/>
    <w:rsid w:val="003816F8"/>
    <w:rsid w:val="003824A8"/>
    <w:rsid w:val="003846D1"/>
    <w:rsid w:val="00395968"/>
    <w:rsid w:val="003A5560"/>
    <w:rsid w:val="003A7DF7"/>
    <w:rsid w:val="003B11D7"/>
    <w:rsid w:val="003B6321"/>
    <w:rsid w:val="003B6B3B"/>
    <w:rsid w:val="003B7B8D"/>
    <w:rsid w:val="003D0B73"/>
    <w:rsid w:val="003D49B3"/>
    <w:rsid w:val="003D5535"/>
    <w:rsid w:val="003E1A1D"/>
    <w:rsid w:val="003E1F4F"/>
    <w:rsid w:val="003E30C3"/>
    <w:rsid w:val="003F66AB"/>
    <w:rsid w:val="003F76E9"/>
    <w:rsid w:val="00414351"/>
    <w:rsid w:val="004166B7"/>
    <w:rsid w:val="004265AD"/>
    <w:rsid w:val="00426FED"/>
    <w:rsid w:val="004320B8"/>
    <w:rsid w:val="004325FF"/>
    <w:rsid w:val="00432770"/>
    <w:rsid w:val="00435632"/>
    <w:rsid w:val="00443002"/>
    <w:rsid w:val="00444C77"/>
    <w:rsid w:val="004512BB"/>
    <w:rsid w:val="00451494"/>
    <w:rsid w:val="00451B34"/>
    <w:rsid w:val="00457D2D"/>
    <w:rsid w:val="00463422"/>
    <w:rsid w:val="00475D04"/>
    <w:rsid w:val="004854A0"/>
    <w:rsid w:val="004867F5"/>
    <w:rsid w:val="004875D2"/>
    <w:rsid w:val="004A7C04"/>
    <w:rsid w:val="004B052A"/>
    <w:rsid w:val="004B0871"/>
    <w:rsid w:val="004B64C8"/>
    <w:rsid w:val="004B6B7B"/>
    <w:rsid w:val="004C0F04"/>
    <w:rsid w:val="004D1ECF"/>
    <w:rsid w:val="004D47F9"/>
    <w:rsid w:val="004D548D"/>
    <w:rsid w:val="004E2D28"/>
    <w:rsid w:val="004E6659"/>
    <w:rsid w:val="004E785D"/>
    <w:rsid w:val="00500880"/>
    <w:rsid w:val="00500C38"/>
    <w:rsid w:val="00500C55"/>
    <w:rsid w:val="00501A8F"/>
    <w:rsid w:val="00503389"/>
    <w:rsid w:val="00507C13"/>
    <w:rsid w:val="005134B1"/>
    <w:rsid w:val="00526218"/>
    <w:rsid w:val="0052623F"/>
    <w:rsid w:val="005332A9"/>
    <w:rsid w:val="005404DC"/>
    <w:rsid w:val="00540878"/>
    <w:rsid w:val="0054378E"/>
    <w:rsid w:val="00544294"/>
    <w:rsid w:val="005501CD"/>
    <w:rsid w:val="0055058F"/>
    <w:rsid w:val="00552687"/>
    <w:rsid w:val="00557B51"/>
    <w:rsid w:val="0056155F"/>
    <w:rsid w:val="00567862"/>
    <w:rsid w:val="00575624"/>
    <w:rsid w:val="00580600"/>
    <w:rsid w:val="00581719"/>
    <w:rsid w:val="0058226C"/>
    <w:rsid w:val="0058428A"/>
    <w:rsid w:val="00590406"/>
    <w:rsid w:val="005A6BE5"/>
    <w:rsid w:val="005A732C"/>
    <w:rsid w:val="005B3F2C"/>
    <w:rsid w:val="005C0703"/>
    <w:rsid w:val="005C14D9"/>
    <w:rsid w:val="005C2259"/>
    <w:rsid w:val="005C7169"/>
    <w:rsid w:val="005D0F3E"/>
    <w:rsid w:val="005D186C"/>
    <w:rsid w:val="005E78D1"/>
    <w:rsid w:val="005E7A12"/>
    <w:rsid w:val="005F08FD"/>
    <w:rsid w:val="005F3395"/>
    <w:rsid w:val="005F3EBF"/>
    <w:rsid w:val="0060193A"/>
    <w:rsid w:val="00607E51"/>
    <w:rsid w:val="00610E37"/>
    <w:rsid w:val="006133C2"/>
    <w:rsid w:val="0061639D"/>
    <w:rsid w:val="006169BC"/>
    <w:rsid w:val="0062256A"/>
    <w:rsid w:val="0062623C"/>
    <w:rsid w:val="00630EC2"/>
    <w:rsid w:val="00635E6E"/>
    <w:rsid w:val="00640B2C"/>
    <w:rsid w:val="006415DE"/>
    <w:rsid w:val="00646812"/>
    <w:rsid w:val="00656F2D"/>
    <w:rsid w:val="00661CFF"/>
    <w:rsid w:val="00662B77"/>
    <w:rsid w:val="00662C5C"/>
    <w:rsid w:val="00667E8B"/>
    <w:rsid w:val="00671B19"/>
    <w:rsid w:val="00671FB5"/>
    <w:rsid w:val="006727BA"/>
    <w:rsid w:val="0067499D"/>
    <w:rsid w:val="00675D29"/>
    <w:rsid w:val="00680363"/>
    <w:rsid w:val="0068196C"/>
    <w:rsid w:val="00683C8E"/>
    <w:rsid w:val="00684AE9"/>
    <w:rsid w:val="0068629C"/>
    <w:rsid w:val="0069473C"/>
    <w:rsid w:val="006A0267"/>
    <w:rsid w:val="006A7C61"/>
    <w:rsid w:val="006B0BBB"/>
    <w:rsid w:val="006B35C2"/>
    <w:rsid w:val="006B78BF"/>
    <w:rsid w:val="006C2AA5"/>
    <w:rsid w:val="006C5328"/>
    <w:rsid w:val="006C69DD"/>
    <w:rsid w:val="006C746E"/>
    <w:rsid w:val="006C798D"/>
    <w:rsid w:val="006D1E55"/>
    <w:rsid w:val="006D25BE"/>
    <w:rsid w:val="006D382A"/>
    <w:rsid w:val="006E1E91"/>
    <w:rsid w:val="006E35BA"/>
    <w:rsid w:val="006E45D5"/>
    <w:rsid w:val="006E4EE6"/>
    <w:rsid w:val="006F1465"/>
    <w:rsid w:val="006F287C"/>
    <w:rsid w:val="006F3CEF"/>
    <w:rsid w:val="006F7B1D"/>
    <w:rsid w:val="006F82A6"/>
    <w:rsid w:val="00710207"/>
    <w:rsid w:val="0072608F"/>
    <w:rsid w:val="0073021B"/>
    <w:rsid w:val="007320F2"/>
    <w:rsid w:val="00732CFC"/>
    <w:rsid w:val="00732D08"/>
    <w:rsid w:val="00734522"/>
    <w:rsid w:val="00740E1B"/>
    <w:rsid w:val="00742D94"/>
    <w:rsid w:val="0074410D"/>
    <w:rsid w:val="007460D6"/>
    <w:rsid w:val="00752CB2"/>
    <w:rsid w:val="007530F0"/>
    <w:rsid w:val="007547AE"/>
    <w:rsid w:val="00755656"/>
    <w:rsid w:val="00755CA9"/>
    <w:rsid w:val="00762ECC"/>
    <w:rsid w:val="0076392E"/>
    <w:rsid w:val="007718F7"/>
    <w:rsid w:val="00771D81"/>
    <w:rsid w:val="00775ECB"/>
    <w:rsid w:val="00776704"/>
    <w:rsid w:val="00780C2C"/>
    <w:rsid w:val="00790016"/>
    <w:rsid w:val="007939DC"/>
    <w:rsid w:val="007953AA"/>
    <w:rsid w:val="007A0E00"/>
    <w:rsid w:val="007A289D"/>
    <w:rsid w:val="007A4D35"/>
    <w:rsid w:val="007A65BC"/>
    <w:rsid w:val="007A6F07"/>
    <w:rsid w:val="007B6DB4"/>
    <w:rsid w:val="007B6E6A"/>
    <w:rsid w:val="007B7015"/>
    <w:rsid w:val="007C4096"/>
    <w:rsid w:val="007C72C3"/>
    <w:rsid w:val="007C7B39"/>
    <w:rsid w:val="007D1FF7"/>
    <w:rsid w:val="007D5DDE"/>
    <w:rsid w:val="007E17BB"/>
    <w:rsid w:val="007E3528"/>
    <w:rsid w:val="007F374B"/>
    <w:rsid w:val="007F7717"/>
    <w:rsid w:val="007F7DE1"/>
    <w:rsid w:val="00801B01"/>
    <w:rsid w:val="0080301F"/>
    <w:rsid w:val="008052E7"/>
    <w:rsid w:val="0080709D"/>
    <w:rsid w:val="008166B7"/>
    <w:rsid w:val="008167B6"/>
    <w:rsid w:val="0082491B"/>
    <w:rsid w:val="00824B07"/>
    <w:rsid w:val="0082783B"/>
    <w:rsid w:val="0083160C"/>
    <w:rsid w:val="00831E8E"/>
    <w:rsid w:val="00832546"/>
    <w:rsid w:val="00842A95"/>
    <w:rsid w:val="00846F64"/>
    <w:rsid w:val="00852DBA"/>
    <w:rsid w:val="00854BF4"/>
    <w:rsid w:val="0086269D"/>
    <w:rsid w:val="00867624"/>
    <w:rsid w:val="00867911"/>
    <w:rsid w:val="00871190"/>
    <w:rsid w:val="008718A1"/>
    <w:rsid w:val="008743D4"/>
    <w:rsid w:val="008768D3"/>
    <w:rsid w:val="00884BFC"/>
    <w:rsid w:val="00891808"/>
    <w:rsid w:val="008969D7"/>
    <w:rsid w:val="0089735C"/>
    <w:rsid w:val="008A2252"/>
    <w:rsid w:val="008A49C1"/>
    <w:rsid w:val="008A6CA9"/>
    <w:rsid w:val="008A7CF8"/>
    <w:rsid w:val="008B203F"/>
    <w:rsid w:val="008B4921"/>
    <w:rsid w:val="008B5CA0"/>
    <w:rsid w:val="008B5E8E"/>
    <w:rsid w:val="008E0ED7"/>
    <w:rsid w:val="008E5377"/>
    <w:rsid w:val="008E660C"/>
    <w:rsid w:val="008F1F7A"/>
    <w:rsid w:val="008F3280"/>
    <w:rsid w:val="008F5D35"/>
    <w:rsid w:val="008F6B75"/>
    <w:rsid w:val="008F7FCA"/>
    <w:rsid w:val="00903F03"/>
    <w:rsid w:val="00905F22"/>
    <w:rsid w:val="009065D4"/>
    <w:rsid w:val="00906CAC"/>
    <w:rsid w:val="009167AD"/>
    <w:rsid w:val="00917133"/>
    <w:rsid w:val="00924589"/>
    <w:rsid w:val="00925113"/>
    <w:rsid w:val="00925F62"/>
    <w:rsid w:val="009269B2"/>
    <w:rsid w:val="00931161"/>
    <w:rsid w:val="00932803"/>
    <w:rsid w:val="0094187A"/>
    <w:rsid w:val="00944A4B"/>
    <w:rsid w:val="00951BDD"/>
    <w:rsid w:val="00952B66"/>
    <w:rsid w:val="009532A7"/>
    <w:rsid w:val="00955D56"/>
    <w:rsid w:val="00956178"/>
    <w:rsid w:val="0095672E"/>
    <w:rsid w:val="00964C56"/>
    <w:rsid w:val="00965A75"/>
    <w:rsid w:val="00967D7E"/>
    <w:rsid w:val="009701E5"/>
    <w:rsid w:val="00974944"/>
    <w:rsid w:val="0097496B"/>
    <w:rsid w:val="009772E4"/>
    <w:rsid w:val="009776D6"/>
    <w:rsid w:val="00990B5F"/>
    <w:rsid w:val="00994762"/>
    <w:rsid w:val="009A0A26"/>
    <w:rsid w:val="009A0B22"/>
    <w:rsid w:val="009A13F7"/>
    <w:rsid w:val="009A27A0"/>
    <w:rsid w:val="009A4F75"/>
    <w:rsid w:val="009A6364"/>
    <w:rsid w:val="009B1679"/>
    <w:rsid w:val="009B3E59"/>
    <w:rsid w:val="009B7D8D"/>
    <w:rsid w:val="009C0E30"/>
    <w:rsid w:val="009C43E7"/>
    <w:rsid w:val="009C729F"/>
    <w:rsid w:val="009D33A0"/>
    <w:rsid w:val="009D75AD"/>
    <w:rsid w:val="009E059C"/>
    <w:rsid w:val="009E0EE3"/>
    <w:rsid w:val="009E481F"/>
    <w:rsid w:val="009E543D"/>
    <w:rsid w:val="009F2E6F"/>
    <w:rsid w:val="009F44C2"/>
    <w:rsid w:val="009F519B"/>
    <w:rsid w:val="00A02CCD"/>
    <w:rsid w:val="00A070B0"/>
    <w:rsid w:val="00A071C5"/>
    <w:rsid w:val="00A1099D"/>
    <w:rsid w:val="00A13CEB"/>
    <w:rsid w:val="00A159A3"/>
    <w:rsid w:val="00A23172"/>
    <w:rsid w:val="00A25EC3"/>
    <w:rsid w:val="00A27BF7"/>
    <w:rsid w:val="00A31633"/>
    <w:rsid w:val="00A34A76"/>
    <w:rsid w:val="00A4287F"/>
    <w:rsid w:val="00A4356F"/>
    <w:rsid w:val="00A47610"/>
    <w:rsid w:val="00A51CCF"/>
    <w:rsid w:val="00A546BB"/>
    <w:rsid w:val="00A566A3"/>
    <w:rsid w:val="00A61610"/>
    <w:rsid w:val="00A6567E"/>
    <w:rsid w:val="00A65847"/>
    <w:rsid w:val="00A7704E"/>
    <w:rsid w:val="00A772CF"/>
    <w:rsid w:val="00A77D23"/>
    <w:rsid w:val="00A92237"/>
    <w:rsid w:val="00A92D88"/>
    <w:rsid w:val="00A95112"/>
    <w:rsid w:val="00A96D25"/>
    <w:rsid w:val="00AA0E56"/>
    <w:rsid w:val="00AA37E8"/>
    <w:rsid w:val="00AA3AC0"/>
    <w:rsid w:val="00AA652F"/>
    <w:rsid w:val="00AC5790"/>
    <w:rsid w:val="00AC6DD1"/>
    <w:rsid w:val="00AD4FC5"/>
    <w:rsid w:val="00AE3950"/>
    <w:rsid w:val="00AE4918"/>
    <w:rsid w:val="00AF279D"/>
    <w:rsid w:val="00B0196B"/>
    <w:rsid w:val="00B037B2"/>
    <w:rsid w:val="00B10415"/>
    <w:rsid w:val="00B139C5"/>
    <w:rsid w:val="00B14AB5"/>
    <w:rsid w:val="00B17A14"/>
    <w:rsid w:val="00B20E6A"/>
    <w:rsid w:val="00B21986"/>
    <w:rsid w:val="00B30FCF"/>
    <w:rsid w:val="00B332F0"/>
    <w:rsid w:val="00B36B9F"/>
    <w:rsid w:val="00B40FF5"/>
    <w:rsid w:val="00B43681"/>
    <w:rsid w:val="00B47E2E"/>
    <w:rsid w:val="00B555F4"/>
    <w:rsid w:val="00B57261"/>
    <w:rsid w:val="00B573F7"/>
    <w:rsid w:val="00B65538"/>
    <w:rsid w:val="00B662E0"/>
    <w:rsid w:val="00B70CAC"/>
    <w:rsid w:val="00B73D7C"/>
    <w:rsid w:val="00B75495"/>
    <w:rsid w:val="00B76458"/>
    <w:rsid w:val="00B773F3"/>
    <w:rsid w:val="00B81D23"/>
    <w:rsid w:val="00B860C7"/>
    <w:rsid w:val="00B8783D"/>
    <w:rsid w:val="00B92018"/>
    <w:rsid w:val="00B92552"/>
    <w:rsid w:val="00B9368D"/>
    <w:rsid w:val="00B93FE7"/>
    <w:rsid w:val="00B94C9E"/>
    <w:rsid w:val="00B97513"/>
    <w:rsid w:val="00BA1781"/>
    <w:rsid w:val="00BA3BF2"/>
    <w:rsid w:val="00BA7660"/>
    <w:rsid w:val="00BB18BE"/>
    <w:rsid w:val="00BB4F6B"/>
    <w:rsid w:val="00BB75E9"/>
    <w:rsid w:val="00BC02F4"/>
    <w:rsid w:val="00BC0FDC"/>
    <w:rsid w:val="00BC32FC"/>
    <w:rsid w:val="00BC6A6C"/>
    <w:rsid w:val="00BD0EBB"/>
    <w:rsid w:val="00BD35F7"/>
    <w:rsid w:val="00BD7DC1"/>
    <w:rsid w:val="00BE4B81"/>
    <w:rsid w:val="00BF1201"/>
    <w:rsid w:val="00BF4038"/>
    <w:rsid w:val="00C124C9"/>
    <w:rsid w:val="00C15B6D"/>
    <w:rsid w:val="00C16720"/>
    <w:rsid w:val="00C201A8"/>
    <w:rsid w:val="00C21731"/>
    <w:rsid w:val="00C224D4"/>
    <w:rsid w:val="00C23ED1"/>
    <w:rsid w:val="00C339BF"/>
    <w:rsid w:val="00C5077D"/>
    <w:rsid w:val="00C54493"/>
    <w:rsid w:val="00C55AB5"/>
    <w:rsid w:val="00C60243"/>
    <w:rsid w:val="00C61DBB"/>
    <w:rsid w:val="00C6590C"/>
    <w:rsid w:val="00C67081"/>
    <w:rsid w:val="00C76B34"/>
    <w:rsid w:val="00C81166"/>
    <w:rsid w:val="00C83C8C"/>
    <w:rsid w:val="00C84561"/>
    <w:rsid w:val="00C870F6"/>
    <w:rsid w:val="00C90B94"/>
    <w:rsid w:val="00C9275C"/>
    <w:rsid w:val="00CA0400"/>
    <w:rsid w:val="00CA3FE3"/>
    <w:rsid w:val="00CA4045"/>
    <w:rsid w:val="00CA517D"/>
    <w:rsid w:val="00CB0DA8"/>
    <w:rsid w:val="00CB105C"/>
    <w:rsid w:val="00CB2B05"/>
    <w:rsid w:val="00CB38C5"/>
    <w:rsid w:val="00CB6533"/>
    <w:rsid w:val="00CC36AF"/>
    <w:rsid w:val="00CC4222"/>
    <w:rsid w:val="00CC47E7"/>
    <w:rsid w:val="00CD3B8E"/>
    <w:rsid w:val="00CD4DAA"/>
    <w:rsid w:val="00CD5DA3"/>
    <w:rsid w:val="00CE3B5D"/>
    <w:rsid w:val="00CE4CAB"/>
    <w:rsid w:val="00CE65FB"/>
    <w:rsid w:val="00CE6D46"/>
    <w:rsid w:val="00CF1884"/>
    <w:rsid w:val="00CF381D"/>
    <w:rsid w:val="00CF53B8"/>
    <w:rsid w:val="00D0039F"/>
    <w:rsid w:val="00D03847"/>
    <w:rsid w:val="00D03CE3"/>
    <w:rsid w:val="00D058EF"/>
    <w:rsid w:val="00D12707"/>
    <w:rsid w:val="00D17A8F"/>
    <w:rsid w:val="00D21CAD"/>
    <w:rsid w:val="00D2249B"/>
    <w:rsid w:val="00D23CF9"/>
    <w:rsid w:val="00D24DBC"/>
    <w:rsid w:val="00D27ED4"/>
    <w:rsid w:val="00D36003"/>
    <w:rsid w:val="00D41ADB"/>
    <w:rsid w:val="00D45BCA"/>
    <w:rsid w:val="00D46B52"/>
    <w:rsid w:val="00D53C12"/>
    <w:rsid w:val="00D54857"/>
    <w:rsid w:val="00D55E2F"/>
    <w:rsid w:val="00D65384"/>
    <w:rsid w:val="00D668FB"/>
    <w:rsid w:val="00D66B3C"/>
    <w:rsid w:val="00D70CEA"/>
    <w:rsid w:val="00D75FE3"/>
    <w:rsid w:val="00D821DA"/>
    <w:rsid w:val="00D86371"/>
    <w:rsid w:val="00D911AB"/>
    <w:rsid w:val="00D951DA"/>
    <w:rsid w:val="00DA1EBD"/>
    <w:rsid w:val="00DA3F9C"/>
    <w:rsid w:val="00DA562C"/>
    <w:rsid w:val="00DA63D6"/>
    <w:rsid w:val="00DA65E8"/>
    <w:rsid w:val="00DB13FF"/>
    <w:rsid w:val="00DB1D48"/>
    <w:rsid w:val="00DB1E55"/>
    <w:rsid w:val="00DB485F"/>
    <w:rsid w:val="00DB4A98"/>
    <w:rsid w:val="00DB72AE"/>
    <w:rsid w:val="00DC1AC3"/>
    <w:rsid w:val="00DC301A"/>
    <w:rsid w:val="00DC4711"/>
    <w:rsid w:val="00DC6D2C"/>
    <w:rsid w:val="00DC72C1"/>
    <w:rsid w:val="00DD4112"/>
    <w:rsid w:val="00DD4E01"/>
    <w:rsid w:val="00DE1C85"/>
    <w:rsid w:val="00DE4778"/>
    <w:rsid w:val="00DE7B23"/>
    <w:rsid w:val="00DF25B2"/>
    <w:rsid w:val="00E00F59"/>
    <w:rsid w:val="00E04F12"/>
    <w:rsid w:val="00E11E27"/>
    <w:rsid w:val="00E14018"/>
    <w:rsid w:val="00E14319"/>
    <w:rsid w:val="00E16164"/>
    <w:rsid w:val="00E225AA"/>
    <w:rsid w:val="00E2307A"/>
    <w:rsid w:val="00E25C86"/>
    <w:rsid w:val="00E27F80"/>
    <w:rsid w:val="00E32086"/>
    <w:rsid w:val="00E340E9"/>
    <w:rsid w:val="00E373D4"/>
    <w:rsid w:val="00E42304"/>
    <w:rsid w:val="00E45E35"/>
    <w:rsid w:val="00E50A93"/>
    <w:rsid w:val="00E609D2"/>
    <w:rsid w:val="00E61C53"/>
    <w:rsid w:val="00E708FD"/>
    <w:rsid w:val="00E71C3C"/>
    <w:rsid w:val="00E74D7A"/>
    <w:rsid w:val="00E84449"/>
    <w:rsid w:val="00E85A95"/>
    <w:rsid w:val="00E86784"/>
    <w:rsid w:val="00E870B0"/>
    <w:rsid w:val="00E90F3E"/>
    <w:rsid w:val="00E939D2"/>
    <w:rsid w:val="00E94AD4"/>
    <w:rsid w:val="00EA4325"/>
    <w:rsid w:val="00EB29BA"/>
    <w:rsid w:val="00EB45B0"/>
    <w:rsid w:val="00EB589D"/>
    <w:rsid w:val="00EB5F3B"/>
    <w:rsid w:val="00EC084B"/>
    <w:rsid w:val="00ED1600"/>
    <w:rsid w:val="00ED23BC"/>
    <w:rsid w:val="00ED2C53"/>
    <w:rsid w:val="00ED6BC8"/>
    <w:rsid w:val="00ED74C4"/>
    <w:rsid w:val="00ED7EA6"/>
    <w:rsid w:val="00EE0D18"/>
    <w:rsid w:val="00F05753"/>
    <w:rsid w:val="00F06265"/>
    <w:rsid w:val="00F11887"/>
    <w:rsid w:val="00F14539"/>
    <w:rsid w:val="00F21035"/>
    <w:rsid w:val="00F24AEE"/>
    <w:rsid w:val="00F257D8"/>
    <w:rsid w:val="00F258E0"/>
    <w:rsid w:val="00F26C2D"/>
    <w:rsid w:val="00F27B8B"/>
    <w:rsid w:val="00F4310B"/>
    <w:rsid w:val="00F50784"/>
    <w:rsid w:val="00F510F5"/>
    <w:rsid w:val="00F61345"/>
    <w:rsid w:val="00F63765"/>
    <w:rsid w:val="00F66ABE"/>
    <w:rsid w:val="00F76375"/>
    <w:rsid w:val="00F77EEA"/>
    <w:rsid w:val="00F808AE"/>
    <w:rsid w:val="00F91375"/>
    <w:rsid w:val="00F94A30"/>
    <w:rsid w:val="00F95621"/>
    <w:rsid w:val="00FA3F40"/>
    <w:rsid w:val="00FA7CCC"/>
    <w:rsid w:val="00FA7F9B"/>
    <w:rsid w:val="00FB16D4"/>
    <w:rsid w:val="00FB6A2C"/>
    <w:rsid w:val="00FC3436"/>
    <w:rsid w:val="00FC433E"/>
    <w:rsid w:val="00FC4621"/>
    <w:rsid w:val="00FC47FC"/>
    <w:rsid w:val="00FC512B"/>
    <w:rsid w:val="00FC6027"/>
    <w:rsid w:val="00FD5C17"/>
    <w:rsid w:val="00FE2F2A"/>
    <w:rsid w:val="00FE4901"/>
    <w:rsid w:val="00FE553D"/>
    <w:rsid w:val="00FF052D"/>
    <w:rsid w:val="0148211D"/>
    <w:rsid w:val="014CBF5F"/>
    <w:rsid w:val="015B2471"/>
    <w:rsid w:val="016F630B"/>
    <w:rsid w:val="017E6BEC"/>
    <w:rsid w:val="0230CBC5"/>
    <w:rsid w:val="023C08EE"/>
    <w:rsid w:val="029EFC84"/>
    <w:rsid w:val="02B66E2C"/>
    <w:rsid w:val="030E928E"/>
    <w:rsid w:val="03588CD9"/>
    <w:rsid w:val="03F7E7E5"/>
    <w:rsid w:val="042D8CC2"/>
    <w:rsid w:val="04895912"/>
    <w:rsid w:val="049B6CA2"/>
    <w:rsid w:val="05092FF2"/>
    <w:rsid w:val="05094BEC"/>
    <w:rsid w:val="0522E7E0"/>
    <w:rsid w:val="052417CA"/>
    <w:rsid w:val="05AE6EE2"/>
    <w:rsid w:val="05C00659"/>
    <w:rsid w:val="061C1A14"/>
    <w:rsid w:val="06329974"/>
    <w:rsid w:val="065CD293"/>
    <w:rsid w:val="0667FAF2"/>
    <w:rsid w:val="06969ED8"/>
    <w:rsid w:val="06F9C307"/>
    <w:rsid w:val="071C6774"/>
    <w:rsid w:val="0720BD80"/>
    <w:rsid w:val="074FE139"/>
    <w:rsid w:val="07830245"/>
    <w:rsid w:val="07D362D8"/>
    <w:rsid w:val="07FCDD7C"/>
    <w:rsid w:val="08073701"/>
    <w:rsid w:val="080A563B"/>
    <w:rsid w:val="0870831B"/>
    <w:rsid w:val="08994E51"/>
    <w:rsid w:val="08D88D26"/>
    <w:rsid w:val="093586EE"/>
    <w:rsid w:val="095EABCA"/>
    <w:rsid w:val="09F8453F"/>
    <w:rsid w:val="0A1B00E2"/>
    <w:rsid w:val="0A6A21EF"/>
    <w:rsid w:val="0A7F2191"/>
    <w:rsid w:val="0AEAA611"/>
    <w:rsid w:val="0B6CF0EC"/>
    <w:rsid w:val="0BA2FF88"/>
    <w:rsid w:val="0C27AD11"/>
    <w:rsid w:val="0C3DB4D9"/>
    <w:rsid w:val="0C469BDC"/>
    <w:rsid w:val="0C618AAF"/>
    <w:rsid w:val="0C943B7A"/>
    <w:rsid w:val="0C9DF567"/>
    <w:rsid w:val="0CAC121E"/>
    <w:rsid w:val="0CF44319"/>
    <w:rsid w:val="0D2FBB79"/>
    <w:rsid w:val="0D61E249"/>
    <w:rsid w:val="0DD237E2"/>
    <w:rsid w:val="0DFD5E20"/>
    <w:rsid w:val="0E13B270"/>
    <w:rsid w:val="0E35F453"/>
    <w:rsid w:val="0E60C9E8"/>
    <w:rsid w:val="0E6F4431"/>
    <w:rsid w:val="0E8086A8"/>
    <w:rsid w:val="0E9A499A"/>
    <w:rsid w:val="0EA05EBD"/>
    <w:rsid w:val="0EAC88AD"/>
    <w:rsid w:val="0EEC9992"/>
    <w:rsid w:val="0F92ED21"/>
    <w:rsid w:val="0FB47771"/>
    <w:rsid w:val="0FC94869"/>
    <w:rsid w:val="0FDC765E"/>
    <w:rsid w:val="0FF0A4F1"/>
    <w:rsid w:val="1069C154"/>
    <w:rsid w:val="10BF32CB"/>
    <w:rsid w:val="10D3086A"/>
    <w:rsid w:val="10DAC34B"/>
    <w:rsid w:val="10E59B43"/>
    <w:rsid w:val="110EC3AC"/>
    <w:rsid w:val="1195DD4B"/>
    <w:rsid w:val="11A90F9C"/>
    <w:rsid w:val="120DBD83"/>
    <w:rsid w:val="1228AC7B"/>
    <w:rsid w:val="122C91AB"/>
    <w:rsid w:val="126665A2"/>
    <w:rsid w:val="12A6B480"/>
    <w:rsid w:val="12C59EAC"/>
    <w:rsid w:val="133FE264"/>
    <w:rsid w:val="13408C78"/>
    <w:rsid w:val="1340C05D"/>
    <w:rsid w:val="1340E1E1"/>
    <w:rsid w:val="134B270C"/>
    <w:rsid w:val="1381DF7D"/>
    <w:rsid w:val="138BC1E6"/>
    <w:rsid w:val="13CC77C9"/>
    <w:rsid w:val="13E31FA0"/>
    <w:rsid w:val="13E4A778"/>
    <w:rsid w:val="13F4F831"/>
    <w:rsid w:val="14412C16"/>
    <w:rsid w:val="14652AE3"/>
    <w:rsid w:val="14717ED3"/>
    <w:rsid w:val="14C0631E"/>
    <w:rsid w:val="14C40EB2"/>
    <w:rsid w:val="14CCCBE1"/>
    <w:rsid w:val="15CF534D"/>
    <w:rsid w:val="15E22276"/>
    <w:rsid w:val="1646279F"/>
    <w:rsid w:val="1676A08B"/>
    <w:rsid w:val="167C4BB1"/>
    <w:rsid w:val="168DE050"/>
    <w:rsid w:val="169E08D1"/>
    <w:rsid w:val="169FACF1"/>
    <w:rsid w:val="16BD6518"/>
    <w:rsid w:val="16DD8D27"/>
    <w:rsid w:val="16EF298A"/>
    <w:rsid w:val="170F8EA3"/>
    <w:rsid w:val="17729AD4"/>
    <w:rsid w:val="178C0826"/>
    <w:rsid w:val="18466337"/>
    <w:rsid w:val="18471E42"/>
    <w:rsid w:val="18593579"/>
    <w:rsid w:val="1883AF6D"/>
    <w:rsid w:val="1938B996"/>
    <w:rsid w:val="19565554"/>
    <w:rsid w:val="1963B17B"/>
    <w:rsid w:val="19845D11"/>
    <w:rsid w:val="1A04DA29"/>
    <w:rsid w:val="1A06F49D"/>
    <w:rsid w:val="1A262395"/>
    <w:rsid w:val="1A629823"/>
    <w:rsid w:val="1A70B262"/>
    <w:rsid w:val="1A84BE9B"/>
    <w:rsid w:val="1AC18993"/>
    <w:rsid w:val="1B0EC707"/>
    <w:rsid w:val="1B5AF2D9"/>
    <w:rsid w:val="1BD42552"/>
    <w:rsid w:val="1BD4A84F"/>
    <w:rsid w:val="1BF8A863"/>
    <w:rsid w:val="1C1E5963"/>
    <w:rsid w:val="1C292448"/>
    <w:rsid w:val="1C38ACE6"/>
    <w:rsid w:val="1C5334FE"/>
    <w:rsid w:val="1C587AFF"/>
    <w:rsid w:val="1C6ACC93"/>
    <w:rsid w:val="1C7B329C"/>
    <w:rsid w:val="1C8FF644"/>
    <w:rsid w:val="1D018A0D"/>
    <w:rsid w:val="1DA131F6"/>
    <w:rsid w:val="1DA6FCFD"/>
    <w:rsid w:val="1DBFF738"/>
    <w:rsid w:val="1DE8B232"/>
    <w:rsid w:val="1E13D2DD"/>
    <w:rsid w:val="1E804617"/>
    <w:rsid w:val="1EAAF4C5"/>
    <w:rsid w:val="1F419CF2"/>
    <w:rsid w:val="1F467868"/>
    <w:rsid w:val="1F633463"/>
    <w:rsid w:val="1FBF37A6"/>
    <w:rsid w:val="1FC7467B"/>
    <w:rsid w:val="1FE3FF4C"/>
    <w:rsid w:val="1FE67209"/>
    <w:rsid w:val="1FEBDEC8"/>
    <w:rsid w:val="20136032"/>
    <w:rsid w:val="20222828"/>
    <w:rsid w:val="2042B4E1"/>
    <w:rsid w:val="20B3BFF6"/>
    <w:rsid w:val="20B5059E"/>
    <w:rsid w:val="20BD5D29"/>
    <w:rsid w:val="20FE7AA0"/>
    <w:rsid w:val="218AD6A6"/>
    <w:rsid w:val="225B7A5B"/>
    <w:rsid w:val="22A6B841"/>
    <w:rsid w:val="22BD91E0"/>
    <w:rsid w:val="22D500C2"/>
    <w:rsid w:val="23192C98"/>
    <w:rsid w:val="2345A3A0"/>
    <w:rsid w:val="23648867"/>
    <w:rsid w:val="2364E4A5"/>
    <w:rsid w:val="239DD3AE"/>
    <w:rsid w:val="23A3EF86"/>
    <w:rsid w:val="23B33C03"/>
    <w:rsid w:val="242F7409"/>
    <w:rsid w:val="2496A6BE"/>
    <w:rsid w:val="24A068FD"/>
    <w:rsid w:val="24CA8419"/>
    <w:rsid w:val="24D0B3EC"/>
    <w:rsid w:val="24D575A4"/>
    <w:rsid w:val="250490FB"/>
    <w:rsid w:val="251B3C59"/>
    <w:rsid w:val="257EB8F3"/>
    <w:rsid w:val="2589703F"/>
    <w:rsid w:val="25B034D7"/>
    <w:rsid w:val="25C0319C"/>
    <w:rsid w:val="25D653D3"/>
    <w:rsid w:val="261BD372"/>
    <w:rsid w:val="261ED82A"/>
    <w:rsid w:val="26297E67"/>
    <w:rsid w:val="262BED6D"/>
    <w:rsid w:val="2638C38E"/>
    <w:rsid w:val="266336BC"/>
    <w:rsid w:val="267E2CE9"/>
    <w:rsid w:val="2691D2C8"/>
    <w:rsid w:val="2699FFBF"/>
    <w:rsid w:val="26E6B939"/>
    <w:rsid w:val="26E768DE"/>
    <w:rsid w:val="26F6898A"/>
    <w:rsid w:val="270BE5DF"/>
    <w:rsid w:val="272083CF"/>
    <w:rsid w:val="276D81FD"/>
    <w:rsid w:val="2775BC27"/>
    <w:rsid w:val="27785382"/>
    <w:rsid w:val="2783B8C8"/>
    <w:rsid w:val="2794E002"/>
    <w:rsid w:val="27C5C9DC"/>
    <w:rsid w:val="280AD90A"/>
    <w:rsid w:val="283451A1"/>
    <w:rsid w:val="28374BC3"/>
    <w:rsid w:val="29306E6C"/>
    <w:rsid w:val="2964C9CA"/>
    <w:rsid w:val="298A8D04"/>
    <w:rsid w:val="298F65F6"/>
    <w:rsid w:val="29A5A7C4"/>
    <w:rsid w:val="29A92249"/>
    <w:rsid w:val="29BCEA4A"/>
    <w:rsid w:val="29CED24C"/>
    <w:rsid w:val="2A23D514"/>
    <w:rsid w:val="2A3940DE"/>
    <w:rsid w:val="2AB8635B"/>
    <w:rsid w:val="2B05F6B8"/>
    <w:rsid w:val="2B2F1C72"/>
    <w:rsid w:val="2B3561BA"/>
    <w:rsid w:val="2B7C7B02"/>
    <w:rsid w:val="2BA67D18"/>
    <w:rsid w:val="2BEF0B67"/>
    <w:rsid w:val="2C3B6148"/>
    <w:rsid w:val="2C7B8BF4"/>
    <w:rsid w:val="2CC5453F"/>
    <w:rsid w:val="2CCEEA96"/>
    <w:rsid w:val="2D146AF9"/>
    <w:rsid w:val="2D7FA97B"/>
    <w:rsid w:val="2D902D77"/>
    <w:rsid w:val="2DD2762F"/>
    <w:rsid w:val="2DFB7666"/>
    <w:rsid w:val="2E483812"/>
    <w:rsid w:val="2FA9AC5E"/>
    <w:rsid w:val="306E720F"/>
    <w:rsid w:val="307E8C16"/>
    <w:rsid w:val="31E47B5F"/>
    <w:rsid w:val="32298C3F"/>
    <w:rsid w:val="32A6EBA7"/>
    <w:rsid w:val="32B82562"/>
    <w:rsid w:val="330C6875"/>
    <w:rsid w:val="33336748"/>
    <w:rsid w:val="3334D89A"/>
    <w:rsid w:val="334D55CA"/>
    <w:rsid w:val="3399489D"/>
    <w:rsid w:val="33E70E15"/>
    <w:rsid w:val="33FCE87D"/>
    <w:rsid w:val="3413CDBC"/>
    <w:rsid w:val="348CA680"/>
    <w:rsid w:val="34DD9975"/>
    <w:rsid w:val="34E25A6D"/>
    <w:rsid w:val="356BB5F2"/>
    <w:rsid w:val="36D60FE7"/>
    <w:rsid w:val="3718F80A"/>
    <w:rsid w:val="371ACC79"/>
    <w:rsid w:val="37365BF3"/>
    <w:rsid w:val="3783C6F6"/>
    <w:rsid w:val="378CF4BA"/>
    <w:rsid w:val="378E3B6F"/>
    <w:rsid w:val="37D5D2B4"/>
    <w:rsid w:val="382D966C"/>
    <w:rsid w:val="385341EB"/>
    <w:rsid w:val="38605054"/>
    <w:rsid w:val="386A634B"/>
    <w:rsid w:val="386EEB21"/>
    <w:rsid w:val="394B002D"/>
    <w:rsid w:val="394F8ECF"/>
    <w:rsid w:val="395A1B84"/>
    <w:rsid w:val="3999A1DB"/>
    <w:rsid w:val="39BEAC8E"/>
    <w:rsid w:val="39C6B87B"/>
    <w:rsid w:val="39E50813"/>
    <w:rsid w:val="39F5038D"/>
    <w:rsid w:val="3A1897E1"/>
    <w:rsid w:val="3A344946"/>
    <w:rsid w:val="3A39D29F"/>
    <w:rsid w:val="3A5EE721"/>
    <w:rsid w:val="3AF87EB1"/>
    <w:rsid w:val="3B5D99C8"/>
    <w:rsid w:val="3B86B4F8"/>
    <w:rsid w:val="3C1C13FA"/>
    <w:rsid w:val="3C1E9408"/>
    <w:rsid w:val="3C43A5CF"/>
    <w:rsid w:val="3C77467C"/>
    <w:rsid w:val="3C77C210"/>
    <w:rsid w:val="3C8DE6EE"/>
    <w:rsid w:val="3C9C57AC"/>
    <w:rsid w:val="3C9F9EAD"/>
    <w:rsid w:val="3CAC4B44"/>
    <w:rsid w:val="3CB5F26B"/>
    <w:rsid w:val="3CD1D8CA"/>
    <w:rsid w:val="3CF8DA2A"/>
    <w:rsid w:val="3D12D823"/>
    <w:rsid w:val="3D65F5DB"/>
    <w:rsid w:val="3D72435F"/>
    <w:rsid w:val="3D79D446"/>
    <w:rsid w:val="3DA09295"/>
    <w:rsid w:val="3DF436DD"/>
    <w:rsid w:val="3EA1FA0B"/>
    <w:rsid w:val="3EBA3979"/>
    <w:rsid w:val="3EBD0C63"/>
    <w:rsid w:val="3F07E157"/>
    <w:rsid w:val="3F0A4F78"/>
    <w:rsid w:val="3F18E82F"/>
    <w:rsid w:val="3F716458"/>
    <w:rsid w:val="3F89A67D"/>
    <w:rsid w:val="3F9234F7"/>
    <w:rsid w:val="3FED4830"/>
    <w:rsid w:val="40C1C944"/>
    <w:rsid w:val="40CCF972"/>
    <w:rsid w:val="41027811"/>
    <w:rsid w:val="41369F4F"/>
    <w:rsid w:val="41919C43"/>
    <w:rsid w:val="419CCC86"/>
    <w:rsid w:val="4231850E"/>
    <w:rsid w:val="4236F2ED"/>
    <w:rsid w:val="429640B0"/>
    <w:rsid w:val="42C6DED4"/>
    <w:rsid w:val="4333D151"/>
    <w:rsid w:val="43CFA3F8"/>
    <w:rsid w:val="43D1A3C8"/>
    <w:rsid w:val="43F99ECB"/>
    <w:rsid w:val="440E93EA"/>
    <w:rsid w:val="44255E45"/>
    <w:rsid w:val="443008F7"/>
    <w:rsid w:val="4461E444"/>
    <w:rsid w:val="44A87D2B"/>
    <w:rsid w:val="44D62C27"/>
    <w:rsid w:val="44E2C189"/>
    <w:rsid w:val="44E5193D"/>
    <w:rsid w:val="4502D2F4"/>
    <w:rsid w:val="452C4197"/>
    <w:rsid w:val="452E470A"/>
    <w:rsid w:val="455964D4"/>
    <w:rsid w:val="45E997D5"/>
    <w:rsid w:val="45F549AD"/>
    <w:rsid w:val="463E1DBE"/>
    <w:rsid w:val="465194BC"/>
    <w:rsid w:val="46582707"/>
    <w:rsid w:val="468F1E31"/>
    <w:rsid w:val="4693C25F"/>
    <w:rsid w:val="472441CC"/>
    <w:rsid w:val="4738654C"/>
    <w:rsid w:val="476BA500"/>
    <w:rsid w:val="4794F645"/>
    <w:rsid w:val="487726F3"/>
    <w:rsid w:val="48C0122D"/>
    <w:rsid w:val="49061B51"/>
    <w:rsid w:val="49C88C74"/>
    <w:rsid w:val="4A004272"/>
    <w:rsid w:val="4A199C93"/>
    <w:rsid w:val="4A859FC2"/>
    <w:rsid w:val="4B118EE1"/>
    <w:rsid w:val="4B1C69FF"/>
    <w:rsid w:val="4B8F2F37"/>
    <w:rsid w:val="4C668B80"/>
    <w:rsid w:val="4CC6A4A6"/>
    <w:rsid w:val="4D1939C9"/>
    <w:rsid w:val="4D5AA8C6"/>
    <w:rsid w:val="4D77959D"/>
    <w:rsid w:val="4D9AAFB3"/>
    <w:rsid w:val="4DBEF351"/>
    <w:rsid w:val="4DC5B8A4"/>
    <w:rsid w:val="4E348042"/>
    <w:rsid w:val="4E5F8128"/>
    <w:rsid w:val="4ED71E9D"/>
    <w:rsid w:val="4EE2E30D"/>
    <w:rsid w:val="4EEFA890"/>
    <w:rsid w:val="4F347987"/>
    <w:rsid w:val="4F5BDD6A"/>
    <w:rsid w:val="4F6FFB16"/>
    <w:rsid w:val="4FE3011F"/>
    <w:rsid w:val="4FEFB922"/>
    <w:rsid w:val="504749FF"/>
    <w:rsid w:val="505B7BAB"/>
    <w:rsid w:val="508EC4B5"/>
    <w:rsid w:val="50A343ED"/>
    <w:rsid w:val="50C04C8D"/>
    <w:rsid w:val="50CF1004"/>
    <w:rsid w:val="50E5BC04"/>
    <w:rsid w:val="50EF7A10"/>
    <w:rsid w:val="51625D90"/>
    <w:rsid w:val="5170AF7B"/>
    <w:rsid w:val="5200A182"/>
    <w:rsid w:val="5294A892"/>
    <w:rsid w:val="52CE11DB"/>
    <w:rsid w:val="52FB1939"/>
    <w:rsid w:val="5302F592"/>
    <w:rsid w:val="53121546"/>
    <w:rsid w:val="533D6F81"/>
    <w:rsid w:val="53638CB1"/>
    <w:rsid w:val="53715A4E"/>
    <w:rsid w:val="538D3F93"/>
    <w:rsid w:val="538DA835"/>
    <w:rsid w:val="539810CE"/>
    <w:rsid w:val="53BE3F30"/>
    <w:rsid w:val="544EF65B"/>
    <w:rsid w:val="545E8EFB"/>
    <w:rsid w:val="54639F59"/>
    <w:rsid w:val="547498BC"/>
    <w:rsid w:val="5478A58B"/>
    <w:rsid w:val="5495F632"/>
    <w:rsid w:val="54A5A8C0"/>
    <w:rsid w:val="54D0CCAD"/>
    <w:rsid w:val="54DD2959"/>
    <w:rsid w:val="54EB7B3C"/>
    <w:rsid w:val="54FB3D07"/>
    <w:rsid w:val="55650929"/>
    <w:rsid w:val="55971513"/>
    <w:rsid w:val="55F7539C"/>
    <w:rsid w:val="5660572B"/>
    <w:rsid w:val="566A9FE7"/>
    <w:rsid w:val="56BDD8F5"/>
    <w:rsid w:val="56E453E1"/>
    <w:rsid w:val="5742531C"/>
    <w:rsid w:val="574C5268"/>
    <w:rsid w:val="575AC6FD"/>
    <w:rsid w:val="5762926B"/>
    <w:rsid w:val="577734E9"/>
    <w:rsid w:val="57C37953"/>
    <w:rsid w:val="57F7FF6F"/>
    <w:rsid w:val="581D775E"/>
    <w:rsid w:val="583697A9"/>
    <w:rsid w:val="58B0E35A"/>
    <w:rsid w:val="59295A83"/>
    <w:rsid w:val="594856CC"/>
    <w:rsid w:val="598F3141"/>
    <w:rsid w:val="59B2F507"/>
    <w:rsid w:val="59CA43E9"/>
    <w:rsid w:val="59DD06FE"/>
    <w:rsid w:val="59EB3583"/>
    <w:rsid w:val="5A068D01"/>
    <w:rsid w:val="5A4EB40A"/>
    <w:rsid w:val="5A4FF740"/>
    <w:rsid w:val="5A631897"/>
    <w:rsid w:val="5AB09E56"/>
    <w:rsid w:val="5ADD7674"/>
    <w:rsid w:val="5AF774FA"/>
    <w:rsid w:val="5B1A0827"/>
    <w:rsid w:val="5B291EA1"/>
    <w:rsid w:val="5B3D23AF"/>
    <w:rsid w:val="5B641410"/>
    <w:rsid w:val="5B7C71A6"/>
    <w:rsid w:val="5B937A1E"/>
    <w:rsid w:val="5BC8DF25"/>
    <w:rsid w:val="5BF29211"/>
    <w:rsid w:val="5C18A6FF"/>
    <w:rsid w:val="5C20B36A"/>
    <w:rsid w:val="5C623186"/>
    <w:rsid w:val="5CBB1007"/>
    <w:rsid w:val="5D410D54"/>
    <w:rsid w:val="5D77F35D"/>
    <w:rsid w:val="5E104CBE"/>
    <w:rsid w:val="5E27926E"/>
    <w:rsid w:val="5E352253"/>
    <w:rsid w:val="5E7DE470"/>
    <w:rsid w:val="5EC3993D"/>
    <w:rsid w:val="5F04BC3E"/>
    <w:rsid w:val="5F10CF43"/>
    <w:rsid w:val="5F198985"/>
    <w:rsid w:val="5F35C4BE"/>
    <w:rsid w:val="5F8E4FD7"/>
    <w:rsid w:val="5FA9D46D"/>
    <w:rsid w:val="5FC0DDFC"/>
    <w:rsid w:val="5FF1B0FD"/>
    <w:rsid w:val="6030C1EA"/>
    <w:rsid w:val="606E8FAE"/>
    <w:rsid w:val="60A3964D"/>
    <w:rsid w:val="60B4D6C3"/>
    <w:rsid w:val="610918EF"/>
    <w:rsid w:val="612E7385"/>
    <w:rsid w:val="61430549"/>
    <w:rsid w:val="6154B21F"/>
    <w:rsid w:val="619EE1B5"/>
    <w:rsid w:val="61B007CC"/>
    <w:rsid w:val="61DF3C81"/>
    <w:rsid w:val="620FE3F8"/>
    <w:rsid w:val="621065D1"/>
    <w:rsid w:val="6221B9C1"/>
    <w:rsid w:val="62384A18"/>
    <w:rsid w:val="629094CA"/>
    <w:rsid w:val="62C51F81"/>
    <w:rsid w:val="62F0034E"/>
    <w:rsid w:val="63381B77"/>
    <w:rsid w:val="633A1078"/>
    <w:rsid w:val="63838F96"/>
    <w:rsid w:val="639E6CA3"/>
    <w:rsid w:val="63C6067A"/>
    <w:rsid w:val="6424C216"/>
    <w:rsid w:val="644338DD"/>
    <w:rsid w:val="64579A31"/>
    <w:rsid w:val="64BD0897"/>
    <w:rsid w:val="64C836A0"/>
    <w:rsid w:val="64CAD69D"/>
    <w:rsid w:val="64E652C7"/>
    <w:rsid w:val="650CA4EB"/>
    <w:rsid w:val="652945A2"/>
    <w:rsid w:val="6558C8DC"/>
    <w:rsid w:val="658EF270"/>
    <w:rsid w:val="66A290C3"/>
    <w:rsid w:val="66F67891"/>
    <w:rsid w:val="6751D15A"/>
    <w:rsid w:val="67763E3B"/>
    <w:rsid w:val="6786632C"/>
    <w:rsid w:val="6791325A"/>
    <w:rsid w:val="67950F95"/>
    <w:rsid w:val="67D11BCA"/>
    <w:rsid w:val="67E7A63E"/>
    <w:rsid w:val="6833F968"/>
    <w:rsid w:val="68340748"/>
    <w:rsid w:val="686359C2"/>
    <w:rsid w:val="68658E87"/>
    <w:rsid w:val="68AA19B1"/>
    <w:rsid w:val="68BAB673"/>
    <w:rsid w:val="68CC50D5"/>
    <w:rsid w:val="690FD07E"/>
    <w:rsid w:val="693E9B5E"/>
    <w:rsid w:val="695E16B4"/>
    <w:rsid w:val="6968957A"/>
    <w:rsid w:val="69933BF6"/>
    <w:rsid w:val="69F165ED"/>
    <w:rsid w:val="6A7F03B0"/>
    <w:rsid w:val="6A86DA41"/>
    <w:rsid w:val="6AACD854"/>
    <w:rsid w:val="6B0F26E5"/>
    <w:rsid w:val="6B58DBBB"/>
    <w:rsid w:val="6B5DD728"/>
    <w:rsid w:val="6B9B0156"/>
    <w:rsid w:val="6B9BBBD1"/>
    <w:rsid w:val="6BA17BE6"/>
    <w:rsid w:val="6BA77952"/>
    <w:rsid w:val="6C131949"/>
    <w:rsid w:val="6C293853"/>
    <w:rsid w:val="6C5CBFA4"/>
    <w:rsid w:val="6C9DA3B3"/>
    <w:rsid w:val="6CCF8D37"/>
    <w:rsid w:val="6CE83388"/>
    <w:rsid w:val="6D29B929"/>
    <w:rsid w:val="6D5677B8"/>
    <w:rsid w:val="6D82638B"/>
    <w:rsid w:val="6DF289C2"/>
    <w:rsid w:val="6E049A76"/>
    <w:rsid w:val="6E31CCA0"/>
    <w:rsid w:val="6E3AA4EB"/>
    <w:rsid w:val="6E42518A"/>
    <w:rsid w:val="6E496EA0"/>
    <w:rsid w:val="6EA1D8C6"/>
    <w:rsid w:val="6EBF72E0"/>
    <w:rsid w:val="6EE5D975"/>
    <w:rsid w:val="6EF30354"/>
    <w:rsid w:val="6F633F22"/>
    <w:rsid w:val="6F65C337"/>
    <w:rsid w:val="6FD205EC"/>
    <w:rsid w:val="6FDD15BE"/>
    <w:rsid w:val="6FE87784"/>
    <w:rsid w:val="6FF7AD40"/>
    <w:rsid w:val="705DF778"/>
    <w:rsid w:val="709F36DF"/>
    <w:rsid w:val="716AB736"/>
    <w:rsid w:val="716DABE9"/>
    <w:rsid w:val="71CEF264"/>
    <w:rsid w:val="71D3A762"/>
    <w:rsid w:val="71DEA902"/>
    <w:rsid w:val="723539C0"/>
    <w:rsid w:val="7239D952"/>
    <w:rsid w:val="724D8B11"/>
    <w:rsid w:val="72A28E4A"/>
    <w:rsid w:val="72A2C106"/>
    <w:rsid w:val="72C42288"/>
    <w:rsid w:val="72E4036A"/>
    <w:rsid w:val="72E78BD3"/>
    <w:rsid w:val="731B8A86"/>
    <w:rsid w:val="732A1356"/>
    <w:rsid w:val="739C8B7C"/>
    <w:rsid w:val="73E47755"/>
    <w:rsid w:val="73E79C00"/>
    <w:rsid w:val="73EF71C3"/>
    <w:rsid w:val="7408E46F"/>
    <w:rsid w:val="7420BED4"/>
    <w:rsid w:val="74327291"/>
    <w:rsid w:val="7444B53C"/>
    <w:rsid w:val="74656E0D"/>
    <w:rsid w:val="746FDDE5"/>
    <w:rsid w:val="7473C49C"/>
    <w:rsid w:val="74922148"/>
    <w:rsid w:val="755A85E4"/>
    <w:rsid w:val="76317C08"/>
    <w:rsid w:val="763A72CD"/>
    <w:rsid w:val="76408009"/>
    <w:rsid w:val="773F407E"/>
    <w:rsid w:val="7749C9DA"/>
    <w:rsid w:val="7754C1CB"/>
    <w:rsid w:val="77631138"/>
    <w:rsid w:val="778E74BC"/>
    <w:rsid w:val="77AC1453"/>
    <w:rsid w:val="77DA59BA"/>
    <w:rsid w:val="780F5AE9"/>
    <w:rsid w:val="785FDC43"/>
    <w:rsid w:val="78FF819F"/>
    <w:rsid w:val="79120BE9"/>
    <w:rsid w:val="7914C65B"/>
    <w:rsid w:val="79253BD8"/>
    <w:rsid w:val="79334BD0"/>
    <w:rsid w:val="79401330"/>
    <w:rsid w:val="79431C4E"/>
    <w:rsid w:val="794DF303"/>
    <w:rsid w:val="798DA471"/>
    <w:rsid w:val="79BB45B7"/>
    <w:rsid w:val="79DDECC7"/>
    <w:rsid w:val="79E097DF"/>
    <w:rsid w:val="79E3B1B5"/>
    <w:rsid w:val="79E505A7"/>
    <w:rsid w:val="7A03B8B6"/>
    <w:rsid w:val="7A064E54"/>
    <w:rsid w:val="7A20DE81"/>
    <w:rsid w:val="7A30F0CD"/>
    <w:rsid w:val="7A5B8BB4"/>
    <w:rsid w:val="7A809046"/>
    <w:rsid w:val="7A9328F9"/>
    <w:rsid w:val="7AAB568C"/>
    <w:rsid w:val="7B5F5DBB"/>
    <w:rsid w:val="7C3E1271"/>
    <w:rsid w:val="7C743FA4"/>
    <w:rsid w:val="7C74B61D"/>
    <w:rsid w:val="7C7A3E6E"/>
    <w:rsid w:val="7CAAFFDE"/>
    <w:rsid w:val="7D01F01C"/>
    <w:rsid w:val="7D18C0C5"/>
    <w:rsid w:val="7D51323E"/>
    <w:rsid w:val="7DA1A6A1"/>
    <w:rsid w:val="7DA8E0A4"/>
    <w:rsid w:val="7DBF27D1"/>
    <w:rsid w:val="7DC63A75"/>
    <w:rsid w:val="7DEA54B7"/>
    <w:rsid w:val="7E04BC15"/>
    <w:rsid w:val="7E1D0DE2"/>
    <w:rsid w:val="7E5FAADE"/>
    <w:rsid w:val="7EEA89B2"/>
    <w:rsid w:val="7F45E8C8"/>
    <w:rsid w:val="7FD5D73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4587BD"/>
  <w15:docId w15:val="{EC3FE3FB-1471-814C-8B0A-F9B94815E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67E"/>
    <w:pPr>
      <w:spacing w:after="160" w:line="259" w:lineRule="auto"/>
    </w:pPr>
    <w:rPr>
      <w:rFonts w:ascii="Palatino Linotype" w:hAnsi="Palatino Linotype"/>
      <w:sz w:val="22"/>
    </w:rPr>
  </w:style>
  <w:style w:type="paragraph" w:styleId="Heading1">
    <w:name w:val="heading 1"/>
    <w:basedOn w:val="Normal"/>
    <w:next w:val="Normal"/>
    <w:link w:val="Heading1Char"/>
    <w:uiPriority w:val="9"/>
    <w:qFormat/>
    <w:rsid w:val="008F7FCA"/>
    <w:pPr>
      <w:keepNext/>
      <w:keepLines/>
      <w:spacing w:before="240" w:after="0"/>
      <w:outlineLvl w:val="0"/>
    </w:pPr>
    <w:rPr>
      <w:rFonts w:eastAsiaTheme="majorEastAsia" w:cstheme="majorBidi"/>
      <w:b/>
      <w:sz w:val="32"/>
      <w:szCs w:val="32"/>
    </w:rPr>
  </w:style>
  <w:style w:type="paragraph" w:styleId="Heading2">
    <w:name w:val="heading 2"/>
    <w:basedOn w:val="Heading"/>
    <w:link w:val="Heading2Char"/>
    <w:qFormat/>
    <w:pPr>
      <w:numPr>
        <w:ilvl w:val="1"/>
        <w:numId w:val="1"/>
      </w:numPr>
      <w:spacing w:before="200"/>
      <w:outlineLvl w:val="1"/>
    </w:pPr>
    <w:rPr>
      <w:b/>
      <w:bCs/>
      <w:sz w:val="32"/>
      <w:szCs w:val="32"/>
    </w:rPr>
  </w:style>
  <w:style w:type="paragraph" w:styleId="Heading3">
    <w:name w:val="heading 3"/>
    <w:basedOn w:val="Normal"/>
    <w:next w:val="Normal"/>
    <w:link w:val="Heading3Char"/>
    <w:uiPriority w:val="9"/>
    <w:semiHidden/>
    <w:unhideWhenUsed/>
    <w:qFormat/>
    <w:rsid w:val="003D727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8F7FCA"/>
    <w:rPr>
      <w:rFonts w:ascii="Palatino Linotype" w:eastAsiaTheme="majorEastAsia" w:hAnsi="Palatino Linotype" w:cstheme="majorBidi"/>
      <w:b/>
      <w:sz w:val="32"/>
      <w:szCs w:val="32"/>
    </w:rPr>
  </w:style>
  <w:style w:type="character" w:customStyle="1" w:styleId="BalloonTextChar">
    <w:name w:val="Balloon Text Char"/>
    <w:basedOn w:val="DefaultParagraphFont"/>
    <w:link w:val="BalloonText"/>
    <w:uiPriority w:val="99"/>
    <w:semiHidden/>
    <w:qFormat/>
    <w:rsid w:val="001103D1"/>
    <w:rPr>
      <w:rFonts w:ascii="Segoe UI" w:hAnsi="Segoe UI" w:cs="Segoe UI"/>
      <w:sz w:val="18"/>
      <w:szCs w:val="18"/>
    </w:rPr>
  </w:style>
  <w:style w:type="character" w:styleId="CommentReference">
    <w:name w:val="annotation reference"/>
    <w:basedOn w:val="DefaultParagraphFont"/>
    <w:uiPriority w:val="99"/>
    <w:semiHidden/>
    <w:unhideWhenUsed/>
    <w:qFormat/>
    <w:rsid w:val="001421DB"/>
    <w:rPr>
      <w:sz w:val="16"/>
      <w:szCs w:val="16"/>
    </w:rPr>
  </w:style>
  <w:style w:type="character" w:customStyle="1" w:styleId="CommentTextChar">
    <w:name w:val="Comment Text Char"/>
    <w:basedOn w:val="DefaultParagraphFont"/>
    <w:link w:val="CommentText"/>
    <w:uiPriority w:val="99"/>
    <w:qFormat/>
    <w:rsid w:val="001421DB"/>
    <w:rPr>
      <w:sz w:val="20"/>
      <w:szCs w:val="20"/>
    </w:rPr>
  </w:style>
  <w:style w:type="character" w:customStyle="1" w:styleId="CommentSubjectChar">
    <w:name w:val="Comment Subject Char"/>
    <w:basedOn w:val="CommentTextChar"/>
    <w:link w:val="CommentSubject"/>
    <w:uiPriority w:val="99"/>
    <w:semiHidden/>
    <w:qFormat/>
    <w:rsid w:val="001421DB"/>
    <w:rPr>
      <w:b/>
      <w:bCs/>
      <w:sz w:val="20"/>
      <w:szCs w:val="20"/>
    </w:rPr>
  </w:style>
  <w:style w:type="character" w:customStyle="1" w:styleId="palHeader">
    <w:name w:val="palHeader"/>
    <w:basedOn w:val="DefaultParagraphFont"/>
    <w:qFormat/>
    <w:rsid w:val="00CC4222"/>
    <w:rPr>
      <w:rFonts w:ascii="Palatino Linotype" w:eastAsiaTheme="majorEastAsia" w:hAnsi="Palatino Linotype" w:cstheme="majorBidi"/>
      <w:b/>
      <w:bCs/>
      <w:sz w:val="24"/>
      <w:szCs w:val="24"/>
      <w:lang w:val="en-US"/>
    </w:rPr>
  </w:style>
  <w:style w:type="character" w:customStyle="1" w:styleId="Heading3Char">
    <w:name w:val="Heading 3 Char"/>
    <w:basedOn w:val="DefaultParagraphFont"/>
    <w:link w:val="Heading3"/>
    <w:uiPriority w:val="9"/>
    <w:semiHidden/>
    <w:qFormat/>
    <w:rsid w:val="003D7278"/>
    <w:rPr>
      <w:rFonts w:asciiTheme="majorHAnsi" w:eastAsiaTheme="majorEastAsia" w:hAnsiTheme="majorHAnsi" w:cstheme="majorBidi"/>
      <w:color w:val="1F3763" w:themeColor="accent1" w:themeShade="7F"/>
      <w:sz w:val="24"/>
      <w:szCs w:val="24"/>
    </w:rPr>
  </w:style>
  <w:style w:type="character" w:styleId="SubtleEmphasis">
    <w:name w:val="Subtle Emphasis"/>
    <w:basedOn w:val="DefaultParagraphFont"/>
    <w:uiPriority w:val="19"/>
    <w:qFormat/>
    <w:rsid w:val="00700422"/>
    <w:rPr>
      <w:i/>
      <w:iCs/>
      <w:color w:val="404040" w:themeColor="text1" w:themeTint="BF"/>
    </w:rPr>
  </w:style>
  <w:style w:type="character" w:styleId="Emphasis">
    <w:name w:val="Emphasis"/>
    <w:basedOn w:val="DefaultParagraphFont"/>
    <w:uiPriority w:val="20"/>
    <w:qFormat/>
    <w:rsid w:val="00700422"/>
    <w:rPr>
      <w:i/>
      <w:iCs/>
    </w:rPr>
  </w:style>
  <w:style w:type="character" w:customStyle="1" w:styleId="ListLabel1">
    <w:name w:val="ListLabel 1"/>
    <w:qFormat/>
    <w:rPr>
      <w:sz w:val="20"/>
    </w:rPr>
  </w:style>
  <w:style w:type="character" w:customStyle="1" w:styleId="ListLabel2">
    <w:name w:val="ListLabel 2"/>
    <w:qFormat/>
    <w:rPr>
      <w:sz w:val="20"/>
    </w:rPr>
  </w:style>
  <w:style w:type="character" w:customStyle="1" w:styleId="ListLabel3">
    <w:name w:val="ListLabel 3"/>
    <w:qFormat/>
    <w:rPr>
      <w:sz w:val="20"/>
    </w:rPr>
  </w:style>
  <w:style w:type="character" w:customStyle="1" w:styleId="ListLabel4">
    <w:name w:val="ListLabel 4"/>
    <w:qFormat/>
    <w:rPr>
      <w:sz w:val="20"/>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NumberingSymbols">
    <w:name w:val="Numbering Symbols"/>
    <w:qFormat/>
  </w:style>
  <w:style w:type="character" w:customStyle="1" w:styleId="InternetLink">
    <w:name w:val="Internet Link"/>
    <w:rPr>
      <w:color w:val="000080"/>
      <w:u w:val="single"/>
    </w:rPr>
  </w:style>
  <w:style w:type="character" w:customStyle="1" w:styleId="Bullets">
    <w:name w:val="Bullets"/>
    <w:qFormat/>
    <w:rPr>
      <w:rFonts w:ascii="OpenSymbol" w:eastAsia="OpenSymbol" w:hAnsi="OpenSymbol"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ListLabel13">
    <w:name w:val="ListLabel 13"/>
    <w:qFormat/>
    <w:rPr>
      <w:rFonts w:cs="OpenSymbol"/>
    </w:rPr>
  </w:style>
  <w:style w:type="character" w:customStyle="1" w:styleId="ListLabel14">
    <w:name w:val="ListLabel 14"/>
    <w:qFormat/>
    <w:rPr>
      <w:rFonts w:cs="OpenSymbol"/>
    </w:rPr>
  </w:style>
  <w:style w:type="character" w:customStyle="1" w:styleId="ListLabel15">
    <w:name w:val="ListLabel 15"/>
    <w:qFormat/>
    <w:rPr>
      <w:rFonts w:cs="OpenSymbol"/>
    </w:rPr>
  </w:style>
  <w:style w:type="character" w:customStyle="1" w:styleId="ListLabel16">
    <w:name w:val="ListLabel 16"/>
    <w:qFormat/>
    <w:rPr>
      <w:rFonts w:cs="OpenSymbol"/>
    </w:rPr>
  </w:style>
  <w:style w:type="character" w:customStyle="1" w:styleId="ListLabel17">
    <w:name w:val="ListLabel 17"/>
    <w:qFormat/>
    <w:rPr>
      <w:rFonts w:cs="OpenSymbol"/>
    </w:rPr>
  </w:style>
  <w:style w:type="character" w:customStyle="1" w:styleId="ListLabel18">
    <w:name w:val="ListLabel 18"/>
    <w:qFormat/>
    <w:rPr>
      <w:rFonts w:cs="OpenSymbol"/>
    </w:rPr>
  </w:style>
  <w:style w:type="character" w:customStyle="1" w:styleId="ListLabel19">
    <w:name w:val="ListLabel 19"/>
    <w:qFormat/>
    <w:rPr>
      <w:rFonts w:cs="OpenSymbol"/>
    </w:rPr>
  </w:style>
  <w:style w:type="character" w:customStyle="1" w:styleId="ListLabel20">
    <w:name w:val="ListLabel 20"/>
    <w:qFormat/>
    <w:rPr>
      <w:rFonts w:cs="OpenSymbol"/>
    </w:rPr>
  </w:style>
  <w:style w:type="character" w:customStyle="1" w:styleId="ListLabel21">
    <w:name w:val="ListLabel 21"/>
    <w:qFormat/>
    <w:rPr>
      <w:rFonts w:cs="OpenSymbol"/>
    </w:rPr>
  </w:style>
  <w:style w:type="character" w:customStyle="1" w:styleId="ListLabel22">
    <w:name w:val="ListLabel 22"/>
    <w:qFormat/>
    <w:rPr>
      <w:rFonts w:cs="OpenSymbol"/>
    </w:rPr>
  </w:style>
  <w:style w:type="character" w:customStyle="1" w:styleId="ListLabel23">
    <w:name w:val="ListLabel 23"/>
    <w:qFormat/>
    <w:rPr>
      <w:rFonts w:cs="OpenSymbol"/>
    </w:rPr>
  </w:style>
  <w:style w:type="character" w:customStyle="1" w:styleId="ListLabel24">
    <w:name w:val="ListLabel 24"/>
    <w:qFormat/>
    <w:rPr>
      <w:rFonts w:cs="OpenSymbol"/>
    </w:rPr>
  </w:style>
  <w:style w:type="character" w:customStyle="1" w:styleId="ListLabel25">
    <w:name w:val="ListLabel 25"/>
    <w:qFormat/>
    <w:rPr>
      <w:rFonts w:cs="OpenSymbol"/>
    </w:rPr>
  </w:style>
  <w:style w:type="character" w:customStyle="1" w:styleId="ListLabel26">
    <w:name w:val="ListLabel 26"/>
    <w:qFormat/>
    <w:rPr>
      <w:rFonts w:cs="OpenSymbol"/>
    </w:rPr>
  </w:style>
  <w:style w:type="character" w:customStyle="1" w:styleId="ListLabel27">
    <w:name w:val="ListLabel 27"/>
    <w:qFormat/>
    <w:rPr>
      <w:rFonts w:cs="OpenSymbol"/>
    </w:rPr>
  </w:style>
  <w:style w:type="character" w:customStyle="1" w:styleId="ListLabel28">
    <w:name w:val="ListLabel 28"/>
    <w:qFormat/>
    <w:rPr>
      <w:rFonts w:ascii="Arial" w:hAnsi="Arial" w:cs="OpenSymbol"/>
    </w:rPr>
  </w:style>
  <w:style w:type="character" w:customStyle="1" w:styleId="ListLabel29">
    <w:name w:val="ListLabel 29"/>
    <w:qFormat/>
    <w:rPr>
      <w:rFonts w:cs="OpenSymbol"/>
    </w:rPr>
  </w:style>
  <w:style w:type="character" w:customStyle="1" w:styleId="ListLabel30">
    <w:name w:val="ListLabel 30"/>
    <w:qFormat/>
    <w:rPr>
      <w:rFonts w:cs="OpenSymbol"/>
    </w:rPr>
  </w:style>
  <w:style w:type="character" w:customStyle="1" w:styleId="ListLabel31">
    <w:name w:val="ListLabel 31"/>
    <w:qFormat/>
    <w:rPr>
      <w:rFonts w:cs="OpenSymbol"/>
    </w:rPr>
  </w:style>
  <w:style w:type="character" w:customStyle="1" w:styleId="ListLabel32">
    <w:name w:val="ListLabel 32"/>
    <w:qFormat/>
    <w:rPr>
      <w:rFonts w:cs="OpenSymbol"/>
    </w:rPr>
  </w:style>
  <w:style w:type="character" w:customStyle="1" w:styleId="ListLabel33">
    <w:name w:val="ListLabel 33"/>
    <w:qFormat/>
    <w:rPr>
      <w:rFonts w:cs="OpenSymbol"/>
    </w:rPr>
  </w:style>
  <w:style w:type="character" w:customStyle="1" w:styleId="ListLabel34">
    <w:name w:val="ListLabel 34"/>
    <w:qFormat/>
    <w:rPr>
      <w:rFonts w:cs="OpenSymbol"/>
    </w:rPr>
  </w:style>
  <w:style w:type="character" w:customStyle="1" w:styleId="ListLabel35">
    <w:name w:val="ListLabel 35"/>
    <w:qFormat/>
    <w:rPr>
      <w:rFonts w:cs="OpenSymbol"/>
    </w:rPr>
  </w:style>
  <w:style w:type="character" w:customStyle="1" w:styleId="ListLabel36">
    <w:name w:val="ListLabel 36"/>
    <w:qFormat/>
    <w:rPr>
      <w:rFonts w:cs="OpenSymbol"/>
    </w:rPr>
  </w:style>
  <w:style w:type="character" w:customStyle="1" w:styleId="ListLabel37">
    <w:name w:val="ListLabel 37"/>
    <w:qFormat/>
    <w:rPr>
      <w:rFonts w:ascii="Arial" w:hAnsi="Arial" w:cs="OpenSymbol"/>
    </w:rPr>
  </w:style>
  <w:style w:type="character" w:customStyle="1" w:styleId="ListLabel38">
    <w:name w:val="ListLabel 38"/>
    <w:qFormat/>
    <w:rPr>
      <w:rFonts w:cs="OpenSymbol"/>
    </w:rPr>
  </w:style>
  <w:style w:type="character" w:customStyle="1" w:styleId="ListLabel39">
    <w:name w:val="ListLabel 39"/>
    <w:qFormat/>
    <w:rPr>
      <w:rFonts w:cs="OpenSymbol"/>
    </w:rPr>
  </w:style>
  <w:style w:type="character" w:customStyle="1" w:styleId="ListLabel40">
    <w:name w:val="ListLabel 40"/>
    <w:qFormat/>
    <w:rPr>
      <w:rFonts w:cs="OpenSymbol"/>
    </w:rPr>
  </w:style>
  <w:style w:type="character" w:customStyle="1" w:styleId="ListLabel41">
    <w:name w:val="ListLabel 41"/>
    <w:qFormat/>
    <w:rPr>
      <w:rFonts w:cs="OpenSymbol"/>
    </w:rPr>
  </w:style>
  <w:style w:type="character" w:customStyle="1" w:styleId="ListLabel42">
    <w:name w:val="ListLabel 42"/>
    <w:qFormat/>
    <w:rPr>
      <w:rFonts w:cs="OpenSymbol"/>
    </w:rPr>
  </w:style>
  <w:style w:type="character" w:customStyle="1" w:styleId="ListLabel43">
    <w:name w:val="ListLabel 43"/>
    <w:qFormat/>
    <w:rPr>
      <w:rFonts w:cs="OpenSymbol"/>
    </w:rPr>
  </w:style>
  <w:style w:type="character" w:customStyle="1" w:styleId="ListLabel44">
    <w:name w:val="ListLabel 44"/>
    <w:qFormat/>
    <w:rPr>
      <w:rFonts w:cs="OpenSymbol"/>
    </w:rPr>
  </w:style>
  <w:style w:type="character" w:customStyle="1" w:styleId="ListLabel45">
    <w:name w:val="ListLabel 45"/>
    <w:qFormat/>
    <w:rPr>
      <w:rFonts w:cs="OpenSymbol"/>
    </w:rPr>
  </w:style>
  <w:style w:type="character" w:customStyle="1" w:styleId="ListLabel46">
    <w:name w:val="ListLabel 46"/>
    <w:qFormat/>
    <w:rPr>
      <w:rFonts w:ascii="Arial" w:hAnsi="Arial" w:cs="OpenSymbol"/>
    </w:rPr>
  </w:style>
  <w:style w:type="character" w:customStyle="1" w:styleId="ListLabel47">
    <w:name w:val="ListLabel 47"/>
    <w:qFormat/>
    <w:rPr>
      <w:rFonts w:cs="OpenSymbol"/>
    </w:rPr>
  </w:style>
  <w:style w:type="character" w:customStyle="1" w:styleId="ListLabel48">
    <w:name w:val="ListLabel 48"/>
    <w:qFormat/>
    <w:rPr>
      <w:rFonts w:cs="OpenSymbol"/>
    </w:rPr>
  </w:style>
  <w:style w:type="character" w:customStyle="1" w:styleId="ListLabel49">
    <w:name w:val="ListLabel 49"/>
    <w:qFormat/>
    <w:rPr>
      <w:rFonts w:cs="OpenSymbol"/>
    </w:rPr>
  </w:style>
  <w:style w:type="character" w:customStyle="1" w:styleId="ListLabel50">
    <w:name w:val="ListLabel 50"/>
    <w:qFormat/>
    <w:rPr>
      <w:rFonts w:cs="OpenSymbol"/>
    </w:rPr>
  </w:style>
  <w:style w:type="character" w:customStyle="1" w:styleId="ListLabel51">
    <w:name w:val="ListLabel 51"/>
    <w:qFormat/>
    <w:rPr>
      <w:rFonts w:cs="OpenSymbol"/>
    </w:rPr>
  </w:style>
  <w:style w:type="character" w:customStyle="1" w:styleId="ListLabel52">
    <w:name w:val="ListLabel 52"/>
    <w:qFormat/>
    <w:rPr>
      <w:rFonts w:cs="OpenSymbol"/>
    </w:rPr>
  </w:style>
  <w:style w:type="character" w:customStyle="1" w:styleId="ListLabel53">
    <w:name w:val="ListLabel 53"/>
    <w:qFormat/>
    <w:rPr>
      <w:rFonts w:cs="OpenSymbol"/>
    </w:rPr>
  </w:style>
  <w:style w:type="character" w:customStyle="1" w:styleId="ListLabel54">
    <w:name w:val="ListLabel 54"/>
    <w:qFormat/>
    <w:rPr>
      <w:rFonts w:cs="OpenSymbol"/>
    </w:rPr>
  </w:style>
  <w:style w:type="character" w:customStyle="1" w:styleId="ListLabel55">
    <w:name w:val="ListLabel 55"/>
    <w:qFormat/>
    <w:rPr>
      <w:rFonts w:ascii="Arial" w:hAnsi="Arial" w:cs="OpenSymbol"/>
    </w:rPr>
  </w:style>
  <w:style w:type="character" w:customStyle="1" w:styleId="ListLabel56">
    <w:name w:val="ListLabel 56"/>
    <w:qFormat/>
    <w:rPr>
      <w:rFonts w:cs="OpenSymbol"/>
    </w:rPr>
  </w:style>
  <w:style w:type="character" w:customStyle="1" w:styleId="ListLabel57">
    <w:name w:val="ListLabel 57"/>
    <w:qFormat/>
    <w:rPr>
      <w:rFonts w:cs="OpenSymbol"/>
    </w:rPr>
  </w:style>
  <w:style w:type="character" w:customStyle="1" w:styleId="ListLabel58">
    <w:name w:val="ListLabel 58"/>
    <w:qFormat/>
    <w:rPr>
      <w:rFonts w:cs="OpenSymbol"/>
    </w:rPr>
  </w:style>
  <w:style w:type="character" w:customStyle="1" w:styleId="ListLabel59">
    <w:name w:val="ListLabel 59"/>
    <w:qFormat/>
    <w:rPr>
      <w:rFonts w:cs="OpenSymbol"/>
    </w:rPr>
  </w:style>
  <w:style w:type="character" w:customStyle="1" w:styleId="ListLabel60">
    <w:name w:val="ListLabel 60"/>
    <w:qFormat/>
    <w:rPr>
      <w:rFonts w:cs="OpenSymbol"/>
    </w:rPr>
  </w:style>
  <w:style w:type="character" w:customStyle="1" w:styleId="ListLabel61">
    <w:name w:val="ListLabel 61"/>
    <w:qFormat/>
    <w:rPr>
      <w:rFonts w:cs="OpenSymbol"/>
    </w:rPr>
  </w:style>
  <w:style w:type="character" w:customStyle="1" w:styleId="ListLabel62">
    <w:name w:val="ListLabel 62"/>
    <w:qFormat/>
    <w:rPr>
      <w:rFonts w:cs="OpenSymbol"/>
    </w:rPr>
  </w:style>
  <w:style w:type="character" w:customStyle="1" w:styleId="ListLabel63">
    <w:name w:val="ListLabel 63"/>
    <w:qFormat/>
    <w:rPr>
      <w:rFonts w:cs="OpenSymbol"/>
    </w:rPr>
  </w:style>
  <w:style w:type="character" w:customStyle="1" w:styleId="ListLabel64">
    <w:name w:val="ListLabel 64"/>
    <w:qFormat/>
    <w:rPr>
      <w:rFonts w:ascii="Arial" w:hAnsi="Arial" w:cs="OpenSymbol"/>
    </w:rPr>
  </w:style>
  <w:style w:type="character" w:customStyle="1" w:styleId="ListLabel65">
    <w:name w:val="ListLabel 65"/>
    <w:qFormat/>
    <w:rPr>
      <w:rFonts w:cs="OpenSymbol"/>
    </w:rPr>
  </w:style>
  <w:style w:type="character" w:customStyle="1" w:styleId="ListLabel66">
    <w:name w:val="ListLabel 66"/>
    <w:qFormat/>
    <w:rPr>
      <w:rFonts w:cs="OpenSymbol"/>
    </w:rPr>
  </w:style>
  <w:style w:type="character" w:customStyle="1" w:styleId="ListLabel67">
    <w:name w:val="ListLabel 67"/>
    <w:qFormat/>
    <w:rPr>
      <w:rFonts w:cs="OpenSymbol"/>
    </w:rPr>
  </w:style>
  <w:style w:type="character" w:customStyle="1" w:styleId="ListLabel68">
    <w:name w:val="ListLabel 68"/>
    <w:qFormat/>
    <w:rPr>
      <w:rFonts w:cs="OpenSymbol"/>
    </w:rPr>
  </w:style>
  <w:style w:type="character" w:customStyle="1" w:styleId="ListLabel69">
    <w:name w:val="ListLabel 69"/>
    <w:qFormat/>
    <w:rPr>
      <w:rFonts w:cs="OpenSymbol"/>
    </w:rPr>
  </w:style>
  <w:style w:type="character" w:customStyle="1" w:styleId="ListLabel70">
    <w:name w:val="ListLabel 70"/>
    <w:qFormat/>
    <w:rPr>
      <w:rFonts w:cs="OpenSymbol"/>
    </w:rPr>
  </w:style>
  <w:style w:type="character" w:customStyle="1" w:styleId="ListLabel71">
    <w:name w:val="ListLabel 71"/>
    <w:qFormat/>
    <w:rPr>
      <w:rFonts w:cs="OpenSymbol"/>
    </w:rPr>
  </w:style>
  <w:style w:type="character" w:customStyle="1" w:styleId="ListLabel72">
    <w:name w:val="ListLabel 72"/>
    <w:qFormat/>
    <w:rPr>
      <w:rFonts w:cs="OpenSymbol"/>
    </w:rPr>
  </w:style>
  <w:style w:type="character" w:customStyle="1" w:styleId="ListLabel73">
    <w:name w:val="ListLabel 73"/>
    <w:qFormat/>
    <w:rPr>
      <w:rFonts w:ascii="Arial" w:hAnsi="Arial" w:cs="OpenSymbol"/>
    </w:rPr>
  </w:style>
  <w:style w:type="character" w:customStyle="1" w:styleId="ListLabel74">
    <w:name w:val="ListLabel 74"/>
    <w:qFormat/>
    <w:rPr>
      <w:rFonts w:cs="OpenSymbol"/>
    </w:rPr>
  </w:style>
  <w:style w:type="character" w:customStyle="1" w:styleId="ListLabel75">
    <w:name w:val="ListLabel 75"/>
    <w:qFormat/>
    <w:rPr>
      <w:rFonts w:cs="OpenSymbol"/>
    </w:rPr>
  </w:style>
  <w:style w:type="character" w:customStyle="1" w:styleId="ListLabel76">
    <w:name w:val="ListLabel 76"/>
    <w:qFormat/>
    <w:rPr>
      <w:rFonts w:cs="OpenSymbol"/>
    </w:rPr>
  </w:style>
  <w:style w:type="character" w:customStyle="1" w:styleId="ListLabel77">
    <w:name w:val="ListLabel 77"/>
    <w:qFormat/>
    <w:rPr>
      <w:rFonts w:cs="OpenSymbol"/>
    </w:rPr>
  </w:style>
  <w:style w:type="character" w:customStyle="1" w:styleId="ListLabel78">
    <w:name w:val="ListLabel 78"/>
    <w:qFormat/>
    <w:rPr>
      <w:rFonts w:cs="OpenSymbol"/>
    </w:rPr>
  </w:style>
  <w:style w:type="character" w:customStyle="1" w:styleId="ListLabel79">
    <w:name w:val="ListLabel 79"/>
    <w:qFormat/>
    <w:rPr>
      <w:rFonts w:cs="OpenSymbol"/>
    </w:rPr>
  </w:style>
  <w:style w:type="character" w:customStyle="1" w:styleId="ListLabel80">
    <w:name w:val="ListLabel 80"/>
    <w:qFormat/>
    <w:rPr>
      <w:rFonts w:cs="OpenSymbol"/>
    </w:rPr>
  </w:style>
  <w:style w:type="character" w:customStyle="1" w:styleId="ListLabel81">
    <w:name w:val="ListLabel 81"/>
    <w:qFormat/>
    <w:rPr>
      <w:rFonts w:cs="OpenSymbol"/>
    </w:rPr>
  </w:style>
  <w:style w:type="character" w:customStyle="1" w:styleId="ListLabel82">
    <w:name w:val="ListLabel 82"/>
    <w:qFormat/>
    <w:rPr>
      <w:rFonts w:ascii="Arial" w:hAnsi="Arial" w:cs="OpenSymbol"/>
    </w:rPr>
  </w:style>
  <w:style w:type="character" w:customStyle="1" w:styleId="ListLabel83">
    <w:name w:val="ListLabel 83"/>
    <w:qFormat/>
    <w:rPr>
      <w:rFonts w:cs="OpenSymbol"/>
    </w:rPr>
  </w:style>
  <w:style w:type="character" w:customStyle="1" w:styleId="ListLabel84">
    <w:name w:val="ListLabel 84"/>
    <w:qFormat/>
    <w:rPr>
      <w:rFonts w:cs="OpenSymbol"/>
    </w:rPr>
  </w:style>
  <w:style w:type="character" w:customStyle="1" w:styleId="ListLabel85">
    <w:name w:val="ListLabel 85"/>
    <w:qFormat/>
    <w:rPr>
      <w:rFonts w:cs="OpenSymbol"/>
    </w:rPr>
  </w:style>
  <w:style w:type="character" w:customStyle="1" w:styleId="ListLabel86">
    <w:name w:val="ListLabel 86"/>
    <w:qFormat/>
    <w:rPr>
      <w:rFonts w:cs="OpenSymbol"/>
    </w:rPr>
  </w:style>
  <w:style w:type="character" w:customStyle="1" w:styleId="ListLabel87">
    <w:name w:val="ListLabel 87"/>
    <w:qFormat/>
    <w:rPr>
      <w:rFonts w:cs="OpenSymbol"/>
    </w:rPr>
  </w:style>
  <w:style w:type="character" w:customStyle="1" w:styleId="ListLabel88">
    <w:name w:val="ListLabel 88"/>
    <w:qFormat/>
    <w:rPr>
      <w:rFonts w:cs="OpenSymbol"/>
    </w:rPr>
  </w:style>
  <w:style w:type="character" w:customStyle="1" w:styleId="ListLabel89">
    <w:name w:val="ListLabel 89"/>
    <w:qFormat/>
    <w:rPr>
      <w:rFonts w:cs="OpenSymbol"/>
    </w:rPr>
  </w:style>
  <w:style w:type="character" w:customStyle="1" w:styleId="ListLabel90">
    <w:name w:val="ListLabel 90"/>
    <w:qFormat/>
    <w:rPr>
      <w:rFonts w:cs="OpenSymbol"/>
    </w:rPr>
  </w:style>
  <w:style w:type="character" w:customStyle="1" w:styleId="ListLabel91">
    <w:name w:val="ListLabel 91"/>
    <w:qFormat/>
    <w:rPr>
      <w:rFonts w:ascii="Arial" w:hAnsi="Arial" w:cs="OpenSymbol"/>
    </w:rPr>
  </w:style>
  <w:style w:type="character" w:customStyle="1" w:styleId="ListLabel92">
    <w:name w:val="ListLabel 92"/>
    <w:qFormat/>
    <w:rPr>
      <w:rFonts w:cs="OpenSymbol"/>
    </w:rPr>
  </w:style>
  <w:style w:type="character" w:customStyle="1" w:styleId="ListLabel93">
    <w:name w:val="ListLabel 93"/>
    <w:qFormat/>
    <w:rPr>
      <w:rFonts w:cs="OpenSymbol"/>
    </w:rPr>
  </w:style>
  <w:style w:type="character" w:customStyle="1" w:styleId="ListLabel94">
    <w:name w:val="ListLabel 94"/>
    <w:qFormat/>
    <w:rPr>
      <w:rFonts w:cs="OpenSymbol"/>
    </w:rPr>
  </w:style>
  <w:style w:type="character" w:customStyle="1" w:styleId="ListLabel95">
    <w:name w:val="ListLabel 95"/>
    <w:qFormat/>
    <w:rPr>
      <w:rFonts w:cs="OpenSymbol"/>
    </w:rPr>
  </w:style>
  <w:style w:type="character" w:customStyle="1" w:styleId="ListLabel96">
    <w:name w:val="ListLabel 96"/>
    <w:qFormat/>
    <w:rPr>
      <w:rFonts w:cs="OpenSymbol"/>
    </w:rPr>
  </w:style>
  <w:style w:type="character" w:customStyle="1" w:styleId="ListLabel97">
    <w:name w:val="ListLabel 97"/>
    <w:qFormat/>
    <w:rPr>
      <w:rFonts w:cs="OpenSymbol"/>
    </w:rPr>
  </w:style>
  <w:style w:type="character" w:customStyle="1" w:styleId="ListLabel98">
    <w:name w:val="ListLabel 98"/>
    <w:qFormat/>
    <w:rPr>
      <w:rFonts w:cs="OpenSymbol"/>
    </w:rPr>
  </w:style>
  <w:style w:type="character" w:customStyle="1" w:styleId="ListLabel99">
    <w:name w:val="ListLabel 99"/>
    <w:qFormat/>
    <w:rPr>
      <w:rFonts w:cs="OpenSymbol"/>
    </w:rPr>
  </w:style>
  <w:style w:type="paragraph" w:customStyle="1" w:styleId="Heading">
    <w:name w:val="Heading"/>
    <w:basedOn w:val="Normal"/>
    <w:next w:val="BodyText"/>
    <w:link w:val="HeadingChar"/>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uiPriority w:val="35"/>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NormalWeb">
    <w:name w:val="Normal (Web)"/>
    <w:basedOn w:val="Normal"/>
    <w:uiPriority w:val="99"/>
    <w:unhideWhenUsed/>
    <w:qFormat/>
    <w:rsid w:val="00A6771E"/>
    <w:pPr>
      <w:spacing w:beforeAutospacing="1" w:after="142" w:line="288"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qFormat/>
    <w:rsid w:val="001103D1"/>
    <w:pPr>
      <w:spacing w:after="0" w:line="240" w:lineRule="auto"/>
    </w:pPr>
    <w:rPr>
      <w:rFonts w:ascii="Segoe UI" w:hAnsi="Segoe UI" w:cs="Segoe UI"/>
      <w:sz w:val="18"/>
      <w:szCs w:val="18"/>
    </w:rPr>
  </w:style>
  <w:style w:type="paragraph" w:styleId="CommentText">
    <w:name w:val="annotation text"/>
    <w:basedOn w:val="Normal"/>
    <w:link w:val="CommentTextChar"/>
    <w:uiPriority w:val="99"/>
    <w:unhideWhenUsed/>
    <w:qFormat/>
    <w:rsid w:val="001421DB"/>
    <w:pPr>
      <w:spacing w:line="240" w:lineRule="auto"/>
    </w:pPr>
    <w:rPr>
      <w:sz w:val="20"/>
      <w:szCs w:val="20"/>
    </w:rPr>
  </w:style>
  <w:style w:type="paragraph" w:styleId="CommentSubject">
    <w:name w:val="annotation subject"/>
    <w:basedOn w:val="CommentText"/>
    <w:link w:val="CommentSubjectChar"/>
    <w:uiPriority w:val="99"/>
    <w:semiHidden/>
    <w:unhideWhenUsed/>
    <w:qFormat/>
    <w:rsid w:val="001421DB"/>
    <w:rPr>
      <w:b/>
      <w:bCs/>
    </w:rPr>
  </w:style>
  <w:style w:type="paragraph" w:styleId="Revision">
    <w:name w:val="Revision"/>
    <w:uiPriority w:val="99"/>
    <w:semiHidden/>
    <w:qFormat/>
    <w:rsid w:val="002137FF"/>
    <w:rPr>
      <w:sz w:val="22"/>
    </w:rPr>
  </w:style>
  <w:style w:type="paragraph" w:customStyle="1" w:styleId="header3">
    <w:name w:val="header3"/>
    <w:basedOn w:val="Heading3"/>
    <w:qFormat/>
    <w:rsid w:val="003D7278"/>
    <w:rPr>
      <w:rFonts w:ascii="Arial" w:hAnsi="Arial"/>
      <w:b/>
      <w:bCs/>
      <w:color w:val="auto"/>
      <w:sz w:val="22"/>
      <w:lang w:val="en-US"/>
    </w:rPr>
  </w:style>
  <w:style w:type="paragraph" w:customStyle="1" w:styleId="Standard">
    <w:name w:val="Standard"/>
    <w:qFormat/>
    <w:rsid w:val="00A6567E"/>
    <w:pPr>
      <w:suppressAutoHyphens/>
      <w:textAlignment w:val="baseline"/>
    </w:pPr>
    <w:rPr>
      <w:rFonts w:ascii="Times New Roman" w:eastAsia="Noto Sans CJK SC Regular" w:hAnsi="Times New Roman" w:cs="FreeSans"/>
      <w:kern w:val="2"/>
      <w:sz w:val="24"/>
      <w:szCs w:val="24"/>
      <w:lang w:eastAsia="zh-CN" w:bidi="hi-IN"/>
    </w:rPr>
  </w:style>
  <w:style w:type="paragraph" w:styleId="NoSpacing">
    <w:name w:val="No Spacing"/>
    <w:uiPriority w:val="1"/>
    <w:qFormat/>
    <w:rsid w:val="00700422"/>
    <w:rPr>
      <w:sz w:val="22"/>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character" w:styleId="LineNumber">
    <w:name w:val="line number"/>
    <w:basedOn w:val="DefaultParagraphFont"/>
    <w:uiPriority w:val="99"/>
    <w:semiHidden/>
    <w:unhideWhenUsed/>
    <w:rsid w:val="00EC084B"/>
  </w:style>
  <w:style w:type="paragraph" w:customStyle="1" w:styleId="PalH2">
    <w:name w:val="PalH2"/>
    <w:basedOn w:val="Heading3"/>
    <w:link w:val="PalH2Char"/>
    <w:qFormat/>
    <w:rsid w:val="00CC4222"/>
    <w:rPr>
      <w:rFonts w:ascii="Palatino Linotype" w:hAnsi="Palatino Linotype"/>
      <w:b/>
      <w:color w:val="auto"/>
      <w:sz w:val="22"/>
    </w:rPr>
  </w:style>
  <w:style w:type="character" w:customStyle="1" w:styleId="HeadingChar">
    <w:name w:val="Heading Char"/>
    <w:basedOn w:val="DefaultParagraphFont"/>
    <w:link w:val="Heading"/>
    <w:rsid w:val="002C7089"/>
    <w:rPr>
      <w:rFonts w:ascii="Liberation Sans" w:eastAsia="Noto Sans CJK SC" w:hAnsi="Liberation Sans" w:cs="Lohit Devanagari"/>
      <w:sz w:val="28"/>
      <w:szCs w:val="28"/>
    </w:rPr>
  </w:style>
  <w:style w:type="character" w:customStyle="1" w:styleId="Heading2Char">
    <w:name w:val="Heading 2 Char"/>
    <w:basedOn w:val="HeadingChar"/>
    <w:link w:val="Heading2"/>
    <w:rsid w:val="002C7089"/>
    <w:rPr>
      <w:rFonts w:ascii="Liberation Sans" w:eastAsia="Noto Sans CJK SC" w:hAnsi="Liberation Sans" w:cs="Lohit Devanagari"/>
      <w:b/>
      <w:bCs/>
      <w:sz w:val="32"/>
      <w:szCs w:val="32"/>
    </w:rPr>
  </w:style>
  <w:style w:type="character" w:customStyle="1" w:styleId="PalH2Char">
    <w:name w:val="PalH2 Char"/>
    <w:basedOn w:val="Heading2Char"/>
    <w:link w:val="PalH2"/>
    <w:rsid w:val="00CC4222"/>
    <w:rPr>
      <w:rFonts w:ascii="Palatino Linotype" w:eastAsiaTheme="majorEastAsia" w:hAnsi="Palatino Linotype" w:cstheme="majorBidi"/>
      <w:b/>
      <w:bCs w:val="0"/>
      <w:sz w:val="22"/>
      <w:szCs w:val="24"/>
    </w:rPr>
  </w:style>
  <w:style w:type="paragraph" w:styleId="Subtitle">
    <w:name w:val="Subtitle"/>
    <w:basedOn w:val="Normal"/>
    <w:next w:val="Normal"/>
    <w:link w:val="SubtitleChar"/>
    <w:uiPriority w:val="11"/>
    <w:qFormat/>
    <w:rsid w:val="00CC4222"/>
    <w:pPr>
      <w:numPr>
        <w:ilvl w:val="1"/>
      </w:numPr>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CC4222"/>
    <w:rPr>
      <w:rFonts w:eastAsiaTheme="minorEastAsia"/>
      <w:color w:val="5A5A5A" w:themeColor="text1" w:themeTint="A5"/>
      <w:spacing w:val="15"/>
      <w:sz w:val="22"/>
    </w:rPr>
  </w:style>
  <w:style w:type="table" w:styleId="ListTable1Light">
    <w:name w:val="List Table 1 Light"/>
    <w:basedOn w:val="TableNormal"/>
    <w:uiPriority w:val="46"/>
    <w:rsid w:val="000C6269"/>
    <w:rPr>
      <w:sz w:val="22"/>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basedOn w:val="DefaultParagraphFont"/>
    <w:uiPriority w:val="99"/>
    <w:unhideWhenUsed/>
    <w:rsid w:val="00175B23"/>
    <w:rPr>
      <w:color w:val="0563C1" w:themeColor="hyperlink"/>
      <w:u w:val="single"/>
    </w:rPr>
  </w:style>
  <w:style w:type="paragraph" w:styleId="ListParagraph">
    <w:name w:val="List Paragraph"/>
    <w:basedOn w:val="Normal"/>
    <w:uiPriority w:val="34"/>
    <w:qFormat/>
    <w:rsid w:val="00175B23"/>
    <w:pPr>
      <w:ind w:left="720"/>
      <w:contextualSpacing/>
    </w:pPr>
  </w:style>
  <w:style w:type="paragraph" w:customStyle="1" w:styleId="EndNoteBibliography">
    <w:name w:val="EndNote Bibliography"/>
    <w:basedOn w:val="Normal"/>
    <w:link w:val="EndNoteBibliographyChar"/>
    <w:rsid w:val="002243CA"/>
    <w:pPr>
      <w:spacing w:after="0" w:line="240" w:lineRule="auto"/>
    </w:pPr>
    <w:rPr>
      <w:rFonts w:ascii="Calibri" w:hAnsi="Calibri" w:cs="Calibri"/>
      <w:sz w:val="24"/>
      <w:szCs w:val="24"/>
      <w:lang w:val="en-US"/>
    </w:rPr>
  </w:style>
  <w:style w:type="character" w:customStyle="1" w:styleId="EndNoteBibliographyChar">
    <w:name w:val="EndNote Bibliography Char"/>
    <w:basedOn w:val="DefaultParagraphFont"/>
    <w:link w:val="EndNoteBibliography"/>
    <w:rsid w:val="002243CA"/>
    <w:rPr>
      <w:rFonts w:ascii="Calibri" w:hAnsi="Calibri" w:cs="Calibri"/>
      <w:sz w:val="24"/>
      <w:szCs w:val="24"/>
      <w:lang w:val="en-US"/>
    </w:rPr>
  </w:style>
  <w:style w:type="paragraph" w:customStyle="1" w:styleId="EndNoteBibliographyTitle">
    <w:name w:val="EndNote Bibliography Title"/>
    <w:basedOn w:val="Normal"/>
    <w:link w:val="EndNoteBibliographyTitleChar"/>
    <w:rsid w:val="0068196C"/>
    <w:pPr>
      <w:spacing w:after="0"/>
      <w:jc w:val="center"/>
    </w:pPr>
    <w:rPr>
      <w:rFonts w:ascii="Calibri" w:hAnsi="Calibri" w:cs="Calibri"/>
      <w:noProof/>
      <w:sz w:val="24"/>
      <w:lang w:val="en-US"/>
    </w:rPr>
  </w:style>
  <w:style w:type="character" w:customStyle="1" w:styleId="EndNoteBibliographyTitleChar">
    <w:name w:val="EndNote Bibliography Title Char"/>
    <w:basedOn w:val="DefaultParagraphFont"/>
    <w:link w:val="EndNoteBibliographyTitle"/>
    <w:rsid w:val="0068196C"/>
    <w:rPr>
      <w:rFonts w:ascii="Calibri" w:hAnsi="Calibri" w:cs="Calibri"/>
      <w:noProof/>
      <w:sz w:val="24"/>
      <w:lang w:val="en-US"/>
    </w:rPr>
  </w:style>
  <w:style w:type="character" w:styleId="UnresolvedMention">
    <w:name w:val="Unresolved Mention"/>
    <w:basedOn w:val="DefaultParagraphFont"/>
    <w:uiPriority w:val="99"/>
    <w:semiHidden/>
    <w:unhideWhenUsed/>
    <w:rsid w:val="00E609D2"/>
    <w:rPr>
      <w:color w:val="605E5C"/>
      <w:shd w:val="clear" w:color="auto" w:fill="E1DFDD"/>
    </w:rPr>
  </w:style>
  <w:style w:type="table" w:styleId="TableGrid">
    <w:name w:val="Table Grid"/>
    <w:basedOn w:val="TableNormal"/>
    <w:uiPriority w:val="39"/>
    <w:rsid w:val="00E225AA"/>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cession">
    <w:name w:val="accession"/>
    <w:basedOn w:val="DefaultParagraphFont"/>
    <w:rsid w:val="000953FD"/>
  </w:style>
  <w:style w:type="character" w:styleId="FollowedHyperlink">
    <w:name w:val="FollowedHyperlink"/>
    <w:basedOn w:val="DefaultParagraphFont"/>
    <w:uiPriority w:val="99"/>
    <w:semiHidden/>
    <w:unhideWhenUsed/>
    <w:rsid w:val="000953FD"/>
    <w:rPr>
      <w:color w:val="954F72" w:themeColor="followedHyperlink"/>
      <w:u w:val="single"/>
    </w:rPr>
  </w:style>
  <w:style w:type="paragraph" w:styleId="Bibliography">
    <w:name w:val="Bibliography"/>
    <w:basedOn w:val="Normal"/>
    <w:next w:val="Normal"/>
    <w:uiPriority w:val="37"/>
    <w:unhideWhenUsed/>
    <w:rsid w:val="00500880"/>
    <w:pPr>
      <w:tabs>
        <w:tab w:val="left" w:pos="380"/>
      </w:tabs>
      <w:spacing w:after="0" w:line="480" w:lineRule="auto"/>
      <w:ind w:left="384" w:hanging="384"/>
    </w:pPr>
  </w:style>
  <w:style w:type="character" w:styleId="PlaceholderText">
    <w:name w:val="Placeholder Text"/>
    <w:basedOn w:val="DefaultParagraphFont"/>
    <w:uiPriority w:val="99"/>
    <w:semiHidden/>
    <w:rsid w:val="006D382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1559">
      <w:bodyDiv w:val="1"/>
      <w:marLeft w:val="0"/>
      <w:marRight w:val="0"/>
      <w:marTop w:val="0"/>
      <w:marBottom w:val="0"/>
      <w:divBdr>
        <w:top w:val="none" w:sz="0" w:space="0" w:color="auto"/>
        <w:left w:val="none" w:sz="0" w:space="0" w:color="auto"/>
        <w:bottom w:val="none" w:sz="0" w:space="0" w:color="auto"/>
        <w:right w:val="none" w:sz="0" w:space="0" w:color="auto"/>
      </w:divBdr>
    </w:div>
    <w:div w:id="27608396">
      <w:bodyDiv w:val="1"/>
      <w:marLeft w:val="0"/>
      <w:marRight w:val="0"/>
      <w:marTop w:val="0"/>
      <w:marBottom w:val="0"/>
      <w:divBdr>
        <w:top w:val="none" w:sz="0" w:space="0" w:color="auto"/>
        <w:left w:val="none" w:sz="0" w:space="0" w:color="auto"/>
        <w:bottom w:val="none" w:sz="0" w:space="0" w:color="auto"/>
        <w:right w:val="none" w:sz="0" w:space="0" w:color="auto"/>
      </w:divBdr>
    </w:div>
    <w:div w:id="182329127">
      <w:bodyDiv w:val="1"/>
      <w:marLeft w:val="0"/>
      <w:marRight w:val="0"/>
      <w:marTop w:val="0"/>
      <w:marBottom w:val="0"/>
      <w:divBdr>
        <w:top w:val="none" w:sz="0" w:space="0" w:color="auto"/>
        <w:left w:val="none" w:sz="0" w:space="0" w:color="auto"/>
        <w:bottom w:val="none" w:sz="0" w:space="0" w:color="auto"/>
        <w:right w:val="none" w:sz="0" w:space="0" w:color="auto"/>
      </w:divBdr>
    </w:div>
    <w:div w:id="202643353">
      <w:bodyDiv w:val="1"/>
      <w:marLeft w:val="0"/>
      <w:marRight w:val="0"/>
      <w:marTop w:val="0"/>
      <w:marBottom w:val="0"/>
      <w:divBdr>
        <w:top w:val="none" w:sz="0" w:space="0" w:color="auto"/>
        <w:left w:val="none" w:sz="0" w:space="0" w:color="auto"/>
        <w:bottom w:val="none" w:sz="0" w:space="0" w:color="auto"/>
        <w:right w:val="none" w:sz="0" w:space="0" w:color="auto"/>
      </w:divBdr>
    </w:div>
    <w:div w:id="321392631">
      <w:bodyDiv w:val="1"/>
      <w:marLeft w:val="0"/>
      <w:marRight w:val="0"/>
      <w:marTop w:val="0"/>
      <w:marBottom w:val="0"/>
      <w:divBdr>
        <w:top w:val="none" w:sz="0" w:space="0" w:color="auto"/>
        <w:left w:val="none" w:sz="0" w:space="0" w:color="auto"/>
        <w:bottom w:val="none" w:sz="0" w:space="0" w:color="auto"/>
        <w:right w:val="none" w:sz="0" w:space="0" w:color="auto"/>
      </w:divBdr>
    </w:div>
    <w:div w:id="415715613">
      <w:bodyDiv w:val="1"/>
      <w:marLeft w:val="0"/>
      <w:marRight w:val="0"/>
      <w:marTop w:val="0"/>
      <w:marBottom w:val="0"/>
      <w:divBdr>
        <w:top w:val="none" w:sz="0" w:space="0" w:color="auto"/>
        <w:left w:val="none" w:sz="0" w:space="0" w:color="auto"/>
        <w:bottom w:val="none" w:sz="0" w:space="0" w:color="auto"/>
        <w:right w:val="none" w:sz="0" w:space="0" w:color="auto"/>
      </w:divBdr>
    </w:div>
    <w:div w:id="470095078">
      <w:bodyDiv w:val="1"/>
      <w:marLeft w:val="0"/>
      <w:marRight w:val="0"/>
      <w:marTop w:val="0"/>
      <w:marBottom w:val="0"/>
      <w:divBdr>
        <w:top w:val="none" w:sz="0" w:space="0" w:color="auto"/>
        <w:left w:val="none" w:sz="0" w:space="0" w:color="auto"/>
        <w:bottom w:val="none" w:sz="0" w:space="0" w:color="auto"/>
        <w:right w:val="none" w:sz="0" w:space="0" w:color="auto"/>
      </w:divBdr>
    </w:div>
    <w:div w:id="745492006">
      <w:bodyDiv w:val="1"/>
      <w:marLeft w:val="0"/>
      <w:marRight w:val="0"/>
      <w:marTop w:val="0"/>
      <w:marBottom w:val="0"/>
      <w:divBdr>
        <w:top w:val="none" w:sz="0" w:space="0" w:color="auto"/>
        <w:left w:val="none" w:sz="0" w:space="0" w:color="auto"/>
        <w:bottom w:val="none" w:sz="0" w:space="0" w:color="auto"/>
        <w:right w:val="none" w:sz="0" w:space="0" w:color="auto"/>
      </w:divBdr>
    </w:div>
    <w:div w:id="791290753">
      <w:bodyDiv w:val="1"/>
      <w:marLeft w:val="0"/>
      <w:marRight w:val="0"/>
      <w:marTop w:val="0"/>
      <w:marBottom w:val="0"/>
      <w:divBdr>
        <w:top w:val="none" w:sz="0" w:space="0" w:color="auto"/>
        <w:left w:val="none" w:sz="0" w:space="0" w:color="auto"/>
        <w:bottom w:val="none" w:sz="0" w:space="0" w:color="auto"/>
        <w:right w:val="none" w:sz="0" w:space="0" w:color="auto"/>
      </w:divBdr>
    </w:div>
    <w:div w:id="897782814">
      <w:bodyDiv w:val="1"/>
      <w:marLeft w:val="0"/>
      <w:marRight w:val="0"/>
      <w:marTop w:val="0"/>
      <w:marBottom w:val="0"/>
      <w:divBdr>
        <w:top w:val="none" w:sz="0" w:space="0" w:color="auto"/>
        <w:left w:val="none" w:sz="0" w:space="0" w:color="auto"/>
        <w:bottom w:val="none" w:sz="0" w:space="0" w:color="auto"/>
        <w:right w:val="none" w:sz="0" w:space="0" w:color="auto"/>
      </w:divBdr>
    </w:div>
    <w:div w:id="940529067">
      <w:bodyDiv w:val="1"/>
      <w:marLeft w:val="0"/>
      <w:marRight w:val="0"/>
      <w:marTop w:val="0"/>
      <w:marBottom w:val="0"/>
      <w:divBdr>
        <w:top w:val="none" w:sz="0" w:space="0" w:color="auto"/>
        <w:left w:val="none" w:sz="0" w:space="0" w:color="auto"/>
        <w:bottom w:val="none" w:sz="0" w:space="0" w:color="auto"/>
        <w:right w:val="none" w:sz="0" w:space="0" w:color="auto"/>
      </w:divBdr>
    </w:div>
    <w:div w:id="945962772">
      <w:bodyDiv w:val="1"/>
      <w:marLeft w:val="0"/>
      <w:marRight w:val="0"/>
      <w:marTop w:val="0"/>
      <w:marBottom w:val="0"/>
      <w:divBdr>
        <w:top w:val="none" w:sz="0" w:space="0" w:color="auto"/>
        <w:left w:val="none" w:sz="0" w:space="0" w:color="auto"/>
        <w:bottom w:val="none" w:sz="0" w:space="0" w:color="auto"/>
        <w:right w:val="none" w:sz="0" w:space="0" w:color="auto"/>
      </w:divBdr>
    </w:div>
    <w:div w:id="1200319022">
      <w:bodyDiv w:val="1"/>
      <w:marLeft w:val="0"/>
      <w:marRight w:val="0"/>
      <w:marTop w:val="0"/>
      <w:marBottom w:val="0"/>
      <w:divBdr>
        <w:top w:val="none" w:sz="0" w:space="0" w:color="auto"/>
        <w:left w:val="none" w:sz="0" w:space="0" w:color="auto"/>
        <w:bottom w:val="none" w:sz="0" w:space="0" w:color="auto"/>
        <w:right w:val="none" w:sz="0" w:space="0" w:color="auto"/>
      </w:divBdr>
    </w:div>
    <w:div w:id="1281645469">
      <w:bodyDiv w:val="1"/>
      <w:marLeft w:val="0"/>
      <w:marRight w:val="0"/>
      <w:marTop w:val="0"/>
      <w:marBottom w:val="0"/>
      <w:divBdr>
        <w:top w:val="none" w:sz="0" w:space="0" w:color="auto"/>
        <w:left w:val="none" w:sz="0" w:space="0" w:color="auto"/>
        <w:bottom w:val="none" w:sz="0" w:space="0" w:color="auto"/>
        <w:right w:val="none" w:sz="0" w:space="0" w:color="auto"/>
      </w:divBdr>
    </w:div>
    <w:div w:id="1289699673">
      <w:bodyDiv w:val="1"/>
      <w:marLeft w:val="0"/>
      <w:marRight w:val="0"/>
      <w:marTop w:val="0"/>
      <w:marBottom w:val="0"/>
      <w:divBdr>
        <w:top w:val="none" w:sz="0" w:space="0" w:color="auto"/>
        <w:left w:val="none" w:sz="0" w:space="0" w:color="auto"/>
        <w:bottom w:val="none" w:sz="0" w:space="0" w:color="auto"/>
        <w:right w:val="none" w:sz="0" w:space="0" w:color="auto"/>
      </w:divBdr>
    </w:div>
    <w:div w:id="1446734020">
      <w:bodyDiv w:val="1"/>
      <w:marLeft w:val="0"/>
      <w:marRight w:val="0"/>
      <w:marTop w:val="0"/>
      <w:marBottom w:val="0"/>
      <w:divBdr>
        <w:top w:val="none" w:sz="0" w:space="0" w:color="auto"/>
        <w:left w:val="none" w:sz="0" w:space="0" w:color="auto"/>
        <w:bottom w:val="none" w:sz="0" w:space="0" w:color="auto"/>
        <w:right w:val="none" w:sz="0" w:space="0" w:color="auto"/>
      </w:divBdr>
    </w:div>
    <w:div w:id="1465150493">
      <w:bodyDiv w:val="1"/>
      <w:marLeft w:val="0"/>
      <w:marRight w:val="0"/>
      <w:marTop w:val="0"/>
      <w:marBottom w:val="0"/>
      <w:divBdr>
        <w:top w:val="none" w:sz="0" w:space="0" w:color="auto"/>
        <w:left w:val="none" w:sz="0" w:space="0" w:color="auto"/>
        <w:bottom w:val="none" w:sz="0" w:space="0" w:color="auto"/>
        <w:right w:val="none" w:sz="0" w:space="0" w:color="auto"/>
      </w:divBdr>
    </w:div>
    <w:div w:id="1538002961">
      <w:bodyDiv w:val="1"/>
      <w:marLeft w:val="0"/>
      <w:marRight w:val="0"/>
      <w:marTop w:val="0"/>
      <w:marBottom w:val="0"/>
      <w:divBdr>
        <w:top w:val="none" w:sz="0" w:space="0" w:color="auto"/>
        <w:left w:val="none" w:sz="0" w:space="0" w:color="auto"/>
        <w:bottom w:val="none" w:sz="0" w:space="0" w:color="auto"/>
        <w:right w:val="none" w:sz="0" w:space="0" w:color="auto"/>
      </w:divBdr>
      <w:divsChild>
        <w:div w:id="1110666877">
          <w:marLeft w:val="0"/>
          <w:marRight w:val="0"/>
          <w:marTop w:val="0"/>
          <w:marBottom w:val="0"/>
          <w:divBdr>
            <w:top w:val="none" w:sz="0" w:space="0" w:color="auto"/>
            <w:left w:val="none" w:sz="0" w:space="0" w:color="auto"/>
            <w:bottom w:val="none" w:sz="0" w:space="0" w:color="auto"/>
            <w:right w:val="none" w:sz="0" w:space="0" w:color="auto"/>
          </w:divBdr>
        </w:div>
        <w:div w:id="1253002934">
          <w:marLeft w:val="0"/>
          <w:marRight w:val="0"/>
          <w:marTop w:val="0"/>
          <w:marBottom w:val="0"/>
          <w:divBdr>
            <w:top w:val="none" w:sz="0" w:space="0" w:color="auto"/>
            <w:left w:val="none" w:sz="0" w:space="0" w:color="auto"/>
            <w:bottom w:val="none" w:sz="0" w:space="0" w:color="auto"/>
            <w:right w:val="none" w:sz="0" w:space="0" w:color="auto"/>
          </w:divBdr>
        </w:div>
      </w:divsChild>
    </w:div>
    <w:div w:id="1583030739">
      <w:bodyDiv w:val="1"/>
      <w:marLeft w:val="0"/>
      <w:marRight w:val="0"/>
      <w:marTop w:val="0"/>
      <w:marBottom w:val="0"/>
      <w:divBdr>
        <w:top w:val="none" w:sz="0" w:space="0" w:color="auto"/>
        <w:left w:val="none" w:sz="0" w:space="0" w:color="auto"/>
        <w:bottom w:val="none" w:sz="0" w:space="0" w:color="auto"/>
        <w:right w:val="none" w:sz="0" w:space="0" w:color="auto"/>
      </w:divBdr>
    </w:div>
    <w:div w:id="1644777663">
      <w:bodyDiv w:val="1"/>
      <w:marLeft w:val="0"/>
      <w:marRight w:val="0"/>
      <w:marTop w:val="0"/>
      <w:marBottom w:val="0"/>
      <w:divBdr>
        <w:top w:val="none" w:sz="0" w:space="0" w:color="auto"/>
        <w:left w:val="none" w:sz="0" w:space="0" w:color="auto"/>
        <w:bottom w:val="none" w:sz="0" w:space="0" w:color="auto"/>
        <w:right w:val="none" w:sz="0" w:space="0" w:color="auto"/>
      </w:divBdr>
    </w:div>
    <w:div w:id="1747147229">
      <w:bodyDiv w:val="1"/>
      <w:marLeft w:val="0"/>
      <w:marRight w:val="0"/>
      <w:marTop w:val="0"/>
      <w:marBottom w:val="0"/>
      <w:divBdr>
        <w:top w:val="none" w:sz="0" w:space="0" w:color="auto"/>
        <w:left w:val="none" w:sz="0" w:space="0" w:color="auto"/>
        <w:bottom w:val="none" w:sz="0" w:space="0" w:color="auto"/>
        <w:right w:val="none" w:sz="0" w:space="0" w:color="auto"/>
      </w:divBdr>
      <w:divsChild>
        <w:div w:id="1111363251">
          <w:marLeft w:val="547"/>
          <w:marRight w:val="0"/>
          <w:marTop w:val="120"/>
          <w:marBottom w:val="120"/>
          <w:divBdr>
            <w:top w:val="none" w:sz="0" w:space="0" w:color="auto"/>
            <w:left w:val="none" w:sz="0" w:space="0" w:color="auto"/>
            <w:bottom w:val="none" w:sz="0" w:space="0" w:color="auto"/>
            <w:right w:val="none" w:sz="0" w:space="0" w:color="auto"/>
          </w:divBdr>
        </w:div>
      </w:divsChild>
    </w:div>
    <w:div w:id="1755861918">
      <w:bodyDiv w:val="1"/>
      <w:marLeft w:val="0"/>
      <w:marRight w:val="0"/>
      <w:marTop w:val="0"/>
      <w:marBottom w:val="0"/>
      <w:divBdr>
        <w:top w:val="none" w:sz="0" w:space="0" w:color="auto"/>
        <w:left w:val="none" w:sz="0" w:space="0" w:color="auto"/>
        <w:bottom w:val="none" w:sz="0" w:space="0" w:color="auto"/>
        <w:right w:val="none" w:sz="0" w:space="0" w:color="auto"/>
      </w:divBdr>
    </w:div>
    <w:div w:id="1770350159">
      <w:bodyDiv w:val="1"/>
      <w:marLeft w:val="0"/>
      <w:marRight w:val="0"/>
      <w:marTop w:val="0"/>
      <w:marBottom w:val="0"/>
      <w:divBdr>
        <w:top w:val="none" w:sz="0" w:space="0" w:color="auto"/>
        <w:left w:val="none" w:sz="0" w:space="0" w:color="auto"/>
        <w:bottom w:val="none" w:sz="0" w:space="0" w:color="auto"/>
        <w:right w:val="none" w:sz="0" w:space="0" w:color="auto"/>
      </w:divBdr>
    </w:div>
    <w:div w:id="1879080597">
      <w:bodyDiv w:val="1"/>
      <w:marLeft w:val="0"/>
      <w:marRight w:val="0"/>
      <w:marTop w:val="0"/>
      <w:marBottom w:val="0"/>
      <w:divBdr>
        <w:top w:val="none" w:sz="0" w:space="0" w:color="auto"/>
        <w:left w:val="none" w:sz="0" w:space="0" w:color="auto"/>
        <w:bottom w:val="none" w:sz="0" w:space="0" w:color="auto"/>
        <w:right w:val="none" w:sz="0" w:space="0" w:color="auto"/>
      </w:divBdr>
    </w:div>
    <w:div w:id="1995646632">
      <w:bodyDiv w:val="1"/>
      <w:marLeft w:val="0"/>
      <w:marRight w:val="0"/>
      <w:marTop w:val="0"/>
      <w:marBottom w:val="0"/>
      <w:divBdr>
        <w:top w:val="none" w:sz="0" w:space="0" w:color="auto"/>
        <w:left w:val="none" w:sz="0" w:space="0" w:color="auto"/>
        <w:bottom w:val="none" w:sz="0" w:space="0" w:color="auto"/>
        <w:right w:val="none" w:sz="0" w:space="0" w:color="auto"/>
      </w:divBdr>
    </w:div>
    <w:div w:id="20035091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tiff"/><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png"/><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48CC9-8E28-4E27-A8CC-B8197461C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3689</Words>
  <Characters>21029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Weaver Danielle (R0A) MFT</dc:creator>
  <cp:keywords/>
  <dc:description/>
  <cp:lastModifiedBy>Trupti Sudge</cp:lastModifiedBy>
  <cp:revision>2</cp:revision>
  <cp:lastPrinted>2020-07-15T08:47:00Z</cp:lastPrinted>
  <dcterms:created xsi:type="dcterms:W3CDTF">2025-05-05T06:53:00Z</dcterms:created>
  <dcterms:modified xsi:type="dcterms:W3CDTF">2025-05-05T06:53:00Z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_DocHome">
    <vt:i4>1972506554</vt:i4>
  </property>
  <property fmtid="{D5CDD505-2E9C-101B-9397-08002B2CF9AE}" pid="9" name="ZOTERO_PREF_1">
    <vt:lpwstr>&lt;data data-version="3" zotero-version="7.0.5"&gt;&lt;session id="OBmFgxVO"/&gt;&lt;style id="http://www.zotero.org/styles/nature" hasBibliography="1" bibliographyStyleHasBeenSet="1"/&gt;&lt;prefs&gt;&lt;pref name="fieldType" value="Field"/&gt;&lt;pref name="delayCitationUpdates" value</vt:lpwstr>
  </property>
  <property fmtid="{D5CDD505-2E9C-101B-9397-08002B2CF9AE}" pid="10" name="ZOTERO_PREF_2">
    <vt:lpwstr>="true"/&gt;&lt;/prefs&gt;&lt;/data&gt;</vt:lpwstr>
  </property>
</Properties>
</file>