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409" w:rsidRPr="00C4330D" w:rsidRDefault="00243409" w:rsidP="00243409">
      <w:pPr>
        <w:pStyle w:val="Quote"/>
      </w:pPr>
      <w:r w:rsidRPr="00C4330D">
        <w:t>Table-4: Contributing factors for coexisting forms of malnutrition (N=12)</w:t>
      </w:r>
    </w:p>
    <w:tbl>
      <w:tblPr>
        <w:tblStyle w:val="TableGrid"/>
        <w:tblW w:w="16030" w:type="dxa"/>
        <w:tblInd w:w="-1047" w:type="dxa"/>
        <w:tblLayout w:type="fixed"/>
        <w:tblLook w:val="04A0" w:firstRow="1" w:lastRow="0" w:firstColumn="1" w:lastColumn="0" w:noHBand="0" w:noVBand="1"/>
      </w:tblPr>
      <w:tblGrid>
        <w:gridCol w:w="2263"/>
        <w:gridCol w:w="1276"/>
        <w:gridCol w:w="1570"/>
        <w:gridCol w:w="556"/>
        <w:gridCol w:w="567"/>
        <w:gridCol w:w="567"/>
        <w:gridCol w:w="709"/>
        <w:gridCol w:w="709"/>
        <w:gridCol w:w="709"/>
        <w:gridCol w:w="708"/>
        <w:gridCol w:w="567"/>
        <w:gridCol w:w="709"/>
        <w:gridCol w:w="567"/>
        <w:gridCol w:w="788"/>
        <w:gridCol w:w="788"/>
        <w:gridCol w:w="850"/>
        <w:gridCol w:w="709"/>
        <w:gridCol w:w="709"/>
        <w:gridCol w:w="709"/>
      </w:tblGrid>
      <w:tr w:rsidR="00243409" w:rsidRPr="00C4330D" w:rsidTr="00CD52BD">
        <w:trPr>
          <w:trHeight w:val="378"/>
        </w:trPr>
        <w:tc>
          <w:tcPr>
            <w:tcW w:w="2263" w:type="dxa"/>
            <w:vMerge w:val="restart"/>
          </w:tcPr>
          <w:p w:rsidR="00243409" w:rsidRPr="00C4330D" w:rsidRDefault="00243409" w:rsidP="00CD52BD">
            <w:pPr>
              <w:jc w:val="center"/>
              <w:rPr>
                <w:rFonts w:asciiTheme="majorBidi" w:hAnsiTheme="majorBidi" w:cstheme="majorBidi"/>
                <w:b/>
                <w:bCs/>
              </w:rPr>
            </w:pPr>
            <w:r w:rsidRPr="00C4330D">
              <w:rPr>
                <w:rFonts w:asciiTheme="majorBidi" w:hAnsiTheme="majorBidi" w:cstheme="majorBidi"/>
                <w:b/>
                <w:bCs/>
              </w:rPr>
              <w:t>Author name (Year)</w:t>
            </w:r>
          </w:p>
        </w:tc>
        <w:tc>
          <w:tcPr>
            <w:tcW w:w="1276" w:type="dxa"/>
            <w:vMerge w:val="restart"/>
          </w:tcPr>
          <w:p w:rsidR="00243409" w:rsidRPr="00C4330D" w:rsidRDefault="00243409" w:rsidP="00CD52BD">
            <w:pPr>
              <w:jc w:val="center"/>
              <w:rPr>
                <w:rFonts w:asciiTheme="majorBidi" w:hAnsiTheme="majorBidi" w:cstheme="majorBidi"/>
                <w:b/>
                <w:bCs/>
              </w:rPr>
            </w:pPr>
            <w:r w:rsidRPr="00C4330D">
              <w:rPr>
                <w:rFonts w:asciiTheme="majorBidi" w:hAnsiTheme="majorBidi" w:cstheme="majorBidi"/>
                <w:b/>
                <w:bCs/>
              </w:rPr>
              <w:t>Country</w:t>
            </w:r>
          </w:p>
        </w:tc>
        <w:tc>
          <w:tcPr>
            <w:tcW w:w="1570" w:type="dxa"/>
            <w:vMerge w:val="restart"/>
          </w:tcPr>
          <w:p w:rsidR="00243409" w:rsidRPr="00C4330D" w:rsidRDefault="00243409" w:rsidP="00CD52BD">
            <w:pPr>
              <w:jc w:val="center"/>
              <w:rPr>
                <w:rFonts w:asciiTheme="majorBidi" w:hAnsiTheme="majorBidi" w:cstheme="majorBidi"/>
                <w:b/>
                <w:bCs/>
              </w:rPr>
            </w:pPr>
            <w:r w:rsidRPr="00C4330D">
              <w:rPr>
                <w:rFonts w:asciiTheme="majorBidi" w:hAnsiTheme="majorBidi" w:cstheme="majorBidi"/>
                <w:b/>
                <w:bCs/>
              </w:rPr>
              <w:t>Malnutrition type</w:t>
            </w:r>
          </w:p>
        </w:tc>
        <w:tc>
          <w:tcPr>
            <w:tcW w:w="10921" w:type="dxa"/>
            <w:gridSpan w:val="16"/>
          </w:tcPr>
          <w:p w:rsidR="00243409" w:rsidRPr="00C4330D" w:rsidRDefault="00243409" w:rsidP="00CD52BD">
            <w:pPr>
              <w:jc w:val="center"/>
              <w:rPr>
                <w:rFonts w:asciiTheme="majorBidi" w:hAnsiTheme="majorBidi" w:cstheme="majorBidi"/>
                <w:b/>
                <w:bCs/>
              </w:rPr>
            </w:pPr>
            <w:r w:rsidRPr="00C4330D">
              <w:rPr>
                <w:rFonts w:asciiTheme="majorBidi" w:hAnsiTheme="majorBidi" w:cstheme="majorBidi"/>
                <w:b/>
                <w:bCs/>
              </w:rPr>
              <w:t>Contributing factors for coexisting forms of malnutrition</w:t>
            </w:r>
          </w:p>
        </w:tc>
      </w:tr>
      <w:tr w:rsidR="00243409" w:rsidRPr="00C4330D" w:rsidTr="00CD52BD">
        <w:trPr>
          <w:trHeight w:val="4362"/>
        </w:trPr>
        <w:tc>
          <w:tcPr>
            <w:tcW w:w="2263" w:type="dxa"/>
            <w:vMerge/>
          </w:tcPr>
          <w:p w:rsidR="00243409" w:rsidRPr="00C4330D" w:rsidRDefault="00243409" w:rsidP="00CD52BD">
            <w:pPr>
              <w:rPr>
                <w:rFonts w:asciiTheme="majorBidi" w:hAnsiTheme="majorBidi" w:cstheme="majorBidi"/>
                <w:b/>
                <w:bCs/>
              </w:rPr>
            </w:pPr>
          </w:p>
        </w:tc>
        <w:tc>
          <w:tcPr>
            <w:tcW w:w="1276" w:type="dxa"/>
            <w:vMerge/>
            <w:textDirection w:val="btLr"/>
          </w:tcPr>
          <w:p w:rsidR="00243409" w:rsidRPr="00C4330D" w:rsidRDefault="00243409" w:rsidP="00CD52BD">
            <w:pPr>
              <w:ind w:left="113" w:right="113"/>
              <w:rPr>
                <w:rFonts w:asciiTheme="majorBidi" w:hAnsiTheme="majorBidi" w:cstheme="majorBidi"/>
              </w:rPr>
            </w:pPr>
          </w:p>
        </w:tc>
        <w:tc>
          <w:tcPr>
            <w:tcW w:w="1570" w:type="dxa"/>
            <w:vMerge/>
            <w:textDirection w:val="btLr"/>
          </w:tcPr>
          <w:p w:rsidR="00243409" w:rsidRPr="00C4330D" w:rsidRDefault="00243409" w:rsidP="00CD52BD">
            <w:pPr>
              <w:ind w:left="113" w:right="113"/>
              <w:rPr>
                <w:rFonts w:asciiTheme="majorBidi" w:hAnsiTheme="majorBidi" w:cstheme="majorBidi"/>
              </w:rPr>
            </w:pPr>
          </w:p>
        </w:tc>
        <w:tc>
          <w:tcPr>
            <w:tcW w:w="556"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Age</w:t>
            </w:r>
          </w:p>
        </w:tc>
        <w:tc>
          <w:tcPr>
            <w:tcW w:w="567"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 xml:space="preserve">Sex </w:t>
            </w:r>
          </w:p>
        </w:tc>
        <w:tc>
          <w:tcPr>
            <w:tcW w:w="567"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Birth size &amp; birthweight</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Birth interval and birth order</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 xml:space="preserve">Food and diet </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Health and disease status</w:t>
            </w:r>
          </w:p>
        </w:tc>
        <w:tc>
          <w:tcPr>
            <w:tcW w:w="708"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 xml:space="preserve">Health insurance </w:t>
            </w:r>
          </w:p>
        </w:tc>
        <w:tc>
          <w:tcPr>
            <w:tcW w:w="567"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Antenatal consultations</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Parent’s education</w:t>
            </w:r>
          </w:p>
        </w:tc>
        <w:tc>
          <w:tcPr>
            <w:tcW w:w="567"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Maternal occupation</w:t>
            </w:r>
          </w:p>
        </w:tc>
        <w:tc>
          <w:tcPr>
            <w:tcW w:w="788"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Parental obesity &amp; short stature</w:t>
            </w:r>
          </w:p>
        </w:tc>
        <w:tc>
          <w:tcPr>
            <w:tcW w:w="788"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Maternal age</w:t>
            </w:r>
          </w:p>
        </w:tc>
        <w:tc>
          <w:tcPr>
            <w:tcW w:w="850"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Socioeconomic stratus</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Family size</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Water, sanitation and toilet</w:t>
            </w:r>
          </w:p>
        </w:tc>
        <w:tc>
          <w:tcPr>
            <w:tcW w:w="709" w:type="dxa"/>
            <w:textDirection w:val="btLr"/>
          </w:tcPr>
          <w:p w:rsidR="00243409" w:rsidRPr="00C4330D" w:rsidRDefault="00243409" w:rsidP="00CD52BD">
            <w:pPr>
              <w:ind w:left="113" w:right="113"/>
              <w:rPr>
                <w:rFonts w:asciiTheme="majorBidi" w:hAnsiTheme="majorBidi" w:cstheme="majorBidi"/>
              </w:rPr>
            </w:pPr>
            <w:r w:rsidRPr="00C4330D">
              <w:rPr>
                <w:rFonts w:asciiTheme="majorBidi" w:hAnsiTheme="majorBidi" w:cstheme="majorBidi"/>
              </w:rPr>
              <w:t xml:space="preserve">Region </w:t>
            </w: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Florencio, et al., (2001)</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Brazil</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CUW</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Wingdings 2" w:hAnsi="Wingdings 2"/>
                <w:b/>
                <w:bCs/>
              </w:rPr>
            </w:pPr>
          </w:p>
        </w:tc>
        <w:tc>
          <w:tcPr>
            <w:tcW w:w="850"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Fernald &amp; Neufeld (2007)</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Mexico</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850"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r>
      <w:tr w:rsidR="00243409" w:rsidRPr="00C4330D" w:rsidTr="00CD52BD">
        <w:tc>
          <w:tcPr>
            <w:tcW w:w="2263" w:type="dxa"/>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Severi</w:t>
            </w:r>
            <w:proofErr w:type="spellEnd"/>
            <w:r w:rsidRPr="00C4330D">
              <w:rPr>
                <w:rFonts w:asciiTheme="majorBidi" w:hAnsiTheme="majorBidi" w:cstheme="majorBidi"/>
              </w:rPr>
              <w:t xml:space="preserve"> &amp; </w:t>
            </w:r>
            <w:proofErr w:type="spellStart"/>
            <w:r w:rsidRPr="00C4330D">
              <w:rPr>
                <w:rFonts w:asciiTheme="majorBidi" w:hAnsiTheme="majorBidi" w:cstheme="majorBidi"/>
              </w:rPr>
              <w:t>Moratorio</w:t>
            </w:r>
            <w:proofErr w:type="spellEnd"/>
            <w:r w:rsidRPr="00C4330D">
              <w:rPr>
                <w:rFonts w:asciiTheme="majorBidi" w:hAnsiTheme="majorBidi" w:cstheme="majorBidi"/>
              </w:rPr>
              <w:t>, (2014)</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Uruguay</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88"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850"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r>
      <w:tr w:rsidR="00243409" w:rsidRPr="00C4330D" w:rsidTr="00CD52BD">
        <w:tc>
          <w:tcPr>
            <w:tcW w:w="2263" w:type="dxa"/>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Rachmi</w:t>
            </w:r>
            <w:proofErr w:type="spellEnd"/>
            <w:r w:rsidRPr="00C4330D">
              <w:rPr>
                <w:rFonts w:asciiTheme="majorBidi" w:hAnsiTheme="majorBidi" w:cstheme="majorBidi"/>
              </w:rPr>
              <w:t>, et al., (2016)</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Indonesia</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88" w:type="dxa"/>
          </w:tcPr>
          <w:p w:rsidR="00243409" w:rsidRPr="00C4330D" w:rsidRDefault="00243409" w:rsidP="00CD52BD">
            <w:pPr>
              <w:rPr>
                <w:rFonts w:asciiTheme="majorBidi" w:hAnsiTheme="majorBidi" w:cstheme="majorBidi"/>
              </w:rPr>
            </w:pPr>
          </w:p>
        </w:tc>
        <w:tc>
          <w:tcPr>
            <w:tcW w:w="850"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r>
      <w:tr w:rsidR="00243409" w:rsidRPr="00C4330D" w:rsidTr="00CD52BD">
        <w:tc>
          <w:tcPr>
            <w:tcW w:w="2263" w:type="dxa"/>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Saaka</w:t>
            </w:r>
            <w:proofErr w:type="spellEnd"/>
            <w:r w:rsidRPr="00C4330D">
              <w:rPr>
                <w:rFonts w:asciiTheme="majorBidi" w:hAnsiTheme="majorBidi" w:cstheme="majorBidi"/>
              </w:rPr>
              <w:t xml:space="preserve"> &amp; </w:t>
            </w:r>
            <w:proofErr w:type="spellStart"/>
            <w:r w:rsidRPr="00C4330D">
              <w:rPr>
                <w:rFonts w:asciiTheme="majorBidi" w:hAnsiTheme="majorBidi" w:cstheme="majorBidi"/>
              </w:rPr>
              <w:t>Galaa</w:t>
            </w:r>
            <w:proofErr w:type="spellEnd"/>
            <w:r w:rsidRPr="00C4330D">
              <w:rPr>
                <w:rFonts w:asciiTheme="majorBidi" w:hAnsiTheme="majorBidi" w:cstheme="majorBidi"/>
              </w:rPr>
              <w:t xml:space="preserve"> (2016)</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Ghana</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CWS</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Wingdings 2" w:hAnsi="Wingdings 2"/>
                <w:b/>
                <w:bCs/>
              </w:rPr>
            </w:pPr>
          </w:p>
        </w:tc>
        <w:tc>
          <w:tcPr>
            <w:tcW w:w="850"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Zhang, et al., (2016)</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China</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Wingdings 2" w:hAnsi="Wingdings 2"/>
                <w:b/>
                <w:bCs/>
              </w:rPr>
            </w:pPr>
          </w:p>
        </w:tc>
        <w:tc>
          <w:tcPr>
            <w:tcW w:w="850" w:type="dxa"/>
          </w:tcPr>
          <w:p w:rsidR="00243409" w:rsidRPr="00C4330D" w:rsidRDefault="00243409" w:rsidP="00CD52BD">
            <w:pPr>
              <w:rPr>
                <w:rFonts w:ascii="Wingdings 2" w:hAnsi="Wingdings 2"/>
                <w:b/>
                <w:bCs/>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r w:rsidRPr="00C4330D">
              <w:rPr>
                <w:rFonts w:ascii="Wingdings 2" w:hAnsi="Wingdings 2"/>
                <w:b/>
                <w:bCs/>
              </w:rPr>
              <w:t></w:t>
            </w:r>
          </w:p>
        </w:tc>
      </w:tr>
      <w:tr w:rsidR="00243409" w:rsidRPr="00C4330D" w:rsidTr="00CD52BD">
        <w:tc>
          <w:tcPr>
            <w:tcW w:w="2263" w:type="dxa"/>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Garenne</w:t>
            </w:r>
            <w:proofErr w:type="spellEnd"/>
            <w:r w:rsidRPr="00C4330D">
              <w:rPr>
                <w:rFonts w:asciiTheme="majorBidi" w:hAnsiTheme="majorBidi" w:cstheme="majorBidi"/>
              </w:rPr>
              <w:t>, et al., (2018)</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Senegal</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CWS</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Wingdings 2" w:hAnsi="Wingdings 2"/>
                <w:b/>
                <w:bCs/>
              </w:rPr>
            </w:pPr>
          </w:p>
        </w:tc>
        <w:tc>
          <w:tcPr>
            <w:tcW w:w="850"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r>
      <w:tr w:rsidR="00243409" w:rsidRPr="00C4330D" w:rsidTr="00CD52BD">
        <w:tc>
          <w:tcPr>
            <w:tcW w:w="2263" w:type="dxa"/>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Fongar</w:t>
            </w:r>
            <w:proofErr w:type="spellEnd"/>
            <w:r w:rsidRPr="00C4330D">
              <w:rPr>
                <w:rFonts w:asciiTheme="majorBidi" w:hAnsiTheme="majorBidi" w:cstheme="majorBidi"/>
              </w:rPr>
              <w:t>, et al., (2019)</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Kenya</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Wingdings 2" w:hAnsi="Wingdings 2"/>
                <w:b/>
                <w:bCs/>
              </w:rPr>
            </w:pPr>
          </w:p>
        </w:tc>
        <w:tc>
          <w:tcPr>
            <w:tcW w:w="850" w:type="dxa"/>
          </w:tcPr>
          <w:p w:rsidR="00243409" w:rsidRPr="00C4330D" w:rsidRDefault="00243409" w:rsidP="00CD52BD">
            <w:pPr>
              <w:rPr>
                <w:rFonts w:ascii="Wingdings 2" w:hAnsi="Wingdings 2"/>
                <w:b/>
                <w:bCs/>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Islam &amp; Biswas, (2019)</w:t>
            </w:r>
          </w:p>
        </w:tc>
        <w:tc>
          <w:tcPr>
            <w:tcW w:w="1276" w:type="dxa"/>
          </w:tcPr>
          <w:p w:rsidR="00243409" w:rsidRPr="00C4330D" w:rsidRDefault="00243409" w:rsidP="00CD52BD">
            <w:pPr>
              <w:rPr>
                <w:rFonts w:asciiTheme="majorBidi" w:hAnsiTheme="majorBidi" w:cstheme="majorBidi"/>
                <w:b/>
                <w:bCs/>
              </w:rPr>
            </w:pPr>
            <w:r w:rsidRPr="00C4330D">
              <w:rPr>
                <w:rFonts w:asciiTheme="majorBidi" w:hAnsiTheme="majorBidi" w:cstheme="majorBidi"/>
              </w:rPr>
              <w:t>Bangladesh</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CFU*</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88" w:type="dxa"/>
          </w:tcPr>
          <w:p w:rsidR="00243409" w:rsidRPr="00C4330D" w:rsidRDefault="00243409" w:rsidP="00CD52BD">
            <w:pPr>
              <w:rPr>
                <w:rFonts w:ascii="Wingdings 2" w:hAnsi="Wingdings 2"/>
                <w:b/>
                <w:bCs/>
              </w:rPr>
            </w:pPr>
            <w:r w:rsidRPr="00C4330D">
              <w:rPr>
                <w:rFonts w:ascii="Wingdings 2" w:hAnsi="Wingdings 2"/>
                <w:b/>
                <w:bCs/>
              </w:rPr>
              <w:t></w:t>
            </w:r>
          </w:p>
        </w:tc>
        <w:tc>
          <w:tcPr>
            <w:tcW w:w="788" w:type="dxa"/>
          </w:tcPr>
          <w:p w:rsidR="00243409" w:rsidRPr="00C4330D" w:rsidRDefault="00243409" w:rsidP="00CD52BD">
            <w:pPr>
              <w:rPr>
                <w:rFonts w:ascii="Wingdings 2" w:hAnsi="Wingdings 2"/>
                <w:b/>
                <w:bCs/>
              </w:rPr>
            </w:pPr>
            <w:r w:rsidRPr="00C4330D">
              <w:rPr>
                <w:rFonts w:ascii="Wingdings 2" w:hAnsi="Wingdings 2"/>
                <w:b/>
                <w:bCs/>
              </w:rPr>
              <w:t></w:t>
            </w:r>
          </w:p>
        </w:tc>
        <w:tc>
          <w:tcPr>
            <w:tcW w:w="850"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r w:rsidRPr="00C4330D">
              <w:rPr>
                <w:rFonts w:ascii="Wingdings 2" w:hAnsi="Wingdings 2"/>
                <w:b/>
                <w:bCs/>
              </w:rPr>
              <w:t></w:t>
            </w:r>
          </w:p>
        </w:tc>
      </w:tr>
      <w:tr w:rsidR="00243409" w:rsidRPr="00C4330D" w:rsidTr="00CD52BD">
        <w:tc>
          <w:tcPr>
            <w:tcW w:w="2263" w:type="dxa"/>
          </w:tcPr>
          <w:p w:rsidR="00243409" w:rsidRPr="00C4330D" w:rsidRDefault="00243409" w:rsidP="00CD52BD">
            <w:pPr>
              <w:rPr>
                <w:rFonts w:ascii="Times New Roman" w:hAnsi="Times New Roman" w:cs="Times New Roman"/>
              </w:rPr>
            </w:pPr>
            <w:r w:rsidRPr="00C4330D">
              <w:rPr>
                <w:rFonts w:asciiTheme="majorBidi" w:hAnsiTheme="majorBidi" w:cstheme="majorBidi"/>
              </w:rPr>
              <w:t>Yasmin, et al., (2019)</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Indonesia</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p>
        </w:tc>
        <w:tc>
          <w:tcPr>
            <w:tcW w:w="788"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88"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850"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Wingdings 2" w:hAnsi="Wingdings 2"/>
                <w:b/>
                <w:bCs/>
              </w:rPr>
            </w:pPr>
            <w:r w:rsidRPr="00C4330D">
              <w:rPr>
                <w:rFonts w:ascii="Wingdings 2" w:hAnsi="Wingdings 2"/>
                <w:b/>
                <w:bCs/>
              </w:rPr>
              <w:t></w:t>
            </w:r>
          </w:p>
        </w:tc>
        <w:tc>
          <w:tcPr>
            <w:tcW w:w="709" w:type="dxa"/>
          </w:tcPr>
          <w:p w:rsidR="00243409" w:rsidRPr="00C4330D" w:rsidRDefault="00243409" w:rsidP="00CD52BD">
            <w:pPr>
              <w:rPr>
                <w:rFonts w:ascii="Wingdings 2" w:hAnsi="Wingdings 2"/>
                <w:b/>
                <w:bCs/>
              </w:rPr>
            </w:pPr>
          </w:p>
        </w:tc>
        <w:tc>
          <w:tcPr>
            <w:tcW w:w="709" w:type="dxa"/>
          </w:tcPr>
          <w:p w:rsidR="00243409" w:rsidRPr="00C4330D" w:rsidRDefault="00243409" w:rsidP="00CD52BD">
            <w:pPr>
              <w:rPr>
                <w:rFonts w:ascii="Wingdings 2" w:hAnsi="Wingdings 2"/>
                <w:b/>
                <w:bCs/>
              </w:rPr>
            </w:pPr>
            <w:r w:rsidRPr="00C4330D">
              <w:rPr>
                <w:rFonts w:ascii="Wingdings 2" w:hAnsi="Wingdings 2"/>
                <w:b/>
                <w:bCs/>
              </w:rPr>
              <w:t></w:t>
            </w: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Zarate-Ortiz, et al., (2019)</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M</w:t>
            </w:r>
            <w:r w:rsidRPr="00C4330D">
              <w:t>exico</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p w:rsidR="00243409" w:rsidRPr="00C4330D" w:rsidRDefault="00243409" w:rsidP="00CD52BD">
            <w:pPr>
              <w:rPr>
                <w:rFonts w:asciiTheme="majorBidi" w:hAnsiTheme="majorBidi" w:cstheme="majorBidi"/>
              </w:rPr>
            </w:pPr>
            <w:r w:rsidRPr="00C4330D">
              <w:rPr>
                <w:rFonts w:asciiTheme="majorBidi" w:hAnsiTheme="majorBidi" w:cstheme="majorBidi"/>
              </w:rPr>
              <w:t>COM</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850"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Ferreira, (2020)</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Brazil</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CWS</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850"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p>
        </w:tc>
      </w:tr>
      <w:tr w:rsidR="00243409" w:rsidRPr="00C4330D" w:rsidTr="00CD52BD">
        <w:tc>
          <w:tcPr>
            <w:tcW w:w="2263" w:type="dxa"/>
          </w:tcPr>
          <w:p w:rsidR="00243409" w:rsidRPr="00C4330D" w:rsidRDefault="00243409" w:rsidP="00CD52BD">
            <w:pPr>
              <w:rPr>
                <w:rFonts w:asciiTheme="majorBidi" w:hAnsiTheme="majorBidi" w:cstheme="majorBidi"/>
              </w:rPr>
            </w:pPr>
            <w:r w:rsidRPr="00C4330D">
              <w:rPr>
                <w:rFonts w:asciiTheme="majorBidi" w:hAnsiTheme="majorBidi" w:cstheme="majorBidi"/>
              </w:rPr>
              <w:t>Farah, et al., (2021)</w:t>
            </w:r>
          </w:p>
        </w:tc>
        <w:tc>
          <w:tcPr>
            <w:tcW w:w="1276" w:type="dxa"/>
          </w:tcPr>
          <w:p w:rsidR="00243409" w:rsidRPr="00C4330D" w:rsidRDefault="00243409" w:rsidP="00CD52BD">
            <w:pPr>
              <w:rPr>
                <w:rFonts w:asciiTheme="majorBidi" w:hAnsiTheme="majorBidi" w:cstheme="majorBidi"/>
              </w:rPr>
            </w:pPr>
            <w:r w:rsidRPr="00C4330D">
              <w:rPr>
                <w:rFonts w:asciiTheme="majorBidi" w:hAnsiTheme="majorBidi" w:cstheme="majorBidi"/>
              </w:rPr>
              <w:t>Ethiopia</w:t>
            </w:r>
          </w:p>
        </w:tc>
        <w:tc>
          <w:tcPr>
            <w:tcW w:w="1570" w:type="dxa"/>
          </w:tcPr>
          <w:p w:rsidR="00243409" w:rsidRPr="00C4330D" w:rsidRDefault="00243409" w:rsidP="00CD52BD">
            <w:pPr>
              <w:rPr>
                <w:rFonts w:asciiTheme="majorBidi" w:hAnsiTheme="majorBidi" w:cstheme="majorBidi"/>
              </w:rPr>
            </w:pPr>
            <w:r w:rsidRPr="00C4330D">
              <w:rPr>
                <w:rFonts w:asciiTheme="majorBidi" w:hAnsiTheme="majorBidi" w:cstheme="majorBidi"/>
              </w:rPr>
              <w:t>CSO</w:t>
            </w:r>
          </w:p>
        </w:tc>
        <w:tc>
          <w:tcPr>
            <w:tcW w:w="556"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Wingdings 2" w:hAnsi="Wingdings 2"/>
                <w:b/>
                <w:bCs/>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8" w:type="dxa"/>
          </w:tcPr>
          <w:p w:rsidR="00243409" w:rsidRPr="00C4330D" w:rsidRDefault="00243409" w:rsidP="00CD52BD">
            <w:pPr>
              <w:rPr>
                <w:rFonts w:ascii="Wingdings 2" w:hAnsi="Wingdings 2"/>
                <w:b/>
                <w:bCs/>
              </w:rPr>
            </w:pPr>
          </w:p>
        </w:tc>
        <w:tc>
          <w:tcPr>
            <w:tcW w:w="567"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567"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788" w:type="dxa"/>
          </w:tcPr>
          <w:p w:rsidR="00243409" w:rsidRPr="00C4330D" w:rsidRDefault="00243409" w:rsidP="00CD52BD">
            <w:pPr>
              <w:rPr>
                <w:rFonts w:asciiTheme="majorBidi" w:hAnsiTheme="majorBidi" w:cstheme="majorBidi"/>
              </w:rPr>
            </w:pPr>
          </w:p>
        </w:tc>
        <w:tc>
          <w:tcPr>
            <w:tcW w:w="850" w:type="dxa"/>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p>
        </w:tc>
        <w:tc>
          <w:tcPr>
            <w:tcW w:w="709" w:type="dxa"/>
          </w:tcPr>
          <w:p w:rsidR="00243409" w:rsidRPr="00C4330D" w:rsidRDefault="00243409" w:rsidP="00CD52BD">
            <w:pPr>
              <w:rPr>
                <w:rFonts w:ascii="Wingdings 2" w:hAnsi="Wingdings 2"/>
                <w:b/>
                <w:bCs/>
              </w:rPr>
            </w:pPr>
            <w:r w:rsidRPr="00C4330D">
              <w:rPr>
                <w:rFonts w:ascii="Wingdings 2" w:hAnsi="Wingdings 2"/>
                <w:b/>
                <w:bCs/>
              </w:rPr>
              <w:t></w:t>
            </w:r>
          </w:p>
        </w:tc>
        <w:tc>
          <w:tcPr>
            <w:tcW w:w="709" w:type="dxa"/>
          </w:tcPr>
          <w:p w:rsidR="00243409" w:rsidRPr="00C4330D" w:rsidRDefault="00243409" w:rsidP="00CD52BD">
            <w:pPr>
              <w:rPr>
                <w:rFonts w:asciiTheme="majorBidi" w:hAnsiTheme="majorBidi" w:cstheme="majorBidi"/>
              </w:rPr>
            </w:pPr>
            <w:r w:rsidRPr="00C4330D">
              <w:rPr>
                <w:rFonts w:ascii="Wingdings 2" w:hAnsi="Wingdings 2"/>
                <w:b/>
                <w:bCs/>
              </w:rPr>
              <w:t></w:t>
            </w:r>
          </w:p>
        </w:tc>
      </w:tr>
    </w:tbl>
    <w:p w:rsidR="00243409" w:rsidRPr="00C4330D" w:rsidRDefault="00243409" w:rsidP="00243409">
      <w:pPr>
        <w:spacing w:after="0" w:line="240" w:lineRule="auto"/>
        <w:rPr>
          <w:rFonts w:asciiTheme="majorBidi" w:hAnsiTheme="majorBidi" w:cstheme="majorBidi"/>
          <w:vertAlign w:val="superscript"/>
        </w:rPr>
      </w:pPr>
      <w:r w:rsidRPr="00C4330D">
        <w:rPr>
          <w:rFonts w:asciiTheme="majorBidi" w:hAnsiTheme="majorBidi" w:cstheme="majorBidi"/>
          <w:vertAlign w:val="superscript"/>
        </w:rPr>
        <w:t xml:space="preserve">CWS = Coexistence of wasting with stunting, CFU = Coexisting forms of undernutrition, CSO = Coexistence of overweight/obesity with stunting, COM= Coexistence of overweight/obesity with micronutrient related malnutrition. </w:t>
      </w:r>
    </w:p>
    <w:p w:rsidR="00D56072" w:rsidRDefault="00243409" w:rsidP="00243409">
      <w:pPr>
        <w:rPr>
          <w:rFonts w:asciiTheme="majorBidi" w:hAnsiTheme="majorBidi" w:cstheme="majorBidi"/>
          <w:vertAlign w:val="superscript"/>
        </w:rPr>
      </w:pPr>
      <w:r w:rsidRPr="00C4330D">
        <w:rPr>
          <w:rFonts w:asciiTheme="majorBidi" w:hAnsiTheme="majorBidi" w:cstheme="majorBidi"/>
          <w:vertAlign w:val="superscript"/>
        </w:rPr>
        <w:t>* Islam &amp; Biswas (2019) assessed the determinants of coexistence of underweight with wasting (CUW), coexistence of underweight with stunting (CUS), and coexistence of underweight with wasting and stunting (CUWS), jointly.  Thus, they assessed the determinants of coexisting forms of undernutrition, i.e., CFU</w:t>
      </w:r>
    </w:p>
    <w:p w:rsidR="00243409" w:rsidRDefault="00243409" w:rsidP="00243409">
      <w:pPr>
        <w:rPr>
          <w:rFonts w:asciiTheme="majorBidi" w:hAnsiTheme="majorBidi" w:cstheme="majorBidi"/>
          <w:vertAlign w:val="superscript"/>
        </w:rPr>
      </w:pPr>
    </w:p>
    <w:p w:rsidR="00243409" w:rsidRDefault="00243409" w:rsidP="00243409">
      <w:pPr>
        <w:rPr>
          <w:rFonts w:asciiTheme="majorBidi" w:hAnsiTheme="majorBidi" w:cstheme="majorBidi"/>
          <w:vertAlign w:val="superscript"/>
        </w:rPr>
      </w:pPr>
    </w:p>
    <w:p w:rsidR="00243409" w:rsidRDefault="00243409" w:rsidP="00243409">
      <w:pPr>
        <w:rPr>
          <w:rFonts w:asciiTheme="majorBidi" w:hAnsiTheme="majorBidi" w:cstheme="majorBidi"/>
          <w:vertAlign w:val="superscript"/>
        </w:rPr>
      </w:pPr>
    </w:p>
    <w:p w:rsidR="00243409" w:rsidRDefault="00243409" w:rsidP="00243409">
      <w:pPr>
        <w:rPr>
          <w:rFonts w:asciiTheme="majorBidi" w:hAnsiTheme="majorBidi" w:cstheme="majorBidi"/>
          <w:vertAlign w:val="superscript"/>
        </w:rPr>
      </w:pPr>
    </w:p>
    <w:p w:rsidR="00243409" w:rsidRPr="00C4330D" w:rsidRDefault="00243409" w:rsidP="00243409">
      <w:pPr>
        <w:pStyle w:val="Quote"/>
        <w:rPr>
          <w:sz w:val="22"/>
          <w:szCs w:val="22"/>
        </w:rPr>
      </w:pPr>
      <w:bookmarkStart w:id="0" w:name="_Toc43162499"/>
      <w:bookmarkStart w:id="1" w:name="_Toc43163585"/>
      <w:bookmarkStart w:id="2" w:name="_Toc43164694"/>
      <w:bookmarkStart w:id="3" w:name="_Toc43897327"/>
      <w:bookmarkStart w:id="4" w:name="_Toc43897975"/>
      <w:bookmarkStart w:id="5" w:name="_Toc43911806"/>
      <w:bookmarkStart w:id="6" w:name="_Toc43913115"/>
      <w:r w:rsidRPr="00C4330D">
        <w:rPr>
          <w:sz w:val="22"/>
          <w:szCs w:val="22"/>
        </w:rPr>
        <w:lastRenderedPageBreak/>
        <w:t>Table-5: Anthropometry assessment method</w:t>
      </w:r>
      <w:bookmarkEnd w:id="0"/>
      <w:bookmarkEnd w:id="1"/>
      <w:bookmarkEnd w:id="2"/>
      <w:bookmarkEnd w:id="3"/>
      <w:bookmarkEnd w:id="4"/>
      <w:bookmarkEnd w:id="5"/>
      <w:bookmarkEnd w:id="6"/>
    </w:p>
    <w:tbl>
      <w:tblPr>
        <w:tblStyle w:val="TableGrid"/>
        <w:tblW w:w="8648" w:type="dxa"/>
        <w:jc w:val="center"/>
        <w:tblLayout w:type="fixed"/>
        <w:tblLook w:val="04A0" w:firstRow="1" w:lastRow="0" w:firstColumn="1" w:lastColumn="0" w:noHBand="0" w:noVBand="1"/>
      </w:tblPr>
      <w:tblGrid>
        <w:gridCol w:w="2978"/>
        <w:gridCol w:w="1701"/>
        <w:gridCol w:w="1559"/>
        <w:gridCol w:w="1134"/>
        <w:gridCol w:w="1276"/>
      </w:tblGrid>
      <w:tr w:rsidR="00243409" w:rsidRPr="00C4330D" w:rsidTr="00CD52BD">
        <w:trPr>
          <w:cantSplit/>
          <w:trHeight w:val="902"/>
          <w:jc w:val="center"/>
        </w:trPr>
        <w:tc>
          <w:tcPr>
            <w:tcW w:w="2978" w:type="dxa"/>
            <w:shd w:val="clear" w:color="auto" w:fill="auto"/>
          </w:tcPr>
          <w:p w:rsidR="00243409" w:rsidRPr="00C4330D" w:rsidRDefault="00243409" w:rsidP="00CD52BD">
            <w:pPr>
              <w:rPr>
                <w:rFonts w:asciiTheme="majorBidi" w:hAnsiTheme="majorBidi" w:cstheme="majorBidi"/>
              </w:rPr>
            </w:pPr>
          </w:p>
        </w:tc>
        <w:tc>
          <w:tcPr>
            <w:tcW w:w="1701"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National centre for health statistics (n=3)</w:t>
            </w: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 xml:space="preserve">WHO Child growth standard, 2006 </w:t>
            </w:r>
          </w:p>
          <w:p w:rsidR="00243409" w:rsidRPr="00C4330D" w:rsidRDefault="00243409" w:rsidP="00CD52BD">
            <w:pPr>
              <w:rPr>
                <w:rFonts w:asciiTheme="majorBidi" w:hAnsiTheme="majorBidi" w:cstheme="majorBidi"/>
              </w:rPr>
            </w:pPr>
            <w:r w:rsidRPr="00C4330D">
              <w:rPr>
                <w:rFonts w:asciiTheme="majorBidi" w:hAnsiTheme="majorBidi" w:cstheme="majorBidi"/>
              </w:rPr>
              <w:t>(n=15)</w:t>
            </w:r>
          </w:p>
        </w:tc>
        <w:tc>
          <w:tcPr>
            <w:tcW w:w="1134"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 xml:space="preserve">Chinese growth reference (n=1) </w:t>
            </w:r>
          </w:p>
        </w:tc>
        <w:tc>
          <w:tcPr>
            <w:tcW w:w="1276"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Others (n=2)</w:t>
            </w: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Florencio, et al., (2001)</w:t>
            </w:r>
          </w:p>
        </w:tc>
        <w:tc>
          <w:tcPr>
            <w:tcW w:w="1701"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559" w:type="dxa"/>
            <w:shd w:val="clear" w:color="auto" w:fill="auto"/>
          </w:tcPr>
          <w:p w:rsidR="00243409" w:rsidRPr="00C4330D" w:rsidRDefault="00243409" w:rsidP="00CD52BD">
            <w:pPr>
              <w:rPr>
                <w:rFonts w:ascii="Wingdings 2" w:hAnsi="Wingdings 2"/>
                <w:b/>
                <w:bCs/>
              </w:rPr>
            </w:pP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Fernald &amp; Neufeld (2007)</w:t>
            </w:r>
          </w:p>
        </w:tc>
        <w:tc>
          <w:tcPr>
            <w:tcW w:w="1701"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559" w:type="dxa"/>
            <w:shd w:val="clear" w:color="auto" w:fill="auto"/>
          </w:tcPr>
          <w:p w:rsidR="00243409" w:rsidRPr="00C4330D" w:rsidRDefault="00243409" w:rsidP="00CD52BD">
            <w:pPr>
              <w:rPr>
                <w:rFonts w:asciiTheme="majorBidi" w:hAnsiTheme="majorBidi" w:cstheme="majorBidi"/>
              </w:rPr>
            </w:pP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r w:rsidRPr="00C4330D">
              <w:rPr>
                <w:rFonts w:asciiTheme="majorBidi" w:hAnsiTheme="majorBidi" w:cstheme="majorBidi"/>
                <w:vertAlign w:val="superscript"/>
              </w:rPr>
              <w:t xml:space="preserve"> α</w:t>
            </w:r>
            <w:r w:rsidRPr="00C4330D">
              <w:rPr>
                <w:rFonts w:asciiTheme="majorBidi" w:hAnsiTheme="majorBidi" w:cstheme="majorBidi"/>
              </w:rPr>
              <w:t xml:space="preserve"> </w:t>
            </w: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Severi</w:t>
            </w:r>
            <w:proofErr w:type="spellEnd"/>
            <w:r w:rsidRPr="00C4330D">
              <w:rPr>
                <w:rFonts w:asciiTheme="majorBidi" w:hAnsiTheme="majorBidi" w:cstheme="majorBidi"/>
              </w:rPr>
              <w:t xml:space="preserve"> &amp; </w:t>
            </w:r>
            <w:proofErr w:type="spellStart"/>
            <w:r w:rsidRPr="00C4330D">
              <w:rPr>
                <w:rFonts w:asciiTheme="majorBidi" w:hAnsiTheme="majorBidi" w:cstheme="majorBidi"/>
              </w:rPr>
              <w:t>Moratorio</w:t>
            </w:r>
            <w:proofErr w:type="spellEnd"/>
            <w:r w:rsidRPr="00C4330D">
              <w:rPr>
                <w:rFonts w:asciiTheme="majorBidi" w:hAnsiTheme="majorBidi" w:cstheme="majorBidi"/>
              </w:rPr>
              <w:t>, (2014)</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Kinyoki</w:t>
            </w:r>
            <w:proofErr w:type="spellEnd"/>
            <w:r w:rsidRPr="00C4330D">
              <w:rPr>
                <w:rFonts w:asciiTheme="majorBidi" w:hAnsiTheme="majorBidi" w:cstheme="majorBidi"/>
              </w:rPr>
              <w:t>, et al., (2016)</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Rachmi</w:t>
            </w:r>
            <w:proofErr w:type="spellEnd"/>
            <w:r w:rsidRPr="00C4330D">
              <w:rPr>
                <w:rFonts w:asciiTheme="majorBidi" w:hAnsiTheme="majorBidi" w:cstheme="majorBidi"/>
              </w:rPr>
              <w:t>, et al., (2016)</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r w:rsidRPr="00C4330D">
              <w:rPr>
                <w:rFonts w:asciiTheme="majorBidi" w:hAnsiTheme="majorBidi" w:cstheme="majorBidi"/>
                <w:vertAlign w:val="superscript"/>
              </w:rPr>
              <w:t xml:space="preserve"> ∞</w:t>
            </w:r>
            <w:r w:rsidRPr="00C4330D">
              <w:rPr>
                <w:rFonts w:asciiTheme="majorBidi" w:hAnsiTheme="majorBidi" w:cstheme="majorBidi"/>
              </w:rPr>
              <w:t xml:space="preserve"> </w:t>
            </w: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Saaka</w:t>
            </w:r>
            <w:proofErr w:type="spellEnd"/>
            <w:r w:rsidRPr="00C4330D">
              <w:rPr>
                <w:rFonts w:asciiTheme="majorBidi" w:hAnsiTheme="majorBidi" w:cstheme="majorBidi"/>
              </w:rPr>
              <w:t xml:space="preserve"> &amp; </w:t>
            </w:r>
            <w:proofErr w:type="spellStart"/>
            <w:r w:rsidRPr="00C4330D">
              <w:rPr>
                <w:rFonts w:asciiTheme="majorBidi" w:hAnsiTheme="majorBidi" w:cstheme="majorBidi"/>
              </w:rPr>
              <w:t>Galaa</w:t>
            </w:r>
            <w:proofErr w:type="spellEnd"/>
            <w:r w:rsidRPr="00C4330D">
              <w:rPr>
                <w:rFonts w:asciiTheme="majorBidi" w:hAnsiTheme="majorBidi" w:cstheme="majorBidi"/>
              </w:rPr>
              <w:t>, (2016)</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Wingdings 2" w:hAnsi="Wingdings 2"/>
                <w:b/>
                <w:bCs/>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Zhang, et al., (2016)</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p>
        </w:tc>
        <w:tc>
          <w:tcPr>
            <w:tcW w:w="1134"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Mgongo</w:t>
            </w:r>
            <w:proofErr w:type="spellEnd"/>
            <w:r w:rsidRPr="00C4330D">
              <w:rPr>
                <w:rFonts w:asciiTheme="majorBidi" w:hAnsiTheme="majorBidi" w:cstheme="majorBidi"/>
              </w:rPr>
              <w:t>, et al., (2017)</w:t>
            </w:r>
          </w:p>
        </w:tc>
        <w:tc>
          <w:tcPr>
            <w:tcW w:w="1701" w:type="dxa"/>
            <w:shd w:val="clear" w:color="auto" w:fill="auto"/>
          </w:tcPr>
          <w:p w:rsidR="00243409" w:rsidRPr="00C4330D" w:rsidRDefault="00243409" w:rsidP="00CD52BD">
            <w:pPr>
              <w:rPr>
                <w:rFonts w:ascii="Wingdings 2" w:hAnsi="Wingdings 2"/>
                <w:b/>
                <w:bCs/>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Minh Do, et al., (2018)</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Zhang, et al., (2018)</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Wingdings 2" w:hAnsi="Wingdings 2"/>
                <w:b/>
                <w:bCs/>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Fongar</w:t>
            </w:r>
            <w:proofErr w:type="spellEnd"/>
            <w:r w:rsidRPr="00C4330D">
              <w:rPr>
                <w:rFonts w:asciiTheme="majorBidi" w:hAnsiTheme="majorBidi" w:cstheme="majorBidi"/>
              </w:rPr>
              <w:t xml:space="preserve"> et al., (2019)</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proofErr w:type="spellStart"/>
            <w:r w:rsidRPr="00C4330D">
              <w:rPr>
                <w:rFonts w:asciiTheme="majorBidi" w:hAnsiTheme="majorBidi" w:cstheme="majorBidi"/>
              </w:rPr>
              <w:t>Garanne</w:t>
            </w:r>
            <w:proofErr w:type="spellEnd"/>
            <w:r w:rsidRPr="00C4330D">
              <w:rPr>
                <w:rFonts w:asciiTheme="majorBidi" w:hAnsiTheme="majorBidi" w:cstheme="majorBidi"/>
              </w:rPr>
              <w:t>, et al., (2019)</w:t>
            </w:r>
          </w:p>
        </w:tc>
        <w:tc>
          <w:tcPr>
            <w:tcW w:w="1701"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559" w:type="dxa"/>
            <w:shd w:val="clear" w:color="auto" w:fill="auto"/>
          </w:tcPr>
          <w:p w:rsidR="00243409" w:rsidRPr="00C4330D" w:rsidRDefault="00243409" w:rsidP="00CD52BD">
            <w:pPr>
              <w:rPr>
                <w:rFonts w:asciiTheme="majorBidi" w:hAnsiTheme="majorBidi" w:cstheme="majorBidi"/>
              </w:rPr>
            </w:pP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Islam &amp; Biswas, (2019)</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Wingdings 2" w:hAnsi="Wingdings 2"/>
                <w:b/>
                <w:bCs/>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Varghese &amp; Stein (2019)</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Yasmin, et al., (2019)</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Zarate-Ortiz, et al., (2019)</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Ferreira, (2020)</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Farah, et al (2021)</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p>
        </w:tc>
      </w:tr>
      <w:tr w:rsidR="00243409" w:rsidRPr="00C4330D" w:rsidTr="00CD52BD">
        <w:trPr>
          <w:jc w:val="center"/>
        </w:trPr>
        <w:tc>
          <w:tcPr>
            <w:tcW w:w="2978" w:type="dxa"/>
            <w:shd w:val="clear" w:color="auto" w:fill="auto"/>
          </w:tcPr>
          <w:p w:rsidR="00243409" w:rsidRPr="00C4330D" w:rsidRDefault="00243409" w:rsidP="00CD52BD">
            <w:pPr>
              <w:rPr>
                <w:rFonts w:asciiTheme="majorBidi" w:hAnsiTheme="majorBidi" w:cstheme="majorBidi"/>
              </w:rPr>
            </w:pPr>
            <w:r w:rsidRPr="00C4330D">
              <w:rPr>
                <w:rFonts w:asciiTheme="majorBidi" w:hAnsiTheme="majorBidi" w:cstheme="majorBidi"/>
              </w:rPr>
              <w:t>Zhang, et al., (2021)</w:t>
            </w:r>
          </w:p>
        </w:tc>
        <w:tc>
          <w:tcPr>
            <w:tcW w:w="1701" w:type="dxa"/>
            <w:shd w:val="clear" w:color="auto" w:fill="auto"/>
          </w:tcPr>
          <w:p w:rsidR="00243409" w:rsidRPr="00C4330D" w:rsidRDefault="00243409" w:rsidP="00CD52BD">
            <w:pPr>
              <w:rPr>
                <w:rFonts w:asciiTheme="majorBidi" w:hAnsiTheme="majorBidi" w:cstheme="majorBidi"/>
              </w:rPr>
            </w:pPr>
          </w:p>
        </w:tc>
        <w:tc>
          <w:tcPr>
            <w:tcW w:w="1559" w:type="dxa"/>
            <w:shd w:val="clear" w:color="auto" w:fill="auto"/>
          </w:tcPr>
          <w:p w:rsidR="00243409" w:rsidRPr="00C4330D" w:rsidRDefault="00243409" w:rsidP="00CD52BD">
            <w:pPr>
              <w:rPr>
                <w:rFonts w:ascii="Wingdings 2" w:hAnsi="Wingdings 2"/>
                <w:b/>
                <w:bCs/>
              </w:rPr>
            </w:pPr>
            <w:r w:rsidRPr="00C4330D">
              <w:rPr>
                <w:rFonts w:ascii="Wingdings 2" w:hAnsi="Wingdings 2"/>
                <w:b/>
                <w:bCs/>
              </w:rPr>
              <w:t></w:t>
            </w:r>
          </w:p>
        </w:tc>
        <w:tc>
          <w:tcPr>
            <w:tcW w:w="1134" w:type="dxa"/>
            <w:shd w:val="clear" w:color="auto" w:fill="auto"/>
          </w:tcPr>
          <w:p w:rsidR="00243409" w:rsidRPr="00C4330D" w:rsidRDefault="00243409" w:rsidP="00CD52BD">
            <w:pPr>
              <w:rPr>
                <w:rFonts w:asciiTheme="majorBidi" w:hAnsiTheme="majorBidi" w:cstheme="majorBidi"/>
              </w:rPr>
            </w:pPr>
          </w:p>
        </w:tc>
        <w:tc>
          <w:tcPr>
            <w:tcW w:w="1276" w:type="dxa"/>
            <w:shd w:val="clear" w:color="auto" w:fill="auto"/>
          </w:tcPr>
          <w:p w:rsidR="00243409" w:rsidRPr="00C4330D" w:rsidRDefault="00243409" w:rsidP="00CD52BD">
            <w:pPr>
              <w:rPr>
                <w:rFonts w:asciiTheme="majorBidi" w:hAnsiTheme="majorBidi" w:cstheme="majorBidi"/>
              </w:rPr>
            </w:pPr>
            <w:r w:rsidRPr="00C4330D">
              <w:rPr>
                <w:rFonts w:ascii="Wingdings 2" w:hAnsi="Wingdings 2"/>
                <w:b/>
                <w:bCs/>
              </w:rPr>
              <w:t></w:t>
            </w:r>
            <w:r w:rsidRPr="00C4330D">
              <w:rPr>
                <w:rFonts w:ascii="Times New Roman" w:hAnsi="Times New Roman" w:cs="Times New Roman"/>
                <w:b/>
                <w:bCs/>
                <w:vertAlign w:val="superscript"/>
              </w:rPr>
              <w:t>⁎</w:t>
            </w:r>
          </w:p>
        </w:tc>
      </w:tr>
    </w:tbl>
    <w:p w:rsidR="00243409" w:rsidRPr="00C4330D" w:rsidRDefault="00243409" w:rsidP="00243409">
      <w:pPr>
        <w:spacing w:after="0" w:line="240" w:lineRule="auto"/>
        <w:ind w:right="113"/>
        <w:rPr>
          <w:rFonts w:asciiTheme="majorBidi" w:hAnsiTheme="majorBidi" w:cstheme="majorBidi"/>
          <w:vertAlign w:val="superscript"/>
        </w:rPr>
      </w:pPr>
      <w:r w:rsidRPr="00C4330D">
        <w:rPr>
          <w:rFonts w:asciiTheme="majorBidi" w:hAnsiTheme="majorBidi" w:cstheme="majorBidi"/>
          <w:vertAlign w:val="superscript"/>
        </w:rPr>
        <w:t>∞ = Pan and LMS growth program, α = Anthropometric standardization reference manual and Standardization of quantitative epidemiological methods in the field, * = WHO child growth reference-2007.</w:t>
      </w:r>
    </w:p>
    <w:p w:rsidR="00243409" w:rsidRDefault="00243409" w:rsidP="00243409">
      <w:bookmarkStart w:id="7" w:name="_GoBack"/>
      <w:bookmarkEnd w:id="7"/>
    </w:p>
    <w:sectPr w:rsidR="002434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409"/>
    <w:rsid w:val="00243409"/>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51E81"/>
  <w15:chartTrackingRefBased/>
  <w15:docId w15:val="{5458D440-6D72-4380-98AA-AE9C768A5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409"/>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3409"/>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243409"/>
    <w:pPr>
      <w:spacing w:before="100" w:after="200" w:line="276" w:lineRule="auto"/>
    </w:pPr>
    <w:rPr>
      <w:rFonts w:eastAsiaTheme="minorEastAsia"/>
      <w:i/>
      <w:iCs/>
      <w:sz w:val="24"/>
      <w:szCs w:val="24"/>
    </w:rPr>
  </w:style>
  <w:style w:type="character" w:customStyle="1" w:styleId="QuoteChar">
    <w:name w:val="Quote Char"/>
    <w:basedOn w:val="DefaultParagraphFont"/>
    <w:link w:val="Quote"/>
    <w:uiPriority w:val="29"/>
    <w:rsid w:val="00243409"/>
    <w:rPr>
      <w:rFonts w:eastAsiaTheme="minorEastAsia"/>
      <w:i/>
      <w:iCs/>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403</Words>
  <Characters>2299</Characters>
  <Application>Microsoft Office Word</Application>
  <DocSecurity>0</DocSecurity>
  <Lines>19</Lines>
  <Paragraphs>5</Paragraphs>
  <ScaleCrop>false</ScaleCrop>
  <Company>Springer Nature IT</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2021-06-23T05:07:00Z</dcterms:created>
  <dcterms:modified xsi:type="dcterms:W3CDTF">2021-06-23T05:07:00Z</dcterms:modified>
</cp:coreProperties>
</file>