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24"/>
        </w:rPr>
      </w:pPr>
      <w:r>
        <w:rPr>
          <w:rFonts w:ascii="Times New Roman" w:hAnsi="Times New Roman" w:cs="Times New Roman"/>
          <w:b/>
          <w:sz w:val="24"/>
        </w:rPr>
        <w:t>Supplementary materials</w:t>
      </w:r>
    </w:p>
    <w:p>
      <w:pPr>
        <w:rPr>
          <w:rFonts w:ascii="Times New Roman" w:hAnsi="Times New Roman" w:cs="Times New Roman"/>
          <w:b/>
          <w:sz w:val="24"/>
        </w:rPr>
      </w:pPr>
      <w:r>
        <w:rPr>
          <w:rFonts w:ascii="Times New Roman" w:hAnsi="Times New Roman" w:cs="Times New Roman"/>
          <w:b/>
          <w:sz w:val="24"/>
        </w:rPr>
        <w:t>Supplementary methods</w:t>
      </w:r>
    </w:p>
    <w:p>
      <w:pPr>
        <w:rPr>
          <w:rFonts w:ascii="Times New Roman" w:hAnsi="Times New Roman" w:cs="Times New Roman"/>
          <w:b/>
          <w:sz w:val="24"/>
        </w:rPr>
      </w:pPr>
      <w:r>
        <w:rPr>
          <w:rFonts w:ascii="Times New Roman" w:hAnsi="Times New Roman" w:cs="Times New Roman"/>
          <w:b/>
          <w:sz w:val="24"/>
        </w:rPr>
        <w:t>Mitochondrial DNA (mtDNA) sequencing</w:t>
      </w:r>
    </w:p>
    <w:p>
      <w:pPr>
        <w:rPr>
          <w:rFonts w:ascii="Times New Roman" w:hAnsi="Times New Roman" w:cs="Times New Roman"/>
          <w:sz w:val="24"/>
        </w:rPr>
      </w:pPr>
      <w:r>
        <w:rPr>
          <w:rFonts w:ascii="Times New Roman" w:hAnsi="Times New Roman" w:cs="Times New Roman"/>
          <w:sz w:val="24"/>
        </w:rPr>
        <w:t xml:space="preserve">mtDNA was extracted from at least 2 ml of ethylenediaminetetraacetic acid (EDTA) anti-coagulated peripheral blood using the mitochondrial DNA extraction kit, and amplified using PCR with the high-fidelity DNA polymerase. The amplificated mtDNA was separated by agarose gel electrophoresis and purified using the Gel extraction kit. Genomic DNA was sheared to about 200 bp fragments using Cavoris sonicator (Covaris, Woburn, MA, USA). Adenine was added to the 3' end of the repaired blunt-end of the DNA for the following ligation reaction, and the ligation of adapter and the A-tailing end was catalyzed by T4 DNA ligase (Thermo Scientific, USA). The ligated DNA products were amplified by 4-6 rounds of ligation-mediated PCR, and the PCR products were purified with magnetic beads method. The length of the inserted fragments was detected using Agilent 2100 Bioanalyzer (Agilent, Santa Clara, CA, USA), and the effective concentration were quantified by real-time PCR. The library prepared with PE150 (paired-ended 150bp) was sequenced on the Novaseq6000 (Illumina, Mountain View, CA, USA). </w:t>
      </w:r>
    </w:p>
    <w:p>
      <w:pPr>
        <w:rPr>
          <w:rFonts w:ascii="Times New Roman" w:hAnsi="Times New Roman" w:cs="Times New Roman"/>
          <w:sz w:val="24"/>
        </w:rPr>
      </w:pPr>
      <w:r>
        <w:rPr>
          <w:rFonts w:ascii="Times New Roman" w:hAnsi="Times New Roman" w:cs="Times New Roman"/>
          <w:sz w:val="24"/>
        </w:rPr>
        <w:t>The sequenced data after quality control were aligned to the reference sequence NC_012920 (human complete mitochondrial genome 16,569bp circular DNA) by BWA (</w:t>
      </w:r>
      <w:r>
        <w:fldChar w:fldCharType="begin"/>
      </w:r>
      <w:r>
        <w:instrText xml:space="preserve"> HYPERLINK "http://bio-bwa.sourceforge.net/" </w:instrText>
      </w:r>
      <w:r>
        <w:fldChar w:fldCharType="separate"/>
      </w:r>
      <w:r>
        <w:rPr>
          <w:rFonts w:ascii="Times New Roman" w:hAnsi="Times New Roman" w:cs="Times New Roman"/>
          <w:sz w:val="24"/>
        </w:rPr>
        <w:t>http://bio-bwa.sourceforge.net/</w:t>
      </w:r>
      <w:r>
        <w:rPr>
          <w:rFonts w:ascii="Times New Roman" w:hAnsi="Times New Roman" w:cs="Times New Roman"/>
          <w:sz w:val="24"/>
        </w:rPr>
        <w:fldChar w:fldCharType="end"/>
      </w:r>
      <w:r>
        <w:rPr>
          <w:rFonts w:ascii="Times New Roman" w:hAnsi="Times New Roman" w:cs="Times New Roman"/>
          <w:sz w:val="24"/>
        </w:rPr>
        <w:t>). Samtools and pindel software packages were used for SNP and indel calling, respectively. The depth and quality of reads were adjustable to screen reliable variants.</w:t>
      </w:r>
    </w:p>
    <w:p>
      <w:pPr>
        <w:rPr>
          <w:rFonts w:ascii="Times New Roman" w:hAnsi="Times New Roman" w:cs="Times New Roman"/>
          <w:sz w:val="24"/>
        </w:rPr>
      </w:pPr>
      <w:r>
        <w:rPr>
          <w:rFonts w:ascii="Times New Roman" w:hAnsi="Times New Roman" w:cs="Times New Roman"/>
          <w:sz w:val="24"/>
        </w:rPr>
        <w:t>Finally, the variants were mapped to references mutations in the MITOMAP human mitochondrial genome database, and “confirmed pathogenic” and “likely pathogenic” variants according to the MITOtip.</w:t>
      </w:r>
    </w:p>
    <w:p>
      <w:pPr>
        <w:rPr>
          <w:rFonts w:ascii="Times New Roman" w:hAnsi="Times New Roman" w:cs="Times New Roman"/>
          <w:b/>
          <w:sz w:val="24"/>
        </w:rPr>
      </w:pPr>
      <w:r>
        <w:rPr>
          <w:rFonts w:ascii="Times New Roman" w:hAnsi="Times New Roman" w:cs="Times New Roman"/>
          <w:b/>
          <w:sz w:val="24"/>
        </w:rPr>
        <w:t>Whole exome sequencing (WES)</w:t>
      </w:r>
    </w:p>
    <w:p>
      <w:pPr>
        <w:rPr>
          <w:rFonts w:ascii="Times New Roman" w:hAnsi="Times New Roman" w:cs="Times New Roman"/>
          <w:sz w:val="24"/>
        </w:rPr>
      </w:pPr>
      <w:r>
        <w:rPr>
          <w:rFonts w:ascii="Times New Roman" w:hAnsi="Times New Roman" w:cs="Times New Roman"/>
          <w:sz w:val="24"/>
        </w:rPr>
        <w:t xml:space="preserve">Genomic DNA was extracted from EDTA anti-coagulated whole blood using the Wizard® Genomic DNA Purification Kit (Promega Corporation, Madison, WI, US) and the quantity and quality of DNA were measured using a NanoDrop2000 (Thermo Scientific, Waltham, MA, USA). Genomic DNA was captured with Nimble-Gen’s SeqCap EZ Human Exome Library v3.0 kit (Roche, Pleasanton, CA, USA). WES was performed on Illumina HiSeq2500 platform (Illumina Inc., San Diego, CA, USA) using the TruSeq Rapid PE Cluster kit V2 (Illumina Inc., San Diego, CA, USA). </w:t>
      </w:r>
    </w:p>
    <w:p>
      <w:pP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sz w:val="24"/>
        </w:rPr>
        <w:t xml:space="preserve">The sequence reads after quality control was aligned to NCBI Build 37 (hg19) by BWA tool, and duplicate reads were marked by Picard tools (https://github.com/broadinstitute/picard). The variants were called by GATK HaplotypeCaller and </w:t>
      </w:r>
      <w:r>
        <w:rPr>
          <w:rFonts w:ascii="Times New Roman" w:hAnsi="Times New Roman" w:cs="Times New Roman"/>
          <w:color w:val="000000" w:themeColor="text1"/>
          <w:sz w:val="24"/>
          <w14:textFill>
            <w14:solidFill>
              <w14:schemeClr w14:val="tx1"/>
            </w14:solidFill>
          </w14:textFill>
        </w:rPr>
        <w:t>annotated with VEP (</w:t>
      </w:r>
      <w:r>
        <w:fldChar w:fldCharType="begin"/>
      </w:r>
      <w:r>
        <w:instrText xml:space="preserve"> HYPERLINK "http://grch37.ensembl.org/info/docs/tools/vep/index.html" </w:instrText>
      </w:r>
      <w:r>
        <w:fldChar w:fldCharType="separate"/>
      </w:r>
      <w:r>
        <w:rPr>
          <w:rFonts w:ascii="Times New Roman" w:hAnsi="Times New Roman" w:cs="Times New Roman"/>
          <w:color w:val="000000" w:themeColor="text1"/>
          <w:sz w:val="24"/>
          <w14:textFill>
            <w14:solidFill>
              <w14:schemeClr w14:val="tx1"/>
            </w14:solidFill>
          </w14:textFill>
        </w:rPr>
        <w:t>http://grch37.ensembl.org/info/docs/tools/vep/index.html</w: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for their frequencies in gnomAD (</w:t>
      </w:r>
      <w:r>
        <w:fldChar w:fldCharType="begin"/>
      </w:r>
      <w:r>
        <w:instrText xml:space="preserve"> HYPERLINK "http://gnomad.broadinstitute.org/" </w:instrText>
      </w:r>
      <w:r>
        <w:fldChar w:fldCharType="separate"/>
      </w:r>
      <w:r>
        <w:rPr>
          <w:rStyle w:val="7"/>
          <w:rFonts w:ascii="Times New Roman" w:hAnsi="Times New Roman" w:cs="Times New Roman"/>
          <w:color w:val="000000" w:themeColor="text1"/>
          <w:sz w:val="24"/>
          <w14:textFill>
            <w14:solidFill>
              <w14:schemeClr w14:val="tx1"/>
            </w14:solidFill>
          </w14:textFill>
        </w:rPr>
        <w:t>http://gnomad.broadinstitute.org/</w:t>
      </w:r>
      <w:r>
        <w:rPr>
          <w:rStyle w:val="7"/>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Clinvar (http://www.ncbi.nlm.nih.gov/clinvar/), OMIM (</w:t>
      </w:r>
      <w:r>
        <w:fldChar w:fldCharType="begin"/>
      </w:r>
      <w:r>
        <w:instrText xml:space="preserve"> HYPERLINK "http://omim.org/" </w:instrText>
      </w:r>
      <w:r>
        <w:fldChar w:fldCharType="separate"/>
      </w:r>
      <w:r>
        <w:rPr>
          <w:rStyle w:val="7"/>
          <w:rFonts w:ascii="Times New Roman" w:hAnsi="Times New Roman" w:cs="Times New Roman"/>
          <w:color w:val="000000" w:themeColor="text1"/>
          <w:sz w:val="24"/>
          <w14:textFill>
            <w14:solidFill>
              <w14:schemeClr w14:val="tx1"/>
            </w14:solidFill>
          </w14:textFill>
        </w:rPr>
        <w:t>http://omim.org/</w:t>
      </w:r>
      <w:r>
        <w:rPr>
          <w:rStyle w:val="7"/>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and HGMD (http://www.biobase-international.com/product/hgmd).</w:t>
      </w:r>
      <w:r>
        <w:rPr>
          <w:rFonts w:ascii="Times New Roman" w:hAnsi="Times New Roman" w:cs="Times New Roman"/>
          <w:sz w:val="24"/>
        </w:rPr>
        <w:t xml:space="preserve"> </w:t>
      </w:r>
      <w:r>
        <w:rPr>
          <w:rFonts w:ascii="Times New Roman" w:hAnsi="Times New Roman" w:cs="Times New Roman"/>
          <w:color w:val="000000" w:themeColor="text1"/>
          <w:sz w:val="24"/>
          <w14:textFill>
            <w14:solidFill>
              <w14:schemeClr w14:val="tx1"/>
            </w14:solidFill>
          </w14:textFill>
        </w:rPr>
        <w:t>In silico tools, such as SIFT (</w:t>
      </w:r>
      <w:r>
        <w:fldChar w:fldCharType="begin"/>
      </w:r>
      <w:r>
        <w:instrText xml:space="preserve"> HYPERLINK "http://sift.jcvi.org/www/SIFT_enst_submit.html" </w:instrText>
      </w:r>
      <w:r>
        <w:fldChar w:fldCharType="separate"/>
      </w:r>
      <w:r>
        <w:rPr>
          <w:rStyle w:val="7"/>
          <w:rFonts w:ascii="Times New Roman" w:hAnsi="Times New Roman" w:cs="Times New Roman"/>
          <w:sz w:val="24"/>
        </w:rPr>
        <w:t>http://sift.jcvi.org/www/SIFT_enst_submit.html</w:t>
      </w:r>
      <w:r>
        <w:rPr>
          <w:rStyle w:val="7"/>
          <w:rFonts w:ascii="Times New Roman" w:hAnsi="Times New Roman" w:cs="Times New Roman"/>
          <w:sz w:val="24"/>
        </w:rPr>
        <w:fldChar w:fldCharType="end"/>
      </w:r>
      <w:r>
        <w:rPr>
          <w:rFonts w:ascii="Times New Roman" w:hAnsi="Times New Roman" w:cs="Times New Roman"/>
          <w:color w:val="000000" w:themeColor="text1"/>
          <w:sz w:val="24"/>
          <w14:textFill>
            <w14:solidFill>
              <w14:schemeClr w14:val="tx1"/>
            </w14:solidFill>
          </w14:textFill>
        </w:rPr>
        <w:t>), Polyphen-2 (</w:t>
      </w:r>
      <w:r>
        <w:fldChar w:fldCharType="begin"/>
      </w:r>
      <w:r>
        <w:instrText xml:space="preserve"> HYPERLINK "http://genetics.bwh.harvard.edu/pph2/" </w:instrText>
      </w:r>
      <w:r>
        <w:fldChar w:fldCharType="separate"/>
      </w:r>
      <w:r>
        <w:rPr>
          <w:rStyle w:val="7"/>
          <w:rFonts w:ascii="Times New Roman" w:hAnsi="Times New Roman" w:cs="Times New Roman"/>
          <w:sz w:val="24"/>
        </w:rPr>
        <w:t>http://genetics.bwh.harvard.edu/pph2/</w:t>
      </w:r>
      <w:r>
        <w:rPr>
          <w:rStyle w:val="7"/>
          <w:rFonts w:ascii="Times New Roman" w:hAnsi="Times New Roman" w:cs="Times New Roman"/>
          <w:sz w:val="24"/>
        </w:rPr>
        <w:fldChar w:fldCharType="end"/>
      </w:r>
      <w:r>
        <w:rPr>
          <w:rFonts w:ascii="Times New Roman" w:hAnsi="Times New Roman" w:cs="Times New Roman"/>
          <w:color w:val="000000" w:themeColor="text1"/>
          <w:sz w:val="24"/>
          <w14:textFill>
            <w14:solidFill>
              <w14:schemeClr w14:val="tx1"/>
            </w14:solidFill>
          </w14:textFill>
        </w:rPr>
        <w:t>）, Mutation Assessor (</w:t>
      </w:r>
      <w:r>
        <w:fldChar w:fldCharType="begin"/>
      </w:r>
      <w:r>
        <w:instrText xml:space="preserve"> HYPERLINK "http://mutationasses-sor.org" </w:instrText>
      </w:r>
      <w:r>
        <w:fldChar w:fldCharType="separate"/>
      </w:r>
      <w:r>
        <w:rPr>
          <w:rStyle w:val="7"/>
          <w:rFonts w:ascii="Times New Roman" w:hAnsi="Times New Roman" w:cs="Times New Roman"/>
          <w:sz w:val="24"/>
        </w:rPr>
        <w:t>http://mutationasses-sor.org</w:t>
      </w:r>
      <w:r>
        <w:rPr>
          <w:rStyle w:val="7"/>
          <w:rFonts w:ascii="Times New Roman" w:hAnsi="Times New Roman" w:cs="Times New Roman"/>
          <w:sz w:val="24"/>
        </w:rPr>
        <w:fldChar w:fldCharType="end"/>
      </w:r>
      <w:r>
        <w:rPr>
          <w:rFonts w:ascii="Times New Roman" w:hAnsi="Times New Roman" w:cs="Times New Roman"/>
          <w:color w:val="000000" w:themeColor="text1"/>
          <w:sz w:val="24"/>
          <w14:textFill>
            <w14:solidFill>
              <w14:schemeClr w14:val="tx1"/>
            </w14:solidFill>
          </w14:textFill>
        </w:rPr>
        <w:t>), Mutation Taster (</w:t>
      </w:r>
      <w:r>
        <w:fldChar w:fldCharType="begin"/>
      </w:r>
      <w:r>
        <w:instrText xml:space="preserve"> HYPERLINK "http://www.mutation-taster.org" </w:instrText>
      </w:r>
      <w:r>
        <w:fldChar w:fldCharType="separate"/>
      </w:r>
      <w:r>
        <w:rPr>
          <w:rStyle w:val="7"/>
          <w:rFonts w:ascii="Times New Roman" w:hAnsi="Times New Roman" w:cs="Times New Roman"/>
          <w:sz w:val="24"/>
        </w:rPr>
        <w:t>http://www.mutation-taster.org</w:t>
      </w:r>
      <w:r>
        <w:rPr>
          <w:rStyle w:val="7"/>
          <w:rFonts w:ascii="Times New Roman" w:hAnsi="Times New Roman" w:cs="Times New Roman"/>
          <w:sz w:val="24"/>
        </w:rPr>
        <w:fldChar w:fldCharType="end"/>
      </w:r>
      <w:r>
        <w:rPr>
          <w:rFonts w:ascii="Times New Roman" w:hAnsi="Times New Roman" w:cs="Times New Roman"/>
          <w:color w:val="000000" w:themeColor="text1"/>
          <w:sz w:val="24"/>
          <w14:textFill>
            <w14:solidFill>
              <w14:schemeClr w14:val="tx1"/>
            </w14:solidFill>
          </w14:textFill>
        </w:rPr>
        <w:t>) and CADD (</w:t>
      </w:r>
      <w:r>
        <w:fldChar w:fldCharType="begin"/>
      </w:r>
      <w:r>
        <w:instrText xml:space="preserve"> HYPERLINK "http://cadd.gs.washington.edu/" </w:instrText>
      </w:r>
      <w:r>
        <w:fldChar w:fldCharType="separate"/>
      </w:r>
      <w:r>
        <w:rPr>
          <w:rStyle w:val="7"/>
          <w:rFonts w:ascii="Times New Roman" w:hAnsi="Times New Roman" w:cs="Times New Roman"/>
          <w:sz w:val="24"/>
        </w:rPr>
        <w:t>http://cadd.gs.washington.edu/</w:t>
      </w:r>
      <w:r>
        <w:rPr>
          <w:rStyle w:val="7"/>
          <w:rFonts w:ascii="Times New Roman" w:hAnsi="Times New Roman" w:cs="Times New Roman"/>
          <w:sz w:val="24"/>
        </w:rPr>
        <w:fldChar w:fldCharType="end"/>
      </w:r>
      <w:r>
        <w:rPr>
          <w:rFonts w:ascii="Times New Roman" w:hAnsi="Times New Roman" w:cs="Times New Roman"/>
          <w:color w:val="000000" w:themeColor="text1"/>
          <w:sz w:val="24"/>
          <w14:textFill>
            <w14:solidFill>
              <w14:schemeClr w14:val="tx1"/>
            </w14:solidFill>
          </w14:textFill>
        </w:rPr>
        <w:t>) were also included in the pipeline for pathogenicity prediction. Only the variant with a minor allele frequency smaller than 0.5% was left for further analysis.</w:t>
      </w:r>
    </w:p>
    <w:p>
      <w:pPr>
        <w:rPr>
          <w:rFonts w:ascii="Times New Roman" w:hAnsi="Times New Roman" w:cs="Times New Roman"/>
          <w:sz w:val="24"/>
        </w:rPr>
      </w:pPr>
      <w:r>
        <w:rPr>
          <w:rFonts w:ascii="Times New Roman" w:hAnsi="Times New Roman" w:cs="Times New Roman"/>
          <w:color w:val="000000" w:themeColor="text1"/>
          <w:sz w:val="24"/>
          <w14:textFill>
            <w14:solidFill>
              <w14:schemeClr w14:val="tx1"/>
            </w14:solidFill>
          </w14:textFill>
        </w:rPr>
        <w:t>The variant’s pathogenicity was interpreted according to ACMG recommendations</w:t>
      </w:r>
      <w:r>
        <w:rPr>
          <w:rFonts w:ascii="Times New Roman" w:hAnsi="Times New Roman" w:cs="Times New Roman"/>
          <w:color w:val="000000" w:themeColor="text1"/>
          <w:sz w:val="24"/>
          <w14:textFill>
            <w14:solidFill>
              <w14:schemeClr w14:val="tx1"/>
            </w14:solidFill>
          </w14:textFill>
        </w:rPr>
        <w:fldChar w:fldCharType="begin">
          <w:fldData xml:space="preserve">PEVuZE5vdGU+PENpdGU+PEF1dGhvcj5SaWNoYXJkczwvQXV0aG9yPjxZZWFyPjIwMTU8L1llYXI+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</w:fldData>
        </w:fldChar>
      </w:r>
      <w:r>
        <w:rPr>
          <w:rFonts w:ascii="Times New Roman" w:hAnsi="Times New Roman" w:cs="Times New Roman"/>
          <w:color w:val="000000" w:themeColor="text1"/>
          <w:sz w:val="24"/>
          <w14:textFill>
            <w14:solidFill>
              <w14:schemeClr w14:val="tx1"/>
            </w14:solidFill>
          </w14:textFill>
        </w:rPr>
        <w:instrText xml:space="preserve"> ADDIN EN.CITE </w:instrText>
      </w:r>
      <w:r>
        <w:rPr>
          <w:rFonts w:ascii="Times New Roman" w:hAnsi="Times New Roman" w:cs="Times New Roman"/>
          <w:color w:val="000000" w:themeColor="text1"/>
          <w:sz w:val="24"/>
          <w14:textFill>
            <w14:solidFill>
              <w14:schemeClr w14:val="tx1"/>
            </w14:solidFill>
          </w14:textFill>
        </w:rPr>
        <w:fldChar w:fldCharType="begin">
          <w:fldData xml:space="preserve">PEVuZE5vdGU+PENpdGU+PEF1dGhvcj5SaWNoYXJkczwvQXV0aG9yPjxZZWFyPjIwMTU8L1llYXI+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</w:fldData>
        </w:fldChar>
      </w:r>
      <w:r>
        <w:rPr>
          <w:rFonts w:ascii="Times New Roman" w:hAnsi="Times New Roman" w:cs="Times New Roman"/>
          <w:color w:val="000000" w:themeColor="text1"/>
          <w:sz w:val="24"/>
          <w14:textFill>
            <w14:solidFill>
              <w14:schemeClr w14:val="tx1"/>
            </w14:solidFill>
          </w14:textFill>
        </w:rPr>
        <w:instrText xml:space="preserve"> ADDIN EN.CITE.DATA </w:instrTex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fldChar w:fldCharType="separate"/>
      </w:r>
      <w:r>
        <w:rPr>
          <w:rFonts w:ascii="Times New Roman" w:hAnsi="Times New Roman" w:cs="Times New Roman"/>
          <w:color w:val="000000" w:themeColor="text1"/>
          <w:sz w:val="24"/>
          <w:vertAlign w:val="superscript"/>
          <w14:textFill>
            <w14:solidFill>
              <w14:schemeClr w14:val="tx1"/>
            </w14:solidFill>
          </w14:textFill>
        </w:rPr>
        <w:t>1-3</w: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and classified into pathogenic, likely pathogenic, variants of unknown significance (VUS), benign and likely benign. Selected rare variants verified in the patient using Sanger sequencing were further screened in his parents.</w:t>
      </w:r>
    </w:p>
    <w:p>
      <w:pPr>
        <w:autoSpaceDE w:val="0"/>
        <w:autoSpaceDN w:val="0"/>
        <w:adjustRightInd w:val="0"/>
        <w:rPr>
          <w:rFonts w:ascii="Times New Roman" w:hAnsi="Times New Roman" w:cs="Times New Roman"/>
          <w:b/>
          <w:sz w:val="24"/>
        </w:rPr>
      </w:pPr>
      <w:r>
        <w:rPr>
          <w:rFonts w:ascii="Times New Roman" w:hAnsi="Times New Roman" w:cs="Times New Roman"/>
          <w:b/>
          <w:sz w:val="24"/>
        </w:rPr>
        <w:t xml:space="preserve">Analysis of mitochondrial respiratory chain enzyme activity: </w:t>
      </w:r>
    </w:p>
    <w:p>
      <w:pPr>
        <w:autoSpaceDE w:val="0"/>
        <w:autoSpaceDN w:val="0"/>
        <w:adjustRightInd w:val="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sz w:val="24"/>
        </w:rPr>
        <w:t xml:space="preserve">The enzyme activities of respiratory chain enzyme complexes (I-IV) and ATP synthase (complex </w:t>
      </w:r>
      <w:r>
        <w:rPr>
          <w:rFonts w:ascii="Times New Roman" w:hAnsi="Times New Roman" w:cs="Times New Roman"/>
          <w:color w:val="000000" w:themeColor="text1"/>
          <w:sz w:val="24"/>
          <w14:textFill>
            <w14:solidFill>
              <w14:schemeClr w14:val="tx1"/>
            </w14:solidFill>
          </w14:textFill>
        </w:rPr>
        <w:t xml:space="preserve">V) in the leukocytes were determined </w:t>
      </w:r>
      <w:r>
        <w:rPr>
          <w:rFonts w:ascii="Times New Roman" w:hAnsi="Times New Roman" w:cs="Times New Roman"/>
          <w:color w:val="000000" w:themeColor="text1"/>
          <w:sz w:val="24"/>
          <w14:textFill>
            <w14:solidFill>
              <w14:schemeClr w14:val="tx1"/>
            </w14:solidFill>
          </w14:textFill>
        </w:rPr>
        <w:fldChar w:fldCharType="begin">
          <w:fldData xml:space="preserve">PEVuZE5vdGU+PENpdGU+PEF1dGhvcj5NYTwvQXV0aG9yPjxZZWFyPjIwMTE8L1llYXI+PFJlY051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</w:fldData>
        </w:fldChar>
      </w:r>
      <w:r>
        <w:rPr>
          <w:rFonts w:ascii="Times New Roman" w:hAnsi="Times New Roman" w:cs="Times New Roman"/>
          <w:color w:val="000000" w:themeColor="text1"/>
          <w:sz w:val="24"/>
          <w14:textFill>
            <w14:solidFill>
              <w14:schemeClr w14:val="tx1"/>
            </w14:solidFill>
          </w14:textFill>
        </w:rPr>
        <w:instrText xml:space="preserve"> ADDIN EN.CITE </w:instrText>
      </w:r>
      <w:r>
        <w:rPr>
          <w:rFonts w:ascii="Times New Roman" w:hAnsi="Times New Roman" w:cs="Times New Roman"/>
          <w:color w:val="000000" w:themeColor="text1"/>
          <w:sz w:val="24"/>
          <w14:textFill>
            <w14:solidFill>
              <w14:schemeClr w14:val="tx1"/>
            </w14:solidFill>
          </w14:textFill>
        </w:rPr>
        <w:fldChar w:fldCharType="begin">
          <w:fldData xml:space="preserve">PEVuZE5vdGU+PENpdGU+PEF1dGhvcj5NYTwvQXV0aG9yPjxZZWFyPjIwMTE8L1llYXI+PFJlY051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</w:fldData>
        </w:fldChar>
      </w:r>
      <w:r>
        <w:rPr>
          <w:rFonts w:ascii="Times New Roman" w:hAnsi="Times New Roman" w:cs="Times New Roman"/>
          <w:color w:val="000000" w:themeColor="text1"/>
          <w:sz w:val="24"/>
          <w14:textFill>
            <w14:solidFill>
              <w14:schemeClr w14:val="tx1"/>
            </w14:solidFill>
          </w14:textFill>
        </w:rPr>
        <w:instrText xml:space="preserve"> ADDIN EN.CITE.DATA </w:instrTex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fldChar w:fldCharType="separate"/>
      </w:r>
      <w:r>
        <w:rPr>
          <w:rFonts w:ascii="Times New Roman" w:hAnsi="Times New Roman" w:cs="Times New Roman"/>
          <w:color w:val="000000" w:themeColor="text1"/>
          <w:sz w:val="24"/>
          <w:vertAlign w:val="superscript"/>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xml:space="preserve">. In brief, mitochondrial samples were extracted from 5 ml of EDTA anticoagulant peripheral blood of the patient, and substrates for mitochondrial respiratory chain complex I-V were added respectively to measure the alterations in substrates by spectrophotometry. The activity of each complex could be determined by comparing with the standards. </w:t>
      </w:r>
    </w:p>
    <w:p>
      <w:pPr>
        <w:rPr>
          <w:rFonts w:ascii="Times New Roman" w:hAnsi="Times New Roman" w:cs="Times New Roman"/>
          <w:sz w:val="24"/>
        </w:rPr>
      </w:pPr>
    </w:p>
    <w:p/>
    <w:p>
      <w:pPr>
        <w:pStyle w:val="13"/>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ADDIN EN.REFLIST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tab/>
      </w:r>
      <w:r>
        <w:rPr>
          <w:rFonts w:ascii="Times New Roman" w:hAnsi="Times New Roman" w:cs="Times New Roman"/>
          <w:sz w:val="24"/>
        </w:rPr>
        <w:t xml:space="preserve">Richards S, Aziz N, Bale S, Bick D, Das S, Gastier-Foster J, et al. Standards and guidelines for the interpretation of sequence variants: a joint consensus recommendation of the American College of Medical Genetics and Genomics and the Association for Molecular Pathology. </w:t>
      </w:r>
      <w:r>
        <w:rPr>
          <w:rFonts w:ascii="Times New Roman" w:hAnsi="Times New Roman" w:cs="Times New Roman"/>
          <w:i/>
          <w:sz w:val="24"/>
        </w:rPr>
        <w:t>Genet Med</w:t>
      </w:r>
      <w:r>
        <w:rPr>
          <w:rFonts w:ascii="Times New Roman" w:hAnsi="Times New Roman" w:cs="Times New Roman"/>
          <w:sz w:val="24"/>
        </w:rPr>
        <w:t>. 2015;17:405-24.</w:t>
      </w:r>
    </w:p>
    <w:p>
      <w:pPr>
        <w:pStyle w:val="13"/>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r>
      <w:r>
        <w:rPr>
          <w:rFonts w:ascii="Times New Roman" w:hAnsi="Times New Roman" w:cs="Times New Roman"/>
          <w:sz w:val="24"/>
        </w:rPr>
        <w:t xml:space="preserve">Kelly MA, Caleshu C, Morales A, Buchan J, Wolf Z, Harrison SM, et al. Adaptation and validation of the ACMG/AMP variant classification framework for MYH7-associated inherited cardiomyopathies: recommendations by ClinGen's Inherited Cardiomyopathy Expert Panel. </w:t>
      </w:r>
      <w:r>
        <w:rPr>
          <w:rFonts w:ascii="Times New Roman" w:hAnsi="Times New Roman" w:cs="Times New Roman"/>
          <w:i/>
          <w:sz w:val="24"/>
        </w:rPr>
        <w:t>Genet Med</w:t>
      </w:r>
      <w:r>
        <w:rPr>
          <w:rFonts w:ascii="Times New Roman" w:hAnsi="Times New Roman" w:cs="Times New Roman"/>
          <w:sz w:val="24"/>
        </w:rPr>
        <w:t>. 2018;20:351-359.</w:t>
      </w:r>
    </w:p>
    <w:p>
      <w:pPr>
        <w:pStyle w:val="13"/>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ab/>
      </w:r>
      <w:r>
        <w:rPr>
          <w:rFonts w:ascii="Times New Roman" w:hAnsi="Times New Roman" w:cs="Times New Roman"/>
          <w:sz w:val="24"/>
        </w:rPr>
        <w:t xml:space="preserve">Abou Tayoun AN, Pesaran T, DiStefano MT, Oza A, Rehm HL, Biesecker LG, et al. Recommendations for interpreting the loss of function PVS1 ACMG/AMP variant criterion. </w:t>
      </w:r>
      <w:r>
        <w:rPr>
          <w:rFonts w:ascii="Times New Roman" w:hAnsi="Times New Roman" w:cs="Times New Roman"/>
          <w:i/>
          <w:sz w:val="24"/>
        </w:rPr>
        <w:t>Hum Mutat</w:t>
      </w:r>
      <w:r>
        <w:rPr>
          <w:rFonts w:ascii="Times New Roman" w:hAnsi="Times New Roman" w:cs="Times New Roman"/>
          <w:sz w:val="24"/>
        </w:rPr>
        <w:t>. 2018;39:1517-1524.</w:t>
      </w:r>
    </w:p>
    <w:p>
      <w:pPr>
        <w:pStyle w:val="13"/>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sz w:val="24"/>
        </w:rPr>
        <w:tab/>
      </w:r>
      <w:r>
        <w:rPr>
          <w:rFonts w:ascii="Times New Roman" w:hAnsi="Times New Roman" w:cs="Times New Roman"/>
          <w:sz w:val="24"/>
        </w:rPr>
        <w:t xml:space="preserve">Ma YY, Zhang XL, Wu TF, Liu YP, Wang Q, Zhang Y, et al. Analysis of the mitochondrial complex I-V enzyme activities of peripheral leukocytes in oxidative phosphorylation disorders. </w:t>
      </w:r>
      <w:r>
        <w:rPr>
          <w:rFonts w:ascii="Times New Roman" w:hAnsi="Times New Roman" w:cs="Times New Roman"/>
          <w:i/>
          <w:sz w:val="24"/>
        </w:rPr>
        <w:t>J Child Neurol</w:t>
      </w:r>
      <w:r>
        <w:rPr>
          <w:rFonts w:ascii="Times New Roman" w:hAnsi="Times New Roman" w:cs="Times New Roman"/>
          <w:sz w:val="24"/>
        </w:rPr>
        <w:t>. 2011;26:974-9.</w:t>
      </w:r>
    </w:p>
    <w:p>
      <w:pPr>
        <w:autoSpaceDE w:val="0"/>
        <w:autoSpaceDN w:val="0"/>
        <w:adjustRightInd w:val="0"/>
        <w:rPr>
          <w:rFonts w:ascii="Times New Roman" w:hAnsi="Times New Roman"/>
          <w:bCs/>
          <w:color w:val="000000" w:themeColor="text1"/>
          <w14:textFill>
            <w14:solidFill>
              <w14:schemeClr w14:val="tx1"/>
            </w14:solidFill>
          </w14:textFill>
        </w:rPr>
        <w:sectPr>
          <w:footerReference r:id="rId3" w:type="default"/>
          <w:footerReference r:id="rId4" w:type="even"/>
          <w:pgSz w:w="11900" w:h="16840"/>
          <w:pgMar w:top="1440" w:right="1800" w:bottom="1440" w:left="1800" w:header="851" w:footer="992" w:gutter="0"/>
          <w:cols w:space="425" w:num="1"/>
          <w:docGrid w:type="lines" w:linePitch="312" w:charSpace="0"/>
        </w:sectPr>
      </w:pPr>
      <w:r>
        <w:rPr>
          <w:rFonts w:ascii="Times New Roman" w:hAnsi="Times New Roman" w:cs="Times New Roman"/>
          <w:sz w:val="24"/>
        </w:rPr>
        <w:fldChar w:fldCharType="end"/>
      </w:r>
      <w:r>
        <w:rPr>
          <w:rFonts w:ascii="Times New Roman" w:hAnsi="Times New Roman" w:cs="Times New Roman"/>
          <w:sz w:val="24"/>
        </w:rPr>
        <w:br w:type="page"/>
      </w:r>
    </w:p>
    <w:p>
      <w:pPr>
        <w:autoSpaceDE w:val="0"/>
        <w:autoSpaceDN w:val="0"/>
        <w:adjustRightInd w:val="0"/>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Supplementary</w:t>
      </w:r>
      <w:r>
        <w:rPr>
          <w:rFonts w:ascii="Times New Roman" w:hAnsi="Times New Roman"/>
          <w:bCs/>
          <w:color w:val="000000" w:themeColor="text1"/>
          <w14:textFill>
            <w14:solidFill>
              <w14:schemeClr w14:val="tx1"/>
            </w14:solidFill>
          </w14:textFill>
        </w:rPr>
        <w:t xml:space="preserve"> T</w:t>
      </w:r>
      <w:r>
        <w:rPr>
          <w:rFonts w:ascii="Times New Roman" w:hAnsi="Times New Roman"/>
          <w:color w:val="000000" w:themeColor="text1"/>
          <w14:textFill>
            <w14:solidFill>
              <w14:schemeClr w14:val="tx1"/>
            </w14:solidFill>
          </w14:textFill>
        </w:rPr>
        <w:t xml:space="preserve">able 1. </w:t>
      </w:r>
      <w:r>
        <w:rPr>
          <w:rFonts w:ascii="Times New Roman" w:hAnsi="Times New Roman"/>
        </w:rPr>
        <w:t xml:space="preserve">Review of the association of </w:t>
      </w:r>
      <w:r>
        <w:rPr>
          <w:rFonts w:ascii="Times New Roman" w:hAnsi="Times New Roman"/>
          <w:i/>
        </w:rPr>
        <w:t>LRPPRC</w:t>
      </w:r>
      <w:r>
        <w:rPr>
          <w:rFonts w:ascii="Times New Roman" w:hAnsi="Times New Roman"/>
        </w:rPr>
        <w:t xml:space="preserve"> variants with phenotypes.</w:t>
      </w:r>
    </w:p>
    <w:tbl>
      <w:tblPr>
        <w:tblStyle w:val="8"/>
        <w:tblW w:w="13217" w:type="dxa"/>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3"/>
        <w:gridCol w:w="2298"/>
        <w:gridCol w:w="850"/>
        <w:gridCol w:w="850"/>
        <w:gridCol w:w="1276"/>
        <w:gridCol w:w="709"/>
        <w:gridCol w:w="1275"/>
        <w:gridCol w:w="993"/>
        <w:gridCol w:w="992"/>
        <w:gridCol w:w="2268"/>
        <w:gridCol w:w="743"/>
      </w:tblGrid>
      <w:tr>
        <w:trPr>
          <w:trHeight w:val="800" w:hRule="atLeast"/>
        </w:trPr>
        <w:tc>
          <w:tcPr>
            <w:tcW w:w="963" w:type="dxa"/>
            <w:shd w:val="clear" w:color="auto" w:fill="auto"/>
            <w:noWrap/>
            <w:vAlign w:val="center"/>
          </w:tcPr>
          <w:p>
            <w:pPr>
              <w:widowControl/>
              <w:jc w:val="left"/>
              <w:rPr>
                <w:rFonts w:ascii="Times New Roman" w:hAnsi="Times New Roman" w:eastAsia="DengXian" w:cs="Times New Roman"/>
                <w:b/>
                <w:color w:val="000000" w:themeColor="text1"/>
                <w:kern w:val="0"/>
                <w:sz w:val="18"/>
                <w:szCs w:val="18"/>
                <w14:textFill>
                  <w14:solidFill>
                    <w14:schemeClr w14:val="tx1"/>
                  </w14:solidFill>
                </w14:textFill>
              </w:rPr>
            </w:pPr>
            <w:r>
              <w:rPr>
                <w:rFonts w:ascii="Times New Roman" w:hAnsi="Times New Roman" w:eastAsia="DengXian" w:cs="Times New Roman"/>
                <w:b/>
                <w:color w:val="000000" w:themeColor="text1"/>
                <w:kern w:val="0"/>
                <w:sz w:val="18"/>
                <w:szCs w:val="18"/>
                <w14:textFill>
                  <w14:solidFill>
                    <w14:schemeClr w14:val="tx1"/>
                  </w14:solidFill>
                </w14:textFill>
              </w:rPr>
              <w:t>Patients</w:t>
            </w:r>
          </w:p>
          <w:p>
            <w:pPr>
              <w:widowControl/>
              <w:jc w:val="left"/>
              <w:rPr>
                <w:rFonts w:ascii="Times New Roman" w:hAnsi="Times New Roman" w:eastAsia="DengXian" w:cs="Times New Roman"/>
                <w:b/>
                <w:color w:val="000000" w:themeColor="text1"/>
                <w:kern w:val="0"/>
                <w:sz w:val="18"/>
                <w:szCs w:val="18"/>
                <w14:textFill>
                  <w14:solidFill>
                    <w14:schemeClr w14:val="tx1"/>
                  </w14:solidFill>
                </w14:textFill>
              </w:rPr>
            </w:pPr>
            <w:r>
              <w:rPr>
                <w:rFonts w:ascii="Times New Roman" w:hAnsi="Times New Roman" w:eastAsia="DengXian" w:cs="Times New Roman"/>
                <w:b/>
                <w:color w:val="000000" w:themeColor="text1"/>
                <w:kern w:val="0"/>
                <w:sz w:val="18"/>
                <w:szCs w:val="18"/>
                <w14:textFill>
                  <w14:solidFill>
                    <w14:schemeClr w14:val="tx1"/>
                  </w14:solidFill>
                </w14:textFill>
              </w:rPr>
              <w:t>(families)</w:t>
            </w:r>
          </w:p>
        </w:tc>
        <w:tc>
          <w:tcPr>
            <w:tcW w:w="2298" w:type="dxa"/>
            <w:shd w:val="clear" w:color="auto" w:fill="auto"/>
            <w:vAlign w:val="center"/>
          </w:tcPr>
          <w:p>
            <w:pPr>
              <w:widowControl/>
              <w:jc w:val="center"/>
              <w:rPr>
                <w:rFonts w:ascii="Times New Roman" w:hAnsi="Times New Roman" w:eastAsia="DengXian" w:cs="Times New Roman"/>
                <w:b/>
                <w:bCs/>
                <w:i/>
                <w:iCs/>
                <w:color w:val="000000" w:themeColor="text1"/>
                <w:kern w:val="0"/>
                <w:sz w:val="18"/>
                <w:szCs w:val="18"/>
                <w14:textFill>
                  <w14:solidFill>
                    <w14:schemeClr w14:val="tx1"/>
                  </w14:solidFill>
                </w14:textFill>
              </w:rPr>
            </w:pPr>
            <w:r>
              <w:rPr>
                <w:rFonts w:ascii="Times New Roman" w:hAnsi="Times New Roman" w:eastAsia="DengXian" w:cs="Times New Roman"/>
                <w:b/>
                <w:bCs/>
                <w:i/>
                <w:iCs/>
                <w:color w:val="000000" w:themeColor="text1"/>
                <w:kern w:val="0"/>
                <w:sz w:val="18"/>
                <w:szCs w:val="18"/>
                <w14:textFill>
                  <w14:solidFill>
                    <w14:schemeClr w14:val="tx1"/>
                  </w14:solidFill>
                </w14:textFill>
              </w:rPr>
              <w:t xml:space="preserve">LRPPRC </w:t>
            </w:r>
            <w:r>
              <w:rPr>
                <w:rFonts w:ascii="Times New Roman" w:hAnsi="Times New Roman" w:eastAsia="DengXian" w:cs="Times New Roman"/>
                <w:b/>
                <w:bCs/>
                <w:color w:val="000000" w:themeColor="text1"/>
                <w:kern w:val="0"/>
                <w:sz w:val="18"/>
                <w:szCs w:val="18"/>
                <w14:textFill>
                  <w14:solidFill>
                    <w14:schemeClr w14:val="tx1"/>
                  </w14:solidFill>
                </w14:textFill>
              </w:rPr>
              <w:t>Variants</w:t>
            </w:r>
          </w:p>
        </w:tc>
        <w:tc>
          <w:tcPr>
            <w:tcW w:w="850"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Intron/</w:t>
            </w:r>
          </w:p>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Exon</w:t>
            </w:r>
          </w:p>
        </w:tc>
        <w:tc>
          <w:tcPr>
            <w:tcW w:w="850"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 xml:space="preserve">Muscle† </w:t>
            </w:r>
          </w:p>
        </w:tc>
        <w:tc>
          <w:tcPr>
            <w:tcW w:w="1276"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 xml:space="preserve">Heart (details)† </w:t>
            </w:r>
          </w:p>
        </w:tc>
        <w:tc>
          <w:tcPr>
            <w:tcW w:w="709"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CNS†</w:t>
            </w:r>
          </w:p>
        </w:tc>
        <w:tc>
          <w:tcPr>
            <w:tcW w:w="1275"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Developmental delay†</w:t>
            </w:r>
          </w:p>
        </w:tc>
        <w:tc>
          <w:tcPr>
            <w:tcW w:w="993"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Lactic acidosis†</w:t>
            </w:r>
          </w:p>
        </w:tc>
        <w:tc>
          <w:tcPr>
            <w:tcW w:w="992"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Dysphagia†</w:t>
            </w:r>
          </w:p>
        </w:tc>
        <w:tc>
          <w:tcPr>
            <w:tcW w:w="2268"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Comments</w:t>
            </w:r>
          </w:p>
        </w:tc>
        <w:tc>
          <w:tcPr>
            <w:tcW w:w="743" w:type="dxa"/>
            <w:shd w:val="clear" w:color="auto" w:fill="auto"/>
            <w:vAlign w:val="center"/>
          </w:tcPr>
          <w:p>
            <w:pPr>
              <w:widowControl/>
              <w:jc w:val="center"/>
              <w:rPr>
                <w:rFonts w:ascii="Times New Roman" w:hAnsi="Times New Roman" w:eastAsia="DengXian" w:cs="Times New Roman"/>
                <w:b/>
                <w:bCs/>
                <w:color w:val="000000" w:themeColor="text1"/>
                <w:kern w:val="0"/>
                <w:sz w:val="18"/>
                <w:szCs w:val="18"/>
                <w14:textFill>
                  <w14:solidFill>
                    <w14:schemeClr w14:val="tx1"/>
                  </w14:solidFill>
                </w14:textFill>
              </w:rPr>
            </w:pPr>
            <w:r>
              <w:rPr>
                <w:rFonts w:ascii="Times New Roman" w:hAnsi="Times New Roman" w:eastAsia="DengXian" w:cs="Times New Roman"/>
                <w:b/>
                <w:bCs/>
                <w:color w:val="000000" w:themeColor="text1"/>
                <w:kern w:val="0"/>
                <w:sz w:val="18"/>
                <w:szCs w:val="18"/>
                <w14:textFill>
                  <w14:solidFill>
                    <w14:schemeClr w14:val="tx1"/>
                  </w14:solidFill>
                </w14:textFill>
              </w:rPr>
              <w:t xml:space="preserve">Ref </w:t>
            </w:r>
          </w:p>
        </w:tc>
      </w:tr>
      <w:tr>
        <w:trPr>
          <w:trHeight w:val="255"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7(4)</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 xml:space="preserve">Hom c.3900+1G&gt;T </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Intron35</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3/7</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3/7 (MMR; CCM; BAV)</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5/7</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4/7</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7/7</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6/7</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skipping of exon 35</w:t>
            </w: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w:t>
            </w:r>
            <w:r>
              <w:rPr>
                <w:rFonts w:ascii="Times New Roman" w:hAnsi="Times New Roman" w:eastAsia="DengXian" w:cs="Times New Roman"/>
                <w:color w:val="000000" w:themeColor="text1"/>
                <w:kern w:val="0"/>
                <w:sz w:val="18"/>
                <w:szCs w:val="18"/>
                <w14:textFill>
                  <w14:solidFill>
                    <w14:schemeClr w14:val="tx1"/>
                  </w14:solidFill>
                </w14:textFill>
              </w:rPr>
              <w:t>4]</w:t>
            </w:r>
          </w:p>
        </w:tc>
      </w:tr>
      <w:tr>
        <w:trPr>
          <w:trHeight w:val="506"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Hom c.3809C&gt;T (p.Ala1270Val)</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Exon34</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a</w:t>
            </w:r>
          </w:p>
        </w:tc>
      </w:tr>
      <w:tr>
        <w:trPr>
          <w:trHeight w:val="340" w:hRule="atLeast"/>
        </w:trPr>
        <w:tc>
          <w:tcPr>
            <w:tcW w:w="96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noWrap/>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c.3130C&gt;T</w:t>
            </w:r>
            <w:r>
              <w:rPr>
                <w:rFonts w:ascii="Times New Roman" w:hAnsi="Times New Roman" w:eastAsia="DengXian" w:cs="Times New Roman"/>
                <w:color w:val="000000" w:themeColor="text1"/>
                <w:kern w:val="0"/>
                <w:sz w:val="18"/>
                <w:szCs w:val="18"/>
                <w14:textFill>
                  <w14:solidFill>
                    <w14:schemeClr w14:val="tx1"/>
                  </w14:solidFill>
                </w14:textFill>
              </w:rPr>
              <w:t xml:space="preserve"> </w:t>
            </w:r>
            <w:r>
              <w:rPr>
                <w:rFonts w:hint="eastAsia" w:ascii="Times New Roman" w:hAnsi="Times New Roman" w:eastAsia="DengXian" w:cs="Times New Roman"/>
                <w:color w:val="000000" w:themeColor="text1"/>
                <w:kern w:val="0"/>
                <w:sz w:val="18"/>
                <w:szCs w:val="18"/>
                <w14:textFill>
                  <w14:solidFill>
                    <w14:schemeClr w14:val="tx1"/>
                  </w14:solidFill>
                </w14:textFill>
              </w:rPr>
              <w:t>(p.Arg1044Cys)</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Exon29</w:t>
            </w:r>
          </w:p>
        </w:tc>
        <w:tc>
          <w:tcPr>
            <w:tcW w:w="850"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6"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0/1</w:t>
            </w:r>
          </w:p>
        </w:tc>
        <w:tc>
          <w:tcPr>
            <w:tcW w:w="709"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5"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2"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68"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p>
            <w:pPr>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b</w:t>
            </w:r>
          </w:p>
        </w:tc>
      </w:tr>
      <w:tr>
        <w:trPr>
          <w:trHeight w:val="63" w:hRule="atLeast"/>
        </w:trPr>
        <w:tc>
          <w:tcPr>
            <w:tcW w:w="96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c.3430C&gt;T (p.Arg1144Cys)</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Exon32</w:t>
            </w:r>
          </w:p>
        </w:tc>
        <w:tc>
          <w:tcPr>
            <w:tcW w:w="850"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6"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09"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5"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2"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68" w:type="dxa"/>
            <w:vMerge w:val="continue"/>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p>
        </w:tc>
        <w:tc>
          <w:tcPr>
            <w:tcW w:w="74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r>
      <w:tr>
        <w:trPr>
          <w:trHeight w:val="340"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noWrap/>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Hom c.1792C&gt;T (p.Gln598Ter)</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Exon17</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2268" w:type="dxa"/>
            <w:shd w:val="clear" w:color="auto" w:fill="auto"/>
            <w:noWrap/>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intellectual disability</w:t>
            </w:r>
          </w:p>
        </w:tc>
        <w:tc>
          <w:tcPr>
            <w:tcW w:w="743" w:type="dxa"/>
            <w:shd w:val="clear" w:color="auto" w:fill="auto"/>
            <w:noWrap/>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w:t>
            </w:r>
          </w:p>
        </w:tc>
      </w:tr>
      <w:tr>
        <w:trPr>
          <w:trHeight w:val="280" w:hRule="atLeast"/>
        </w:trPr>
        <w:tc>
          <w:tcPr>
            <w:tcW w:w="96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c.2741C&gt;A (p.Pro914Gln)</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Exon26</w:t>
            </w:r>
          </w:p>
        </w:tc>
        <w:tc>
          <w:tcPr>
            <w:tcW w:w="850"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6"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709"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5"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2"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2268"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multiple organ failure</w:t>
            </w:r>
          </w:p>
        </w:tc>
        <w:tc>
          <w:tcPr>
            <w:tcW w:w="74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d</w:t>
            </w:r>
          </w:p>
        </w:tc>
      </w:tr>
      <w:tr>
        <w:trPr>
          <w:trHeight w:val="63" w:hRule="atLeast"/>
        </w:trPr>
        <w:tc>
          <w:tcPr>
            <w:tcW w:w="96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c.1253A&gt;C (p.Asn418Thr)</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Exon10</w:t>
            </w:r>
          </w:p>
        </w:tc>
        <w:tc>
          <w:tcPr>
            <w:tcW w:w="850"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6"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09"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5"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2"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68"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4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r>
      <w:tr>
        <w:trPr>
          <w:trHeight w:val="306" w:hRule="atLeast"/>
        </w:trPr>
        <w:tc>
          <w:tcPr>
            <w:tcW w:w="96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 xml:space="preserve">c.1582+7A&gt;G; </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Intron13</w:t>
            </w:r>
          </w:p>
        </w:tc>
        <w:tc>
          <w:tcPr>
            <w:tcW w:w="850"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6"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0/1</w:t>
            </w:r>
          </w:p>
        </w:tc>
        <w:tc>
          <w:tcPr>
            <w:tcW w:w="709"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5"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0/1</w:t>
            </w:r>
          </w:p>
        </w:tc>
        <w:tc>
          <w:tcPr>
            <w:tcW w:w="99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2"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stop-gain, p.Glu497Ter</w:t>
            </w: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w:t>
            </w:r>
            <w:r>
              <w:rPr>
                <w:rFonts w:ascii="Times New Roman" w:hAnsi="Times New Roman" w:eastAsia="DengXian" w:cs="Times New Roman"/>
                <w:color w:val="000000" w:themeColor="text1"/>
                <w:kern w:val="0"/>
                <w:sz w:val="18"/>
                <w:szCs w:val="18"/>
                <w14:textFill>
                  <w14:solidFill>
                    <w14:schemeClr w14:val="tx1"/>
                  </w14:solidFill>
                </w14:textFill>
              </w:rPr>
              <w:t>4]</w:t>
            </w:r>
          </w:p>
        </w:tc>
      </w:tr>
      <w:tr>
        <w:trPr>
          <w:trHeight w:val="404" w:hRule="atLeast"/>
        </w:trPr>
        <w:tc>
          <w:tcPr>
            <w:tcW w:w="96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c.3147dupA (p.Gly1050Argfs†4)</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Exon29</w:t>
            </w:r>
          </w:p>
        </w:tc>
        <w:tc>
          <w:tcPr>
            <w:tcW w:w="850"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6"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09"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5"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2"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p>
        </w:tc>
        <w:tc>
          <w:tcPr>
            <w:tcW w:w="74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r>
      <w:tr>
        <w:trPr>
          <w:trHeight w:val="320" w:hRule="atLeast"/>
        </w:trPr>
        <w:tc>
          <w:tcPr>
            <w:tcW w:w="96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c.1582+4A&gt;G</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Intron13</w:t>
            </w:r>
          </w:p>
        </w:tc>
        <w:tc>
          <w:tcPr>
            <w:tcW w:w="850"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6"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(HCM)</w:t>
            </w:r>
          </w:p>
        </w:tc>
        <w:tc>
          <w:tcPr>
            <w:tcW w:w="709"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5"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0/1</w:t>
            </w:r>
          </w:p>
        </w:tc>
        <w:tc>
          <w:tcPr>
            <w:tcW w:w="99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2"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68"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p>
            <w:pPr>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Current</w:t>
            </w:r>
          </w:p>
        </w:tc>
      </w:tr>
      <w:tr>
        <w:trPr>
          <w:trHeight w:val="276" w:hRule="atLeast"/>
        </w:trPr>
        <w:tc>
          <w:tcPr>
            <w:tcW w:w="96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c.2582T&gt;A (p.Val861Asp)</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Exon24</w:t>
            </w:r>
          </w:p>
        </w:tc>
        <w:tc>
          <w:tcPr>
            <w:tcW w:w="850"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6"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09"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5"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2"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68" w:type="dxa"/>
            <w:vMerge w:val="continue"/>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p>
        </w:tc>
        <w:tc>
          <w:tcPr>
            <w:tcW w:w="74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r>
      <w:tr>
        <w:trPr>
          <w:trHeight w:val="380" w:hRule="atLeast"/>
        </w:trPr>
        <w:tc>
          <w:tcPr>
            <w:tcW w:w="963"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Hom c.1177T&gt;G (p.Tyr393Asp)</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Exon10</w:t>
            </w:r>
          </w:p>
        </w:tc>
        <w:tc>
          <w:tcPr>
            <w:tcW w:w="850"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0/1</w:t>
            </w:r>
          </w:p>
        </w:tc>
        <w:tc>
          <w:tcPr>
            <w:tcW w:w="1276"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1/1 (CM)</w:t>
            </w:r>
          </w:p>
        </w:tc>
        <w:tc>
          <w:tcPr>
            <w:tcW w:w="709"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1/1</w:t>
            </w:r>
          </w:p>
        </w:tc>
        <w:tc>
          <w:tcPr>
            <w:tcW w:w="1275"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1/1</w:t>
            </w:r>
          </w:p>
        </w:tc>
        <w:tc>
          <w:tcPr>
            <w:tcW w:w="993"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N.A.</w:t>
            </w:r>
          </w:p>
        </w:tc>
        <w:tc>
          <w:tcPr>
            <w:tcW w:w="992"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N.A.</w:t>
            </w:r>
          </w:p>
        </w:tc>
        <w:tc>
          <w:tcPr>
            <w:tcW w:w="2268" w:type="dxa"/>
            <w:shd w:val="clear" w:color="auto" w:fill="auto"/>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 xml:space="preserve">hereditary fructose intolerance probably due to another hom </w:t>
            </w:r>
            <w:r>
              <w:rPr>
                <w:rFonts w:ascii="Times New Roman" w:hAnsi="Times New Roman" w:eastAsia="DengXian" w:cs="Times New Roman"/>
                <w:bCs/>
                <w:i/>
                <w:color w:val="000000" w:themeColor="text1"/>
                <w:kern w:val="0"/>
                <w:sz w:val="18"/>
                <w:szCs w:val="18"/>
                <w14:textFill>
                  <w14:solidFill>
                    <w14:schemeClr w14:val="tx1"/>
                  </w14:solidFill>
                </w14:textFill>
              </w:rPr>
              <w:t xml:space="preserve">SLC22A5 </w:t>
            </w:r>
            <w:r>
              <w:rPr>
                <w:rFonts w:ascii="Times New Roman" w:hAnsi="Times New Roman" w:eastAsia="DengXian" w:cs="Times New Roman"/>
                <w:bCs/>
                <w:color w:val="000000" w:themeColor="text1"/>
                <w:kern w:val="0"/>
                <w:sz w:val="18"/>
                <w:szCs w:val="18"/>
                <w14:textFill>
                  <w14:solidFill>
                    <w14:schemeClr w14:val="tx1"/>
                  </w14:solidFill>
                </w14:textFill>
              </w:rPr>
              <w:t>variants</w:t>
            </w:r>
          </w:p>
        </w:tc>
        <w:tc>
          <w:tcPr>
            <w:tcW w:w="743" w:type="dxa"/>
            <w:shd w:val="clear" w:color="auto" w:fill="auto"/>
            <w:noWrap/>
            <w:vAlign w:val="center"/>
          </w:tcPr>
          <w:p>
            <w:pPr>
              <w:widowControl/>
              <w:jc w:val="center"/>
              <w:rPr>
                <w:rFonts w:ascii="Times New Roman" w:hAnsi="Times New Roman" w:eastAsia="DengXian" w:cs="Times New Roman"/>
                <w:bCs/>
                <w:color w:val="000000" w:themeColor="text1"/>
                <w:kern w:val="0"/>
                <w:sz w:val="18"/>
                <w:szCs w:val="18"/>
                <w14:textFill>
                  <w14:solidFill>
                    <w14:schemeClr w14:val="tx1"/>
                  </w14:solidFill>
                </w14:textFill>
              </w:rPr>
            </w:pPr>
            <w:r>
              <w:rPr>
                <w:rFonts w:ascii="Times New Roman" w:hAnsi="Times New Roman" w:eastAsia="DengXian" w:cs="Times New Roman"/>
                <w:bCs/>
                <w:color w:val="000000" w:themeColor="text1"/>
                <w:kern w:val="0"/>
                <w:sz w:val="18"/>
                <w:szCs w:val="18"/>
                <w14:textFill>
                  <w14:solidFill>
                    <w14:schemeClr w14:val="tx1"/>
                  </w14:solidFill>
                </w14:textFill>
              </w:rPr>
              <w:t>e</w:t>
            </w:r>
          </w:p>
        </w:tc>
      </w:tr>
      <w:tr>
        <w:trPr>
          <w:trHeight w:val="132"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76(76)</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Hom c.1061C&gt;T (p.Ala354Val)</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Exon9</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0/55; 21 N.A.</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55/55; 21N.A.</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 xml:space="preserve">f; </w:t>
            </w:r>
            <w:r>
              <w:rPr>
                <w:rFonts w:hint="eastAsia" w:ascii="Times New Roman" w:hAnsi="Times New Roman" w:eastAsia="DengXian" w:cs="Times New Roman"/>
                <w:color w:val="000000" w:themeColor="text1"/>
                <w:kern w:val="0"/>
                <w:sz w:val="18"/>
                <w:szCs w:val="18"/>
                <w14:textFill>
                  <w14:solidFill>
                    <w14:schemeClr w14:val="tx1"/>
                  </w14:solidFill>
                </w14:textFill>
              </w:rPr>
              <w:t>[</w:t>
            </w:r>
            <w:r>
              <w:rPr>
                <w:rFonts w:ascii="Times New Roman" w:hAnsi="Times New Roman" w:eastAsia="DengXian" w:cs="Times New Roman"/>
                <w:color w:val="000000" w:themeColor="text1"/>
                <w:kern w:val="0"/>
                <w:sz w:val="18"/>
                <w:szCs w:val="18"/>
                <w14:textFill>
                  <w14:solidFill>
                    <w14:schemeClr w14:val="tx1"/>
                  </w14:solidFill>
                </w14:textFill>
              </w:rPr>
              <w:t>1]</w:t>
            </w:r>
          </w:p>
        </w:tc>
      </w:tr>
      <w:tr>
        <w:trPr>
          <w:trHeight w:val="277" w:hRule="atLeast"/>
        </w:trPr>
        <w:tc>
          <w:tcPr>
            <w:tcW w:w="96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2(2)</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c.1061C&gt;T (p.Ala354Val)</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Exon9</w:t>
            </w:r>
          </w:p>
        </w:tc>
        <w:tc>
          <w:tcPr>
            <w:tcW w:w="850"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6"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0/1; 1 N.A.</w:t>
            </w:r>
          </w:p>
        </w:tc>
        <w:tc>
          <w:tcPr>
            <w:tcW w:w="709"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1275"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1 N.A.</w:t>
            </w:r>
          </w:p>
        </w:tc>
        <w:tc>
          <w:tcPr>
            <w:tcW w:w="99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992"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N.A.</w:t>
            </w:r>
          </w:p>
        </w:tc>
        <w:tc>
          <w:tcPr>
            <w:tcW w:w="2268"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vMerge w:val="restart"/>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f;</w:t>
            </w:r>
            <w:r>
              <w:rPr>
                <w:rFonts w:hint="eastAsia" w:ascii="Times New Roman" w:hAnsi="Times New Roman" w:eastAsia="DengXian" w:cs="Times New Roman"/>
                <w:color w:val="000000" w:themeColor="text1"/>
                <w:kern w:val="0"/>
                <w:sz w:val="18"/>
                <w:szCs w:val="18"/>
                <w14:textFill>
                  <w14:solidFill>
                    <w14:schemeClr w14:val="tx1"/>
                  </w14:solidFill>
                </w14:textFill>
              </w:rPr>
              <w:t xml:space="preserve"> [</w:t>
            </w:r>
            <w:r>
              <w:rPr>
                <w:rFonts w:ascii="Times New Roman" w:hAnsi="Times New Roman" w:eastAsia="DengXian" w:cs="Times New Roman"/>
                <w:color w:val="000000" w:themeColor="text1"/>
                <w:kern w:val="0"/>
                <w:sz w:val="18"/>
                <w:szCs w:val="18"/>
                <w14:textFill>
                  <w14:solidFill>
                    <w14:schemeClr w14:val="tx1"/>
                  </w14:solidFill>
                </w14:textFill>
              </w:rPr>
              <w:t>1]</w:t>
            </w:r>
          </w:p>
        </w:tc>
      </w:tr>
      <w:tr>
        <w:trPr>
          <w:trHeight w:val="780" w:hRule="atLeast"/>
        </w:trPr>
        <w:tc>
          <w:tcPr>
            <w:tcW w:w="96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c.3830_3839delinsAG (p.C1277Xdel8)</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Exon35</w:t>
            </w:r>
          </w:p>
        </w:tc>
        <w:tc>
          <w:tcPr>
            <w:tcW w:w="850"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6"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709"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1275"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992"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c>
          <w:tcPr>
            <w:tcW w:w="2268" w:type="dxa"/>
            <w:vMerge w:val="continue"/>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p>
        </w:tc>
        <w:tc>
          <w:tcPr>
            <w:tcW w:w="743" w:type="dxa"/>
            <w:vMerge w:val="continue"/>
            <w:vAlign w:val="center"/>
          </w:tcPr>
          <w:p>
            <w:pPr>
              <w:widowControl/>
              <w:jc w:val="left"/>
              <w:rPr>
                <w:rFonts w:ascii="Times New Roman" w:hAnsi="Times New Roman" w:eastAsia="DengXian" w:cs="Times New Roman"/>
                <w:color w:val="000000" w:themeColor="text1"/>
                <w:kern w:val="0"/>
                <w:sz w:val="18"/>
                <w:szCs w:val="18"/>
                <w14:textFill>
                  <w14:solidFill>
                    <w14:schemeClr w14:val="tx1"/>
                  </w14:solidFill>
                </w14:textFill>
              </w:rPr>
            </w:pPr>
          </w:p>
        </w:tc>
      </w:tr>
      <w:tr>
        <w:trPr>
          <w:trHeight w:val="481"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Hom c.2595_2597delGGT (p.Val866del)</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Exon24</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1/1(Mild HCM)</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w:t>
            </w:r>
            <w:r>
              <w:rPr>
                <w:rFonts w:ascii="Times New Roman" w:hAnsi="Times New Roman" w:eastAsia="DengXian" w:cs="Times New Roman"/>
                <w:color w:val="000000" w:themeColor="text1"/>
                <w:kern w:val="0"/>
                <w:sz w:val="18"/>
                <w:szCs w:val="18"/>
                <w14:textFill>
                  <w14:solidFill>
                    <w14:schemeClr w14:val="tx1"/>
                  </w14:solidFill>
                </w14:textFill>
              </w:rPr>
              <w:t>4]</w:t>
            </w:r>
          </w:p>
        </w:tc>
      </w:tr>
      <w:tr>
        <w:trPr>
          <w:trHeight w:val="269" w:hRule="atLeast"/>
        </w:trPr>
        <w:tc>
          <w:tcPr>
            <w:tcW w:w="96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2(2)</w:t>
            </w:r>
          </w:p>
        </w:tc>
        <w:tc>
          <w:tcPr>
            <w:tcW w:w="229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Hom c.2726_2728delAGA (p.Lys909del)</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Exon25</w:t>
            </w:r>
          </w:p>
        </w:tc>
        <w:tc>
          <w:tcPr>
            <w:tcW w:w="850"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N.A.</w:t>
            </w:r>
          </w:p>
        </w:tc>
        <w:tc>
          <w:tcPr>
            <w:tcW w:w="1276"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1/1(AHP, HCM); N.A.</w:t>
            </w:r>
          </w:p>
        </w:tc>
        <w:tc>
          <w:tcPr>
            <w:tcW w:w="709"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N.A.</w:t>
            </w:r>
          </w:p>
        </w:tc>
        <w:tc>
          <w:tcPr>
            <w:tcW w:w="1275"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N.A.</w:t>
            </w:r>
          </w:p>
        </w:tc>
        <w:tc>
          <w:tcPr>
            <w:tcW w:w="99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N.A.</w:t>
            </w:r>
          </w:p>
        </w:tc>
        <w:tc>
          <w:tcPr>
            <w:tcW w:w="992"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ascii="Times New Roman" w:hAnsi="Times New Roman" w:eastAsia="DengXian" w:cs="Times New Roman"/>
                <w:color w:val="000000" w:themeColor="text1"/>
                <w:kern w:val="0"/>
                <w:sz w:val="18"/>
                <w:szCs w:val="18"/>
                <w14:textFill>
                  <w14:solidFill>
                    <w14:schemeClr w14:val="tx1"/>
                  </w14:solidFill>
                </w14:textFill>
              </w:rPr>
              <w:t>1/1; N.A.</w:t>
            </w:r>
          </w:p>
        </w:tc>
        <w:tc>
          <w:tcPr>
            <w:tcW w:w="2268"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　</w:t>
            </w:r>
          </w:p>
        </w:tc>
        <w:tc>
          <w:tcPr>
            <w:tcW w:w="743" w:type="dxa"/>
            <w:shd w:val="clear" w:color="auto" w:fill="auto"/>
            <w:vAlign w:val="center"/>
          </w:tcPr>
          <w:p>
            <w:pPr>
              <w:widowControl/>
              <w:jc w:val="center"/>
              <w:rPr>
                <w:rFonts w:ascii="Times New Roman" w:hAnsi="Times New Roman" w:eastAsia="DengXian" w:cs="Times New Roman"/>
                <w:color w:val="000000" w:themeColor="text1"/>
                <w:kern w:val="0"/>
                <w:sz w:val="18"/>
                <w:szCs w:val="18"/>
                <w14:textFill>
                  <w14:solidFill>
                    <w14:schemeClr w14:val="tx1"/>
                  </w14:solidFill>
                </w14:textFill>
              </w:rPr>
            </w:pPr>
            <w:r>
              <w:rPr>
                <w:rFonts w:hint="eastAsia" w:ascii="Times New Roman" w:hAnsi="Times New Roman" w:eastAsia="DengXian" w:cs="Times New Roman"/>
                <w:color w:val="000000" w:themeColor="text1"/>
                <w:kern w:val="0"/>
                <w:sz w:val="18"/>
                <w:szCs w:val="18"/>
                <w14:textFill>
                  <w14:solidFill>
                    <w14:schemeClr w14:val="tx1"/>
                  </w14:solidFill>
                </w14:textFill>
              </w:rPr>
              <w:t>[</w:t>
            </w:r>
            <w:r>
              <w:rPr>
                <w:rFonts w:ascii="Times New Roman" w:hAnsi="Times New Roman" w:eastAsia="DengXian" w:cs="Times New Roman"/>
                <w:color w:val="000000" w:themeColor="text1"/>
                <w:kern w:val="0"/>
                <w:sz w:val="18"/>
                <w:szCs w:val="18"/>
                <w14:textFill>
                  <w14:solidFill>
                    <w14:schemeClr w14:val="tx1"/>
                  </w14:solidFill>
                </w14:textFill>
              </w:rPr>
              <w:t>4]; SCV</w:t>
            </w:r>
          </w:p>
        </w:tc>
      </w:tr>
    </w:tbl>
    <w:p>
      <w:pP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 xml:space="preserve">†Number of patients with the corresponding organ involvement/total patients with the indicated </w:t>
      </w:r>
      <w:r>
        <w:rPr>
          <w:rFonts w:ascii="Times New Roman" w:hAnsi="Times New Roman" w:cs="Times New Roman"/>
          <w:i/>
          <w:color w:val="000000" w:themeColor="text1"/>
          <w14:textFill>
            <w14:solidFill>
              <w14:schemeClr w14:val="tx1"/>
            </w14:solidFill>
          </w14:textFill>
        </w:rPr>
        <w:t>LRPPRC</w:t>
      </w:r>
      <w:r>
        <w:rPr>
          <w:rFonts w:ascii="Times New Roman" w:hAnsi="Times New Roman" w:cs="Times New Roman"/>
          <w:color w:val="000000" w:themeColor="text1"/>
          <w14:textFill>
            <w14:solidFill>
              <w14:schemeClr w14:val="tx1"/>
            </w14:solidFill>
          </w14:textFill>
        </w:rPr>
        <w:t xml:space="preserve"> variants reported in each study was separated by semicolon (corresponding to each reference shown in Ref column), and cardiac involvement was further described in details shown in parentheses with semicolon separating different patients. Hom, homozygous; CNS, Central Nervous System; MMR, mild mitral regurgitation; CCM, complex cardiac malformation, including hypoplastic left heart, atrio-ventricular septal defect and aortic and mitral valve atresia; CM, cardiomyopathy; LVH, left ventricular hypertrophy; HCM, hypertrophic cardiomyopathy; BAV, bicuspid aortic valve; AHP, arterial hypertension; N.A., not available; </w:t>
      </w:r>
    </w:p>
    <w:p>
      <w:pP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Ref, published references and SCV(SCV000680282.1) for Clinvar submissions. And the reference without citation in the main text is listed below as a-h.</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Yavarna T</w:t>
      </w:r>
      <w:r>
        <w:rPr>
          <w:rFonts w:ascii="Times New Roman" w:hAnsi="Times New Roman" w:cs="Times New Roman"/>
        </w:rPr>
        <w:t>, et al</w:t>
      </w:r>
      <w:r>
        <w:rPr>
          <w:rFonts w:ascii="Times New Roman" w:hAnsi="Times New Roman" w:cs="Times New Roman"/>
          <w:color w:val="000000" w:themeColor="text1"/>
          <w14:textFill>
            <w14:solidFill>
              <w14:schemeClr w14:val="tx1"/>
            </w14:solidFill>
          </w14:textFill>
        </w:rPr>
        <w:t>. Hum Genet. 2015;134:967-80.</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pPr>
      <w:r>
        <w:rPr>
          <w:rFonts w:ascii="Times New Roman" w:hAnsi="Times New Roman" w:cs="Times New Roman"/>
        </w:rPr>
        <w:t>Han VX, et al</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i/>
        </w:rPr>
        <w:t>Child Neurol Open</w:t>
      </w:r>
      <w:r>
        <w:rPr>
          <w:rFonts w:ascii="Times New Roman" w:hAnsi="Times New Roman" w:cs="Times New Roman"/>
        </w:rPr>
        <w:t>. 2017;4:2329048X17737638.</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Abouelhoda M,</w:t>
      </w:r>
      <w:r>
        <w:rPr>
          <w:rFonts w:ascii="Times New Roman" w:hAnsi="Times New Roman" w:cs="Times New Roman"/>
        </w:rPr>
        <w:t xml:space="preserve"> et al.</w:t>
      </w:r>
      <w:r>
        <w:rPr>
          <w:rFonts w:ascii="Times New Roman" w:hAnsi="Times New Roman" w:cs="Times New Roman"/>
          <w:color w:val="000000" w:themeColor="text1"/>
          <w14:textFill>
            <w14:solidFill>
              <w14:schemeClr w14:val="tx1"/>
            </w14:solidFill>
          </w14:textFill>
        </w:rPr>
        <w:t xml:space="preserve"> Genet Med. 2016;18:1244-1249.</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pPr>
      <w:r>
        <w:rPr>
          <w:rFonts w:ascii="Times New Roman" w:hAnsi="Times New Roman" w:cs="Times New Roman"/>
        </w:rPr>
        <w:t xml:space="preserve">Kohda M, et al. </w:t>
      </w:r>
      <w:r>
        <w:rPr>
          <w:rFonts w:ascii="Times New Roman" w:hAnsi="Times New Roman" w:cs="Times New Roman"/>
          <w:i/>
        </w:rPr>
        <w:t>PLoS Genet</w:t>
      </w:r>
      <w:r>
        <w:rPr>
          <w:rFonts w:ascii="Times New Roman" w:hAnsi="Times New Roman" w:cs="Times New Roman"/>
        </w:rPr>
        <w:t>. 2016;12:e1005679.</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pPr>
      <w:r>
        <w:rPr>
          <w:rFonts w:ascii="Times New Roman" w:hAnsi="Times New Roman" w:cs="Times New Roman"/>
        </w:rPr>
        <w:t xml:space="preserve">Alfares A, et al. </w:t>
      </w:r>
      <w:r>
        <w:rPr>
          <w:rFonts w:ascii="Times New Roman" w:hAnsi="Times New Roman" w:cs="Times New Roman"/>
          <w:i/>
        </w:rPr>
        <w:t>Mol Genet Metab</w:t>
      </w:r>
      <w:r>
        <w:rPr>
          <w:rFonts w:ascii="Times New Roman" w:hAnsi="Times New Roman" w:cs="Times New Roman"/>
        </w:rPr>
        <w:t>. 2017;121:91-95.</w:t>
      </w:r>
    </w:p>
    <w:p>
      <w:pPr>
        <w:pStyle w:val="15"/>
        <w:numPr>
          <w:ilvl w:val="0"/>
          <w:numId w:val="1"/>
        </w:numPr>
        <w:ind w:firstLineChars="0"/>
        <w:rPr>
          <w:rFonts w:ascii="Times New Roman" w:hAnsi="Times New Roman" w:cs="Times New Roman"/>
          <w:color w:val="000000" w:themeColor="text1"/>
          <w14:textFill>
            <w14:solidFill>
              <w14:schemeClr w14:val="tx1"/>
            </w14:solidFill>
          </w14:textFill>
        </w:rPr>
        <w:sectPr>
          <w:pgSz w:w="16840" w:h="11900" w:orient="landscape"/>
          <w:pgMar w:top="1797" w:right="1440" w:bottom="1797" w:left="1440" w:header="851" w:footer="992" w:gutter="0"/>
          <w:cols w:space="425" w:num="1"/>
          <w:docGrid w:type="linesAndChars" w:linePitch="312" w:charSpace="0"/>
        </w:sectPr>
      </w:pPr>
      <w:r>
        <w:rPr>
          <w:rFonts w:ascii="Times New Roman" w:hAnsi="Times New Roman" w:cs="Times New Roman"/>
        </w:rPr>
        <w:t xml:space="preserve">Mootha VK, et al. </w:t>
      </w:r>
      <w:r>
        <w:rPr>
          <w:rFonts w:ascii="Times New Roman" w:hAnsi="Times New Roman" w:cs="Times New Roman"/>
          <w:i/>
        </w:rPr>
        <w:t>Proc Natl Acad Sci U S A</w:t>
      </w:r>
      <w:r>
        <w:rPr>
          <w:rFonts w:ascii="Times New Roman" w:hAnsi="Times New Roman" w:cs="Times New Roman"/>
        </w:rPr>
        <w:t>. 2003;100:605-10.</w:t>
      </w:r>
    </w:p>
    <w:p>
      <w:bookmarkStart w:id="0" w:name="_GoBack"/>
      <w:bookmarkEnd w:id="0"/>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0"/>
    </w:sdtPr>
    <w:sdtEndPr>
      <w:rPr>
        <w:rStyle w:val="6"/>
      </w:rPr>
    </w:sdtEndPr>
    <w:sdtContent>
      <w:p>
        <w:pPr>
          <w:pStyle w:val="3"/>
          <w:framePr w:wrap="around"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246924135"/>
    </w:sdtPr>
    <w:sdtEndPr>
      <w:rPr>
        <w:rStyle w:val="6"/>
      </w:rPr>
    </w:sdtEndPr>
    <w:sdtContent>
      <w:p>
        <w:pPr>
          <w:pStyle w:val="3"/>
          <w:framePr w:wrap="around" w:vAnchor="text" w:hAnchor="margin" w:xAlign="center" w:y="1"/>
          <w:rPr>
            <w:rStyle w:val="6"/>
          </w:rPr>
        </w:pPr>
        <w:r>
          <w:rPr>
            <w:rStyle w:val="6"/>
          </w:rPr>
          <w:fldChar w:fldCharType="begin"/>
        </w:r>
        <w:r>
          <w:rPr>
            <w:rStyle w:val="6"/>
          </w:rPr>
          <w:instrText xml:space="preserve"> PAGE </w:instrText>
        </w:r>
        <w:r>
          <w:rPr>
            <w:rStyle w:val="6"/>
          </w:rPr>
          <w:fldChar w:fldCharType="end"/>
        </w:r>
      </w:p>
    </w:sdtContent>
  </w:sdt>
  <w:sdt>
    <w:sdtPr>
      <w:rPr>
        <w:rStyle w:val="6"/>
      </w:rPr>
      <w:id w:val="0"/>
    </w:sdtPr>
    <w:sdtEndPr>
      <w:rPr>
        <w:rStyle w:val="6"/>
      </w:rPr>
    </w:sdtEndPr>
    <w:sdtContent>
      <w:p>
        <w:pPr>
          <w:pStyle w:val="3"/>
          <w:framePr w:wrap="around"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E629FD"/>
    <w:multiLevelType w:val="multilevel"/>
    <w:tmpl w:val="6BE629FD"/>
    <w:lvl w:ilvl="0" w:tentative="0">
      <w:start w:val="1"/>
      <w:numFmt w:val="lowerLetter"/>
      <w:lvlText w:val="%1."/>
      <w:lvlJc w:val="left"/>
      <w:pPr>
        <w:ind w:left="360" w:hanging="360"/>
      </w:pPr>
      <w:rPr>
        <w:rFonts w:hint="default" w:asciiTheme="minorHAnsi" w:hAnsiTheme="minorHAnsi"/>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irculation precision medicin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e99espfef2w7ez9dop0sddswzz0szz5zdp&quot;&gt;My EndNote Library-Converted&lt;record-ids&gt;&lt;item&gt;12&lt;/item&gt;&lt;item&gt;20&lt;/item&gt;&lt;item&gt;21&lt;/item&gt;&lt;item&gt;22&lt;/item&gt;&lt;/record-ids&gt;&lt;/item&gt;&lt;/Libraries&gt;"/>
  </w:docVars>
  <w:rsids>
    <w:rsidRoot w:val="00AB01C4"/>
    <w:rsid w:val="0008566D"/>
    <w:rsid w:val="000D21F2"/>
    <w:rsid w:val="001A0E96"/>
    <w:rsid w:val="0020763E"/>
    <w:rsid w:val="00245F3D"/>
    <w:rsid w:val="002C2633"/>
    <w:rsid w:val="003730D7"/>
    <w:rsid w:val="0041046B"/>
    <w:rsid w:val="00433ADA"/>
    <w:rsid w:val="00445939"/>
    <w:rsid w:val="004906B4"/>
    <w:rsid w:val="004A2991"/>
    <w:rsid w:val="004B18A8"/>
    <w:rsid w:val="004E5E82"/>
    <w:rsid w:val="005376A4"/>
    <w:rsid w:val="005D3235"/>
    <w:rsid w:val="0067568C"/>
    <w:rsid w:val="006F6D27"/>
    <w:rsid w:val="00732A3B"/>
    <w:rsid w:val="00752077"/>
    <w:rsid w:val="007871ED"/>
    <w:rsid w:val="008D6B80"/>
    <w:rsid w:val="009623A3"/>
    <w:rsid w:val="00A37B33"/>
    <w:rsid w:val="00AB01C4"/>
    <w:rsid w:val="00B17618"/>
    <w:rsid w:val="00B30E5D"/>
    <w:rsid w:val="00B45623"/>
    <w:rsid w:val="00C3454D"/>
    <w:rsid w:val="00CB619D"/>
    <w:rsid w:val="00CC1691"/>
    <w:rsid w:val="00D24ACD"/>
    <w:rsid w:val="00EE6656"/>
    <w:rsid w:val="78BFEF21"/>
    <w:rsid w:val="F3FF4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alloon Text"/>
    <w:basedOn w:val="1"/>
    <w:link w:val="17"/>
    <w:unhideWhenUsed/>
    <w:qFormat/>
    <w:uiPriority w:val="99"/>
    <w:rPr>
      <w:rFonts w:ascii="宋体" w:eastAsia="宋体"/>
      <w:sz w:val="18"/>
      <w:szCs w:val="18"/>
    </w:r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6">
    <w:name w:val="page number"/>
    <w:basedOn w:val="5"/>
    <w:unhideWhenUsed/>
    <w:qFormat/>
    <w:uiPriority w:val="99"/>
  </w:style>
  <w:style w:type="character" w:styleId="7">
    <w:name w:val="Hyperlink"/>
    <w:basedOn w:val="5"/>
    <w:unhideWhenUsed/>
    <w:qFormat/>
    <w:uiPriority w:val="99"/>
    <w:rPr>
      <w:color w:val="0563C1" w:themeColor="hyperlink"/>
      <w:u w:val="single"/>
      <w14:textFill>
        <w14:solidFill>
          <w14:schemeClr w14:val="hlink"/>
        </w14:solidFill>
      </w14:textFill>
    </w:rPr>
  </w:style>
  <w:style w:type="table" w:styleId="9">
    <w:name w:val="Table Grid"/>
    <w:basedOn w:val="8"/>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Unresolved Mention"/>
    <w:basedOn w:val="5"/>
    <w:unhideWhenUsed/>
    <w:qFormat/>
    <w:uiPriority w:val="99"/>
    <w:rPr>
      <w:color w:val="605E5C"/>
      <w:shd w:val="clear" w:color="auto" w:fill="E1DFDD"/>
    </w:rPr>
  </w:style>
  <w:style w:type="paragraph" w:customStyle="1" w:styleId="11">
    <w:name w:val="EndNote Bibliography Title"/>
    <w:basedOn w:val="1"/>
    <w:link w:val="12"/>
    <w:qFormat/>
    <w:uiPriority w:val="0"/>
    <w:pPr>
      <w:jc w:val="center"/>
    </w:pPr>
    <w:rPr>
      <w:rFonts w:ascii="DengXian" w:hAnsi="DengXian" w:eastAsia="DengXian"/>
      <w:sz w:val="20"/>
    </w:rPr>
  </w:style>
  <w:style w:type="character" w:customStyle="1" w:styleId="12">
    <w:name w:val="EndNote Bibliography Title 字符"/>
    <w:basedOn w:val="5"/>
    <w:link w:val="11"/>
    <w:qFormat/>
    <w:uiPriority w:val="0"/>
    <w:rPr>
      <w:rFonts w:ascii="DengXian" w:hAnsi="DengXian" w:eastAsia="DengXian"/>
      <w:sz w:val="20"/>
    </w:rPr>
  </w:style>
  <w:style w:type="paragraph" w:customStyle="1" w:styleId="13">
    <w:name w:val="EndNote Bibliography"/>
    <w:basedOn w:val="1"/>
    <w:link w:val="14"/>
    <w:qFormat/>
    <w:uiPriority w:val="0"/>
    <w:rPr>
      <w:rFonts w:ascii="DengXian" w:hAnsi="DengXian" w:eastAsia="DengXian"/>
      <w:sz w:val="20"/>
    </w:rPr>
  </w:style>
  <w:style w:type="character" w:customStyle="1" w:styleId="14">
    <w:name w:val="EndNote Bibliography 字符"/>
    <w:basedOn w:val="5"/>
    <w:link w:val="13"/>
    <w:qFormat/>
    <w:uiPriority w:val="0"/>
    <w:rPr>
      <w:rFonts w:ascii="DengXian" w:hAnsi="DengXian" w:eastAsia="DengXian"/>
      <w:sz w:val="20"/>
    </w:rPr>
  </w:style>
  <w:style w:type="paragraph" w:customStyle="1" w:styleId="15">
    <w:name w:val="List Paragraph"/>
    <w:basedOn w:val="1"/>
    <w:qFormat/>
    <w:uiPriority w:val="34"/>
    <w:pPr>
      <w:ind w:firstLine="420" w:firstLineChars="200"/>
    </w:pPr>
  </w:style>
  <w:style w:type="character" w:customStyle="1" w:styleId="16">
    <w:name w:val="页脚 字符"/>
    <w:basedOn w:val="5"/>
    <w:link w:val="3"/>
    <w:qFormat/>
    <w:uiPriority w:val="99"/>
    <w:rPr>
      <w:sz w:val="18"/>
      <w:szCs w:val="18"/>
    </w:rPr>
  </w:style>
  <w:style w:type="character" w:customStyle="1" w:styleId="17">
    <w:name w:val="批注框文本 字符"/>
    <w:basedOn w:val="5"/>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1211</Words>
  <Characters>7293</Characters>
  <Lines>112</Lines>
  <Paragraphs>36</Paragraphs>
  <TotalTime>0</TotalTime>
  <ScaleCrop>false</ScaleCrop>
  <LinksUpToDate>false</LinksUpToDate>
  <CharactersWithSpaces>8468</CharactersWithSpaces>
  <Application>WPS Office_3.3.0.5120_F1E327BC-269C-435d-A152-05C5408002CA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2020-03-25T14:44:00Z</dcterms:created>
  <dc:creator>Microsoft Office User</dc:creator>
  <cp:lastModifiedBy>mayi</cp:lastModifiedBy>
  <dcterms:modified xsi:type="dcterms:W3CDTF">2021-06-07T11:53:56Z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2052-3.3.0.5120</vt:lpwstr>
  </property>
</Properties>
</file>