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A929D9" w14:textId="12B97413" w:rsidR="003644DD" w:rsidRPr="003644DD" w:rsidRDefault="003644DD" w:rsidP="003644DD">
      <w:r w:rsidRPr="003644DD">
        <w:drawing>
          <wp:inline distT="0" distB="0" distL="0" distR="0" wp14:anchorId="101B416A" wp14:editId="21668CE9">
            <wp:extent cx="5400675" cy="7981950"/>
            <wp:effectExtent l="0" t="0" r="9525" b="0"/>
            <wp:docPr id="18090086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798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B70EFE" w14:textId="77777777" w:rsidR="003644DD" w:rsidRPr="003644DD" w:rsidRDefault="003644DD" w:rsidP="003644DD">
      <w:pPr>
        <w:rPr>
          <w:b/>
        </w:rPr>
      </w:pPr>
    </w:p>
    <w:p w14:paraId="2DC72A13" w14:textId="77777777" w:rsidR="003644DD" w:rsidRPr="003644DD" w:rsidRDefault="003644DD" w:rsidP="003644DD">
      <w:pPr>
        <w:rPr>
          <w:b/>
        </w:rPr>
      </w:pPr>
      <w:r w:rsidRPr="003644DD">
        <w:rPr>
          <w:b/>
        </w:rPr>
        <w:t>Supplementary Fig. 1.  UMAP projections of single RNAseq datasets at 8, 10 and 12hpf.</w:t>
      </w:r>
    </w:p>
    <w:p w14:paraId="4CA5ED66" w14:textId="77777777" w:rsidR="003644DD" w:rsidRDefault="003644DD" w:rsidP="003644DD">
      <w:r w:rsidRPr="003644DD">
        <w:t>Visualization of the cells expressing ectodermal genes (</w:t>
      </w:r>
      <w:r w:rsidRPr="003644DD">
        <w:rPr>
          <w:i/>
        </w:rPr>
        <w:t>apc</w:t>
      </w:r>
      <w:r w:rsidRPr="003644DD">
        <w:t xml:space="preserve">, </w:t>
      </w:r>
      <w:r w:rsidRPr="003644DD">
        <w:rPr>
          <w:i/>
        </w:rPr>
        <w:t>koza-like 1)</w:t>
      </w:r>
      <w:r w:rsidRPr="003644DD">
        <w:t>, mesodermal genes (</w:t>
      </w:r>
      <w:r w:rsidRPr="003644DD">
        <w:rPr>
          <w:i/>
        </w:rPr>
        <w:t>tbx19-like</w:t>
      </w:r>
      <w:r w:rsidRPr="003644DD">
        <w:t xml:space="preserve">, </w:t>
      </w:r>
      <w:r w:rsidRPr="003644DD">
        <w:rPr>
          <w:i/>
        </w:rPr>
        <w:t>pitx1-like,</w:t>
      </w:r>
      <w:r w:rsidRPr="003644DD">
        <w:t xml:space="preserve"> </w:t>
      </w:r>
      <w:r w:rsidRPr="003644DD">
        <w:rPr>
          <w:i/>
        </w:rPr>
        <w:t xml:space="preserve">snailA) </w:t>
      </w:r>
      <w:r w:rsidRPr="003644DD">
        <w:t>and</w:t>
      </w:r>
      <w:r w:rsidRPr="003644DD">
        <w:rPr>
          <w:i/>
        </w:rPr>
        <w:t xml:space="preserve"> </w:t>
      </w:r>
      <w:r w:rsidRPr="003644DD">
        <w:t>endodermal genes (</w:t>
      </w:r>
      <w:r w:rsidRPr="003644DD">
        <w:rPr>
          <w:i/>
        </w:rPr>
        <w:t>foxA</w:t>
      </w:r>
      <w:r w:rsidRPr="003644DD">
        <w:t xml:space="preserve">, </w:t>
      </w:r>
      <w:r w:rsidRPr="003644DD">
        <w:rPr>
          <w:i/>
        </w:rPr>
        <w:t>brachyury)</w:t>
      </w:r>
      <w:r w:rsidRPr="003644DD">
        <w:t xml:space="preserve"> at different time points during early development in </w:t>
      </w:r>
      <w:r w:rsidRPr="003644DD">
        <w:rPr>
          <w:i/>
        </w:rPr>
        <w:t>Nematostella</w:t>
      </w:r>
      <w:r w:rsidRPr="003644DD">
        <w:t>.</w:t>
      </w:r>
    </w:p>
    <w:p w14:paraId="2624DDF0" w14:textId="77777777" w:rsidR="003644DD" w:rsidRDefault="003644DD" w:rsidP="003644DD"/>
    <w:p w14:paraId="453E2EFF" w14:textId="77777777" w:rsidR="003644DD" w:rsidRDefault="003644DD" w:rsidP="003644DD"/>
    <w:p w14:paraId="2644A57B" w14:textId="77777777" w:rsidR="003644DD" w:rsidRDefault="003644DD" w:rsidP="003644DD"/>
    <w:p w14:paraId="6BEDBD7E" w14:textId="77777777" w:rsidR="003644DD" w:rsidRDefault="003644DD" w:rsidP="003644DD"/>
    <w:p w14:paraId="729F55C2" w14:textId="77777777" w:rsidR="003644DD" w:rsidRDefault="003644DD" w:rsidP="003644DD"/>
    <w:p w14:paraId="443E08A6" w14:textId="77777777" w:rsidR="003644DD" w:rsidRPr="003644DD" w:rsidRDefault="003644DD" w:rsidP="003644DD"/>
    <w:p w14:paraId="1D812E41" w14:textId="1F42DFBA" w:rsidR="003644DD" w:rsidRPr="003644DD" w:rsidRDefault="003644DD" w:rsidP="003644DD">
      <w:r w:rsidRPr="003644DD">
        <w:drawing>
          <wp:inline distT="0" distB="0" distL="0" distR="0" wp14:anchorId="62060F2D" wp14:editId="5B59DC55">
            <wp:extent cx="2847975" cy="1714500"/>
            <wp:effectExtent l="0" t="0" r="9525" b="0"/>
            <wp:docPr id="488671685" name="Picture 4" descr="A collage of different colors of bloo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671685" name="Picture 4" descr="A collage of different colors of bloo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84595" w14:textId="77777777" w:rsidR="003644DD" w:rsidRPr="003644DD" w:rsidRDefault="003644DD" w:rsidP="003644DD"/>
    <w:p w14:paraId="26F25A65" w14:textId="77777777" w:rsidR="003644DD" w:rsidRPr="003644DD" w:rsidRDefault="003644DD" w:rsidP="003644DD">
      <w:r w:rsidRPr="003644DD">
        <w:rPr>
          <w:b/>
        </w:rPr>
        <w:t xml:space="preserve">Supplementary Fig. 2 </w:t>
      </w:r>
      <w:r w:rsidRPr="003644DD">
        <w:t xml:space="preserve"> </w:t>
      </w:r>
      <w:r w:rsidRPr="003644DD">
        <w:rPr>
          <w:b/>
        </w:rPr>
        <w:t>β-catenin signaling prevents mesodermal marker expression at 20 hpf.</w:t>
      </w:r>
      <w:r w:rsidRPr="003644DD">
        <w:t xml:space="preserve"> Expression of mesodermal genes </w:t>
      </w:r>
      <w:r w:rsidRPr="003644DD">
        <w:rPr>
          <w:i/>
        </w:rPr>
        <w:t>zicA</w:t>
      </w:r>
      <w:r w:rsidRPr="003644DD">
        <w:t xml:space="preserve">, </w:t>
      </w:r>
      <w:r w:rsidRPr="003644DD">
        <w:rPr>
          <w:i/>
        </w:rPr>
        <w:t>nkx2.2D</w:t>
      </w:r>
      <w:r w:rsidRPr="003644DD">
        <w:t xml:space="preserve">, </w:t>
      </w:r>
      <w:r w:rsidRPr="003644DD">
        <w:rPr>
          <w:i/>
        </w:rPr>
        <w:t>mitf-like</w:t>
      </w:r>
      <w:r w:rsidRPr="003644DD">
        <w:t xml:space="preserve">, </w:t>
      </w:r>
      <w:r w:rsidRPr="003644DD">
        <w:rPr>
          <w:i/>
        </w:rPr>
        <w:t>smad1/5</w:t>
      </w:r>
      <w:r w:rsidRPr="003644DD">
        <w:t xml:space="preserve">, </w:t>
      </w:r>
      <w:r w:rsidRPr="003644DD">
        <w:rPr>
          <w:i/>
        </w:rPr>
        <w:t>nkx2.2B</w:t>
      </w:r>
      <w:r w:rsidRPr="003644DD">
        <w:t xml:space="preserve"> in AZ treated embryos or β-catenin morpholino injected embryos at 20hpf. LV; lateral view.</w:t>
      </w:r>
    </w:p>
    <w:p w14:paraId="0F940009" w14:textId="77777777" w:rsidR="00AC0449" w:rsidRDefault="00AC0449"/>
    <w:p w14:paraId="6BBCC311" w14:textId="77777777" w:rsidR="003644DD" w:rsidRDefault="003644DD"/>
    <w:p w14:paraId="2C481F46" w14:textId="38F01711" w:rsidR="003644DD" w:rsidRPr="003644DD" w:rsidRDefault="003644DD" w:rsidP="003644DD">
      <w:pPr>
        <w:rPr>
          <w:b/>
        </w:rPr>
      </w:pPr>
      <w:r w:rsidRPr="003644DD">
        <w:rPr>
          <w:b/>
        </w:rPr>
        <w:lastRenderedPageBreak/>
        <w:drawing>
          <wp:inline distT="0" distB="0" distL="0" distR="0" wp14:anchorId="3613AFB2" wp14:editId="36BBBD4C">
            <wp:extent cx="5943600" cy="4972050"/>
            <wp:effectExtent l="0" t="0" r="0" b="0"/>
            <wp:docPr id="1407658139" name="Picture 6" descr="A collage of images of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658139" name="Picture 6" descr="A collage of images of cell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49193" w14:textId="77777777" w:rsidR="003644DD" w:rsidRPr="003644DD" w:rsidRDefault="003644DD" w:rsidP="003644DD">
      <w:pPr>
        <w:rPr>
          <w:b/>
        </w:rPr>
      </w:pPr>
    </w:p>
    <w:p w14:paraId="0CB1A9BE" w14:textId="77777777" w:rsidR="003644DD" w:rsidRPr="003644DD" w:rsidRDefault="003644DD" w:rsidP="003644DD">
      <w:pPr>
        <w:rPr>
          <w:b/>
        </w:rPr>
      </w:pPr>
      <w:r w:rsidRPr="003644DD">
        <w:rPr>
          <w:b/>
        </w:rPr>
        <w:t>Supplementary Fig. 4</w:t>
      </w:r>
      <w:r w:rsidRPr="003644DD">
        <w:t xml:space="preserve">  </w:t>
      </w:r>
      <w:r w:rsidRPr="003644DD">
        <w:rPr>
          <w:b/>
        </w:rPr>
        <w:t xml:space="preserve">ERG is essential for mesoderm specification and morphogenesis. </w:t>
      </w:r>
      <w:r w:rsidRPr="003644DD">
        <w:t>(A) Mesodermal gene expression analysis by in situ hybridization on 20hpf U0126 treated and control embryos. LV; lateral view.</w:t>
      </w:r>
      <w:r w:rsidRPr="003644DD">
        <w:rPr>
          <w:b/>
        </w:rPr>
        <w:t xml:space="preserve"> </w:t>
      </w:r>
      <w:r w:rsidRPr="003644DD">
        <w:t>(B) Mesodermal (</w:t>
      </w:r>
      <w:r w:rsidRPr="003644DD">
        <w:rPr>
          <w:i/>
        </w:rPr>
        <w:t>erg</w:t>
      </w:r>
      <w:r w:rsidRPr="003644DD">
        <w:t xml:space="preserve">, </w:t>
      </w:r>
      <w:r w:rsidRPr="003644DD">
        <w:rPr>
          <w:i/>
        </w:rPr>
        <w:t>nkx2.2B</w:t>
      </w:r>
      <w:r w:rsidRPr="003644DD">
        <w:t xml:space="preserve">, </w:t>
      </w:r>
      <w:r w:rsidRPr="003644DD">
        <w:rPr>
          <w:i/>
        </w:rPr>
        <w:t>hand2</w:t>
      </w:r>
      <w:r w:rsidRPr="003644DD">
        <w:t xml:space="preserve">, </w:t>
      </w:r>
      <w:r w:rsidRPr="003644DD">
        <w:rPr>
          <w:i/>
        </w:rPr>
        <w:t>nkx2.2D</w:t>
      </w:r>
      <w:r w:rsidRPr="003644DD">
        <w:t xml:space="preserve">, </w:t>
      </w:r>
      <w:r w:rsidRPr="003644DD">
        <w:rPr>
          <w:i/>
        </w:rPr>
        <w:t>mitf-like</w:t>
      </w:r>
      <w:r w:rsidRPr="003644DD">
        <w:t xml:space="preserve">, </w:t>
      </w:r>
      <w:r w:rsidRPr="003644DD">
        <w:rPr>
          <w:i/>
        </w:rPr>
        <w:t>otxA</w:t>
      </w:r>
      <w:r w:rsidRPr="003644DD">
        <w:t xml:space="preserve">, </w:t>
      </w:r>
      <w:r w:rsidRPr="003644DD">
        <w:rPr>
          <w:i/>
        </w:rPr>
        <w:t>otxB</w:t>
      </w:r>
      <w:r w:rsidRPr="003644DD">
        <w:t xml:space="preserve">, </w:t>
      </w:r>
      <w:r w:rsidRPr="003644DD">
        <w:rPr>
          <w:i/>
        </w:rPr>
        <w:t>otxC</w:t>
      </w:r>
      <w:r w:rsidRPr="003644DD">
        <w:t xml:space="preserve">, </w:t>
      </w:r>
      <w:r w:rsidRPr="003644DD">
        <w:rPr>
          <w:i/>
        </w:rPr>
        <w:t>zicA, snailA, smad1/5, runx</w:t>
      </w:r>
      <w:r w:rsidRPr="003644DD">
        <w:t xml:space="preserve">, </w:t>
      </w:r>
      <w:r w:rsidRPr="003644DD">
        <w:rPr>
          <w:i/>
        </w:rPr>
        <w:t>six4/5</w:t>
      </w:r>
      <w:r w:rsidRPr="003644DD">
        <w:t>) and endodermal (</w:t>
      </w:r>
      <w:r w:rsidRPr="003644DD">
        <w:rPr>
          <w:i/>
        </w:rPr>
        <w:t>brachyury</w:t>
      </w:r>
      <w:r w:rsidRPr="003644DD">
        <w:t xml:space="preserve">, </w:t>
      </w:r>
      <w:r w:rsidRPr="003644DD">
        <w:rPr>
          <w:i/>
        </w:rPr>
        <w:t>foxA</w:t>
      </w:r>
      <w:r w:rsidRPr="003644DD">
        <w:t>) gene expression analysis by in situ hybridization on 20hpf shERG injected embryos. LV; lateral view, OV; oral view.</w:t>
      </w:r>
      <w:r w:rsidRPr="003644DD">
        <w:rPr>
          <w:b/>
        </w:rPr>
        <w:t xml:space="preserve"> </w:t>
      </w:r>
      <w:r w:rsidRPr="003644DD">
        <w:t xml:space="preserve">(C) The effect of the </w:t>
      </w:r>
      <w:r w:rsidRPr="003644DD">
        <w:rPr>
          <w:i/>
          <w:iCs/>
        </w:rPr>
        <w:t>erg</w:t>
      </w:r>
      <w:r w:rsidRPr="003644DD">
        <w:t xml:space="preserve"> knockdown on cdh3 expression (blue) and on gastrulation movements phenocopies the effect of the MAPK signaling inhibition by U0126. F-actin (black) staining is used to show the cell outlines. </w:t>
      </w:r>
    </w:p>
    <w:p w14:paraId="1C135EDA" w14:textId="5F082FC1" w:rsidR="003644DD" w:rsidRPr="003644DD" w:rsidRDefault="003644DD" w:rsidP="003644DD">
      <w:pPr>
        <w:rPr>
          <w:b/>
        </w:rPr>
      </w:pPr>
      <w:r w:rsidRPr="003644DD">
        <w:rPr>
          <w:b/>
        </w:rPr>
        <w:lastRenderedPageBreak/>
        <w:drawing>
          <wp:inline distT="0" distB="0" distL="0" distR="0" wp14:anchorId="63AA6C8E" wp14:editId="3F4E37B4">
            <wp:extent cx="4543425" cy="7200900"/>
            <wp:effectExtent l="0" t="0" r="9525" b="0"/>
            <wp:docPr id="374603317" name="Picture 8" descr="A close-up of a chart of blue circ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603317" name="Picture 8" descr="A close-up of a chart of blue circl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720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A8DD0" w14:textId="77777777" w:rsidR="003644DD" w:rsidRPr="003644DD" w:rsidRDefault="003644DD" w:rsidP="003644DD">
      <w:pPr>
        <w:rPr>
          <w:b/>
        </w:rPr>
      </w:pPr>
    </w:p>
    <w:p w14:paraId="318F3C61" w14:textId="77777777" w:rsidR="003644DD" w:rsidRPr="003644DD" w:rsidRDefault="003644DD" w:rsidP="003644DD">
      <w:pPr>
        <w:rPr>
          <w:b/>
        </w:rPr>
      </w:pPr>
      <w:r w:rsidRPr="003644DD">
        <w:rPr>
          <w:b/>
        </w:rPr>
        <w:t xml:space="preserve">Supplementary Fig. 5 Regulation of ligands and receptor of the Notch pathway. </w:t>
      </w:r>
      <w:r w:rsidRPr="003644DD">
        <w:t>(A) Expression analysis of genes coding for ligands (</w:t>
      </w:r>
      <w:r w:rsidRPr="003644DD">
        <w:rPr>
          <w:i/>
          <w:iCs/>
        </w:rPr>
        <w:t>delta, delta-like, jagged1-like</w:t>
      </w:r>
      <w:r w:rsidRPr="003644DD">
        <w:t>)and receptor (</w:t>
      </w:r>
      <w:r w:rsidRPr="003644DD">
        <w:rPr>
          <w:i/>
          <w:iCs/>
        </w:rPr>
        <w:t>notch</w:t>
      </w:r>
      <w:r w:rsidRPr="003644DD">
        <w:t>) of the Notch pathway from 8hpf to 26hpf by in situ hybridization. LV; lateral view, OV; oral view.</w:t>
      </w:r>
      <w:r w:rsidRPr="003644DD">
        <w:rPr>
          <w:b/>
        </w:rPr>
        <w:t xml:space="preserve"> </w:t>
      </w:r>
      <w:r w:rsidRPr="003644DD">
        <w:t xml:space="preserve">(B) In situ </w:t>
      </w:r>
      <w:r w:rsidRPr="003644DD">
        <w:lastRenderedPageBreak/>
        <w:t xml:space="preserve">hybridization at 14hpf in AZ treated embryos, β-catenin morpholino or shRNA against </w:t>
      </w:r>
      <w:r w:rsidRPr="003644DD">
        <w:rPr>
          <w:i/>
        </w:rPr>
        <w:t>erg</w:t>
      </w:r>
      <w:r w:rsidRPr="003644DD">
        <w:t xml:space="preserve"> injected embryos to visualize mesodermal (</w:t>
      </w:r>
      <w:r w:rsidRPr="003644DD">
        <w:rPr>
          <w:i/>
        </w:rPr>
        <w:t>delta</w:t>
      </w:r>
      <w:r w:rsidRPr="003644DD">
        <w:t>) and ectodermal (</w:t>
      </w:r>
      <w:r w:rsidRPr="003644DD">
        <w:rPr>
          <w:i/>
        </w:rPr>
        <w:t>notch</w:t>
      </w:r>
      <w:r w:rsidRPr="003644DD">
        <w:t>) genes expression. LV; lateral view, OV; oral view, SV; surface view.</w:t>
      </w:r>
    </w:p>
    <w:p w14:paraId="2AE6DDC1" w14:textId="77777777" w:rsidR="003644DD" w:rsidRDefault="003644DD"/>
    <w:p w14:paraId="4D035B96" w14:textId="77777777" w:rsidR="003644DD" w:rsidRDefault="003644DD"/>
    <w:p w14:paraId="0BA30C47" w14:textId="77777777" w:rsidR="003644DD" w:rsidRDefault="003644DD"/>
    <w:p w14:paraId="0372A0C7" w14:textId="5CAF9A37" w:rsidR="003644DD" w:rsidRPr="003644DD" w:rsidRDefault="003644DD" w:rsidP="003644DD">
      <w:pPr>
        <w:rPr>
          <w:b/>
        </w:rPr>
      </w:pPr>
      <w:r w:rsidRPr="003644DD">
        <w:rPr>
          <w:b/>
        </w:rPr>
        <w:drawing>
          <wp:inline distT="0" distB="0" distL="0" distR="0" wp14:anchorId="077DE2CE" wp14:editId="34A88049">
            <wp:extent cx="5943600" cy="2714625"/>
            <wp:effectExtent l="0" t="0" r="0" b="9525"/>
            <wp:docPr id="779828966" name="Picture 10" descr="A collage of images of different sha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828966" name="Picture 10" descr="A collage of images of different shap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E9EA6" w14:textId="77777777" w:rsidR="003644DD" w:rsidRPr="003644DD" w:rsidRDefault="003644DD" w:rsidP="003644DD">
      <w:pPr>
        <w:rPr>
          <w:b/>
        </w:rPr>
      </w:pPr>
    </w:p>
    <w:p w14:paraId="7D693485" w14:textId="77777777" w:rsidR="003644DD" w:rsidRPr="003644DD" w:rsidRDefault="003644DD" w:rsidP="003644DD">
      <w:pPr>
        <w:rPr>
          <w:b/>
        </w:rPr>
      </w:pPr>
      <w:r w:rsidRPr="003644DD">
        <w:rPr>
          <w:b/>
        </w:rPr>
        <w:t xml:space="preserve">Supplementary Fig. 6. Notch signaling is essential for endodermal gene expression. </w:t>
      </w:r>
      <w:r w:rsidRPr="003644DD">
        <w:t>Mesodermal (</w:t>
      </w:r>
      <w:r w:rsidRPr="003644DD">
        <w:rPr>
          <w:i/>
        </w:rPr>
        <w:t>snailA, zicA</w:t>
      </w:r>
      <w:r w:rsidRPr="003644DD">
        <w:t>), endodermal (</w:t>
      </w:r>
      <w:r w:rsidRPr="003644DD">
        <w:rPr>
          <w:i/>
        </w:rPr>
        <w:t>brachyury, foxA, wnt1, wnt3, wnt1</w:t>
      </w:r>
      <w:r w:rsidRPr="003644DD">
        <w:t>) and ectodermal (</w:t>
      </w:r>
      <w:r w:rsidRPr="003644DD">
        <w:rPr>
          <w:i/>
        </w:rPr>
        <w:t>wnt2, foxQ2, six3/6</w:t>
      </w:r>
      <w:r w:rsidRPr="003644DD">
        <w:t>) gene expression analysis at 30hpf on embryos treated with LY-411575 using in situ hybridization; Expression of endodermal genes is downregulated after inhibition of the Notch signaling. LV; lateral view, OV; oral view.</w:t>
      </w:r>
    </w:p>
    <w:p w14:paraId="63A949B7" w14:textId="77777777" w:rsidR="003644DD" w:rsidRDefault="003644DD"/>
    <w:sectPr w:rsidR="003644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4DD"/>
    <w:rsid w:val="003644DD"/>
    <w:rsid w:val="00732981"/>
    <w:rsid w:val="00AC0449"/>
    <w:rsid w:val="00AD604E"/>
    <w:rsid w:val="00B55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8509A"/>
  <w15:chartTrackingRefBased/>
  <w15:docId w15:val="{C4E90843-CBAC-4CAF-BED0-A52DF8C6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44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44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44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44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44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44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44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44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44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44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44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44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44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44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44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44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44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44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44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44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44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44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44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44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44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44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44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44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44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0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3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332</Words>
  <Characters>1897</Characters>
  <Application>Microsoft Office Word</Application>
  <DocSecurity>0</DocSecurity>
  <Lines>15</Lines>
  <Paragraphs>4</Paragraphs>
  <ScaleCrop>false</ScaleCrop>
  <Company>Springer Nature</Company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2025-02-24T09:16:00Z</dcterms:created>
  <dcterms:modified xsi:type="dcterms:W3CDTF">2025-02-24T09:17:00Z</dcterms:modified>
</cp:coreProperties>
</file>