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0E23C" w14:textId="77777777" w:rsidR="00092E5F" w:rsidRDefault="00000000">
      <w:pPr>
        <w:spacing w:line="360" w:lineRule="auto"/>
        <w:jc w:val="center"/>
        <w:rPr>
          <w:rFonts w:cs="Times New Roman"/>
          <w:lang w:val="en-US"/>
        </w:rPr>
      </w:pPr>
      <w:r>
        <w:rPr>
          <w:rFonts w:cs="Times New Roman"/>
          <w:lang w:val="en-US"/>
        </w:rPr>
        <w:t>Supplementary Information</w:t>
      </w:r>
    </w:p>
    <w:p w14:paraId="1DA40E90" w14:textId="77777777" w:rsidR="00092E5F" w:rsidRDefault="00000000">
      <w:pPr>
        <w:spacing w:line="360" w:lineRule="auto"/>
        <w:jc w:val="center"/>
        <w:rPr>
          <w:rFonts w:cs="Times New Roman"/>
          <w:b/>
          <w:bCs/>
          <w:sz w:val="28"/>
          <w:szCs w:val="28"/>
          <w:lang w:val="en-US"/>
        </w:rPr>
      </w:pPr>
      <w:r>
        <w:rPr>
          <w:rFonts w:cs="Times New Roman"/>
          <w:b/>
          <w:bCs/>
          <w:sz w:val="28"/>
          <w:szCs w:val="28"/>
          <w:lang w:val="en-US"/>
        </w:rPr>
        <w:t>Ultra-fast ammonia decomposition using a tungsten wire lightbulb reactor</w:t>
      </w:r>
    </w:p>
    <w:p w14:paraId="529BF1FA" w14:textId="77777777" w:rsidR="00C771A7" w:rsidRDefault="00C771A7" w:rsidP="00C771A7">
      <w:pPr>
        <w:spacing w:line="276" w:lineRule="auto"/>
        <w:rPr>
          <w:rFonts w:cs="Times New Roman"/>
          <w:vertAlign w:val="superscript"/>
          <w:lang w:val="en-US"/>
        </w:rPr>
      </w:pPr>
      <w:r>
        <w:rPr>
          <w:rFonts w:cs="Times New Roman"/>
          <w:lang w:val="en-US"/>
        </w:rPr>
        <w:t>Keshia Saradima Indriadi</w:t>
      </w:r>
      <w:r>
        <w:rPr>
          <w:rFonts w:cs="Times New Roman"/>
          <w:vertAlign w:val="superscript"/>
          <w:lang w:val="en-US"/>
        </w:rPr>
        <w:t>1,2,</w:t>
      </w:r>
      <w:r>
        <w:rPr>
          <w:rFonts w:cs="Times New Roman"/>
          <w:sz w:val="22"/>
          <w:szCs w:val="22"/>
          <w:vertAlign w:val="superscript"/>
        </w:rPr>
        <w:t xml:space="preserve"> †</w:t>
      </w:r>
      <w:r>
        <w:rPr>
          <w:rFonts w:cs="Times New Roman"/>
          <w:i/>
          <w:iCs/>
          <w:lang w:val="en-US"/>
        </w:rPr>
        <w:t>,</w:t>
      </w:r>
      <w:r>
        <w:rPr>
          <w:rFonts w:cs="Times New Roman"/>
          <w:lang w:val="en-US"/>
        </w:rPr>
        <w:t xml:space="preserve"> Sie Shing Wong</w:t>
      </w:r>
      <w:r>
        <w:rPr>
          <w:rFonts w:cs="Times New Roman"/>
          <w:vertAlign w:val="superscript"/>
          <w:lang w:val="en-US"/>
        </w:rPr>
        <w:t>1,</w:t>
      </w:r>
      <w:r>
        <w:rPr>
          <w:rFonts w:cs="Times New Roman"/>
          <w:i/>
          <w:iCs/>
          <w:sz w:val="22"/>
          <w:szCs w:val="22"/>
          <w:vertAlign w:val="superscript"/>
        </w:rPr>
        <w:t xml:space="preserve"> </w:t>
      </w:r>
      <w:r>
        <w:rPr>
          <w:rFonts w:cs="Times New Roman"/>
          <w:sz w:val="22"/>
          <w:szCs w:val="22"/>
          <w:vertAlign w:val="superscript"/>
        </w:rPr>
        <w:t>†</w:t>
      </w:r>
      <w:r>
        <w:rPr>
          <w:rFonts w:cs="Times New Roman"/>
          <w:lang w:val="en-US"/>
        </w:rPr>
        <w:t>, Sikai Wang</w:t>
      </w:r>
      <w:r>
        <w:rPr>
          <w:rFonts w:cs="Times New Roman"/>
          <w:vertAlign w:val="superscript"/>
          <w:lang w:val="en-US"/>
        </w:rPr>
        <w:t>1</w:t>
      </w:r>
      <w:r>
        <w:rPr>
          <w:rFonts w:cs="Times New Roman"/>
          <w:lang w:val="en-US"/>
        </w:rPr>
        <w:t>, Di Xu</w:t>
      </w:r>
      <w:r>
        <w:rPr>
          <w:rFonts w:cs="Times New Roman"/>
          <w:vertAlign w:val="superscript"/>
          <w:lang w:val="en-US"/>
        </w:rPr>
        <w:t>1,2</w:t>
      </w:r>
      <w:r>
        <w:rPr>
          <w:rFonts w:cs="Times New Roman"/>
          <w:lang w:val="en-US"/>
        </w:rPr>
        <w:t>, Ning Yan</w:t>
      </w:r>
      <w:r>
        <w:rPr>
          <w:rFonts w:cs="Times New Roman"/>
          <w:vertAlign w:val="superscript"/>
          <w:lang w:val="en-US"/>
        </w:rPr>
        <w:t>*,1,2,3</w:t>
      </w:r>
    </w:p>
    <w:p w14:paraId="439EF5F0" w14:textId="77777777" w:rsidR="00C771A7" w:rsidRDefault="00C771A7" w:rsidP="00C771A7">
      <w:pPr>
        <w:spacing w:line="276" w:lineRule="auto"/>
        <w:rPr>
          <w:rFonts w:cs="Times New Roman"/>
          <w:sz w:val="28"/>
          <w:szCs w:val="28"/>
          <w:vertAlign w:val="superscript"/>
        </w:rPr>
      </w:pPr>
    </w:p>
    <w:p w14:paraId="444DC42A" w14:textId="77777777" w:rsidR="00C771A7" w:rsidRDefault="00C771A7" w:rsidP="00C771A7">
      <w:pPr>
        <w:spacing w:line="360" w:lineRule="auto"/>
        <w:jc w:val="both"/>
        <w:rPr>
          <w:rFonts w:cs="Times New Roman"/>
          <w:i/>
          <w:iCs/>
          <w:sz w:val="22"/>
          <w:szCs w:val="22"/>
          <w:lang w:val="en-GB"/>
        </w:rPr>
      </w:pPr>
      <w:r>
        <w:rPr>
          <w:rFonts w:cs="Times New Roman"/>
          <w:i/>
          <w:iCs/>
          <w:sz w:val="22"/>
          <w:szCs w:val="22"/>
          <w:vertAlign w:val="superscript"/>
          <w:lang w:val="en-GB"/>
        </w:rPr>
        <w:t>1</w:t>
      </w:r>
      <w:r>
        <w:rPr>
          <w:rFonts w:cs="Times New Roman"/>
          <w:i/>
          <w:iCs/>
          <w:sz w:val="22"/>
          <w:szCs w:val="22"/>
          <w:lang w:val="en-GB"/>
        </w:rPr>
        <w:t xml:space="preserve"> Department of Chemical and Biomolecular Engineering, National University of Singapore, Singapore 117585</w:t>
      </w:r>
    </w:p>
    <w:p w14:paraId="766B6023" w14:textId="77777777" w:rsidR="00C771A7" w:rsidRDefault="00C771A7" w:rsidP="00C771A7">
      <w:pPr>
        <w:spacing w:line="360" w:lineRule="auto"/>
        <w:jc w:val="both"/>
        <w:rPr>
          <w:rFonts w:cs="Times New Roman"/>
          <w:i/>
          <w:iCs/>
          <w:sz w:val="22"/>
          <w:szCs w:val="22"/>
          <w:lang w:val="en-GB"/>
        </w:rPr>
      </w:pPr>
      <w:r>
        <w:rPr>
          <w:rFonts w:cs="Times New Roman"/>
          <w:i/>
          <w:iCs/>
          <w:sz w:val="22"/>
          <w:szCs w:val="22"/>
          <w:vertAlign w:val="superscript"/>
          <w:lang w:val="en-GB"/>
        </w:rPr>
        <w:t xml:space="preserve">2 </w:t>
      </w:r>
      <w:r>
        <w:rPr>
          <w:rFonts w:cs="Times New Roman"/>
          <w:i/>
          <w:iCs/>
          <w:sz w:val="22"/>
          <w:szCs w:val="22"/>
          <w:lang w:val="en-GB"/>
        </w:rPr>
        <w:t>Joint School of National University of Singapore and Tianjin University, Fuzhou 350207, China</w:t>
      </w:r>
    </w:p>
    <w:p w14:paraId="1054199A" w14:textId="77777777" w:rsidR="00C771A7" w:rsidRDefault="00C771A7" w:rsidP="00C771A7">
      <w:pPr>
        <w:tabs>
          <w:tab w:val="left" w:pos="8366"/>
        </w:tabs>
        <w:spacing w:line="360" w:lineRule="auto"/>
        <w:jc w:val="both"/>
        <w:rPr>
          <w:rFonts w:cs="Times New Roman"/>
          <w:i/>
          <w:iCs/>
          <w:sz w:val="22"/>
          <w:szCs w:val="22"/>
          <w:lang w:val="en-US"/>
        </w:rPr>
      </w:pPr>
      <w:r>
        <w:rPr>
          <w:rFonts w:cs="Times New Roman"/>
          <w:i/>
          <w:iCs/>
          <w:sz w:val="22"/>
          <w:szCs w:val="22"/>
          <w:vertAlign w:val="superscript"/>
          <w:lang w:val="en-GB"/>
        </w:rPr>
        <w:t xml:space="preserve">3 </w:t>
      </w:r>
      <w:r>
        <w:rPr>
          <w:rFonts w:cs="Times New Roman"/>
          <w:i/>
          <w:iCs/>
          <w:sz w:val="22"/>
          <w:szCs w:val="22"/>
          <w:lang w:val="en-GB"/>
        </w:rPr>
        <w:t>Centre for Hydrogen Innovations, National University of Singapore, Singapore 117580</w:t>
      </w:r>
    </w:p>
    <w:p w14:paraId="0566D83B" w14:textId="77777777" w:rsidR="00C771A7" w:rsidRDefault="00C771A7" w:rsidP="00C771A7">
      <w:pPr>
        <w:spacing w:line="360" w:lineRule="auto"/>
        <w:rPr>
          <w:rFonts w:cs="Times New Roman"/>
          <w:i/>
          <w:iCs/>
          <w:sz w:val="22"/>
          <w:szCs w:val="22"/>
        </w:rPr>
      </w:pPr>
      <w:r>
        <w:rPr>
          <w:rFonts w:cs="Times New Roman"/>
          <w:i/>
          <w:iCs/>
          <w:sz w:val="22"/>
          <w:szCs w:val="22"/>
          <w:vertAlign w:val="superscript"/>
        </w:rPr>
        <w:t>†</w:t>
      </w:r>
      <w:r>
        <w:rPr>
          <w:rFonts w:cs="Times New Roman"/>
          <w:i/>
          <w:iCs/>
          <w:sz w:val="22"/>
          <w:szCs w:val="22"/>
        </w:rPr>
        <w:t>Both authors contributed equally</w:t>
      </w:r>
    </w:p>
    <w:p w14:paraId="5581F426" w14:textId="77777777" w:rsidR="00C771A7" w:rsidRDefault="00C771A7" w:rsidP="00C771A7">
      <w:pPr>
        <w:spacing w:line="360" w:lineRule="auto"/>
        <w:rPr>
          <w:rFonts w:cs="Times New Roman"/>
          <w:i/>
          <w:iCs/>
          <w:sz w:val="22"/>
          <w:szCs w:val="22"/>
        </w:rPr>
      </w:pPr>
      <w:r>
        <w:rPr>
          <w:rFonts w:cs="Times New Roman"/>
          <w:i/>
          <w:iCs/>
          <w:sz w:val="22"/>
          <w:szCs w:val="22"/>
          <w:vertAlign w:val="superscript"/>
        </w:rPr>
        <w:t>*</w:t>
      </w:r>
      <w:r>
        <w:rPr>
          <w:rFonts w:cs="Times New Roman"/>
          <w:i/>
          <w:iCs/>
          <w:sz w:val="22"/>
          <w:szCs w:val="22"/>
        </w:rPr>
        <w:t xml:space="preserve">Corresponding author: </w:t>
      </w:r>
      <w:hyperlink r:id="rId7" w:history="1">
        <w:r>
          <w:rPr>
            <w:rStyle w:val="Hyperlink"/>
            <w:rFonts w:cs="Times New Roman"/>
            <w:i/>
            <w:iCs/>
            <w:sz w:val="22"/>
            <w:szCs w:val="22"/>
            <w:lang w:val="en-GB"/>
          </w:rPr>
          <w:t>ning.yan@nus.edu.sg</w:t>
        </w:r>
      </w:hyperlink>
      <w:r>
        <w:rPr>
          <w:rFonts w:cs="Times New Roman"/>
          <w:i/>
          <w:iCs/>
          <w:sz w:val="22"/>
          <w:szCs w:val="22"/>
          <w:lang w:val="en-GB"/>
        </w:rPr>
        <w:t xml:space="preserve"> (N. Yan)</w:t>
      </w:r>
    </w:p>
    <w:sdt>
      <w:sdtPr>
        <w:rPr>
          <w:rFonts w:eastAsiaTheme="minorHAnsi" w:cstheme="minorBidi"/>
          <w:b/>
          <w:bCs w:val="0"/>
          <w:color w:val="auto"/>
          <w:kern w:val="2"/>
          <w:sz w:val="24"/>
          <w:szCs w:val="24"/>
          <w:lang w:val="en-SG"/>
          <w14:ligatures w14:val="standardContextual"/>
        </w:rPr>
        <w:id w:val="683399467"/>
        <w:docPartObj>
          <w:docPartGallery w:val="Table of Contents"/>
          <w:docPartUnique/>
        </w:docPartObj>
      </w:sdtPr>
      <w:sdtEndPr>
        <w:rPr>
          <w:bCs/>
        </w:rPr>
      </w:sdtEndPr>
      <w:sdtContent>
        <w:p w14:paraId="39CF5A0B" w14:textId="77777777" w:rsidR="00092E5F" w:rsidRDefault="00000000">
          <w:pPr>
            <w:pStyle w:val="TOCHeading1"/>
            <w:jc w:val="center"/>
            <w:rPr>
              <w:b/>
              <w:bCs w:val="0"/>
            </w:rPr>
          </w:pPr>
          <w:r>
            <w:rPr>
              <w:b/>
              <w:bCs w:val="0"/>
            </w:rPr>
            <w:t>Table of Contents</w:t>
          </w:r>
        </w:p>
        <w:p w14:paraId="681514D7" w14:textId="77777777" w:rsidR="00092E5F" w:rsidRDefault="00000000">
          <w:pPr>
            <w:pStyle w:val="TOC1"/>
            <w:tabs>
              <w:tab w:val="right" w:leader="dot" w:pos="9016"/>
            </w:tabs>
            <w:rPr>
              <w:rFonts w:asciiTheme="minorHAnsi" w:eastAsiaTheme="minorEastAsia" w:hAnsiTheme="minorHAnsi" w:cstheme="minorBidi"/>
              <w:b w:val="0"/>
              <w:bCs w:val="0"/>
              <w:i w:val="0"/>
              <w:iCs w:val="0"/>
              <w:lang w:eastAsia="en-GB"/>
            </w:rPr>
          </w:pPr>
          <w:r>
            <w:rPr>
              <w:b w:val="0"/>
              <w:bCs w:val="0"/>
            </w:rPr>
            <w:fldChar w:fldCharType="begin"/>
          </w:r>
          <w:r>
            <w:instrText xml:space="preserve"> TOC \o "1-3" \h \z \u </w:instrText>
          </w:r>
          <w:r>
            <w:rPr>
              <w:b w:val="0"/>
              <w:bCs w:val="0"/>
            </w:rPr>
            <w:fldChar w:fldCharType="separate"/>
          </w:r>
          <w:hyperlink w:anchor="_Toc182485374" w:history="1">
            <w:r>
              <w:rPr>
                <w:rStyle w:val="Hyperlink"/>
                <w:lang w:val="en-US"/>
              </w:rPr>
              <w:t>Computational Methods</w:t>
            </w:r>
            <w:r>
              <w:tab/>
            </w:r>
            <w:r>
              <w:fldChar w:fldCharType="begin"/>
            </w:r>
            <w:r>
              <w:instrText xml:space="preserve"> PAGEREF _Toc182485374 \h </w:instrText>
            </w:r>
            <w:r>
              <w:fldChar w:fldCharType="separate"/>
            </w:r>
            <w:r>
              <w:t>2</w:t>
            </w:r>
            <w:r>
              <w:fldChar w:fldCharType="end"/>
            </w:r>
          </w:hyperlink>
        </w:p>
        <w:p w14:paraId="0BCD623C" w14:textId="77777777" w:rsidR="00092E5F" w:rsidRDefault="00000000">
          <w:pPr>
            <w:pStyle w:val="TOC1"/>
            <w:tabs>
              <w:tab w:val="right" w:leader="dot" w:pos="9016"/>
            </w:tabs>
            <w:rPr>
              <w:rFonts w:asciiTheme="minorHAnsi" w:eastAsiaTheme="minorEastAsia" w:hAnsiTheme="minorHAnsi" w:cstheme="minorBidi"/>
              <w:b w:val="0"/>
              <w:bCs w:val="0"/>
              <w:i w:val="0"/>
              <w:iCs w:val="0"/>
              <w:lang w:eastAsia="en-GB"/>
            </w:rPr>
          </w:pPr>
          <w:hyperlink w:anchor="_Toc182485375" w:history="1">
            <w:r>
              <w:rPr>
                <w:rStyle w:val="Hyperlink"/>
                <w:lang w:val="en-US"/>
              </w:rPr>
              <w:t>Supplementary Text</w:t>
            </w:r>
            <w:r>
              <w:tab/>
            </w:r>
            <w:r>
              <w:fldChar w:fldCharType="begin"/>
            </w:r>
            <w:r>
              <w:instrText xml:space="preserve"> PAGEREF _Toc182485375 \h </w:instrText>
            </w:r>
            <w:r>
              <w:fldChar w:fldCharType="separate"/>
            </w:r>
            <w:r>
              <w:t>6</w:t>
            </w:r>
            <w:r>
              <w:fldChar w:fldCharType="end"/>
            </w:r>
          </w:hyperlink>
        </w:p>
        <w:p w14:paraId="613E6160"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76" w:history="1">
            <w:r>
              <w:rPr>
                <w:rStyle w:val="Hyperlink"/>
                <w:lang w:val="en-US"/>
              </w:rPr>
              <w:t>Text S1: Calculations of ammonia decomposition rate constants</w:t>
            </w:r>
            <w:r>
              <w:tab/>
            </w:r>
            <w:r>
              <w:fldChar w:fldCharType="begin"/>
            </w:r>
            <w:r>
              <w:instrText xml:space="preserve"> PAGEREF _Toc182485376 \h </w:instrText>
            </w:r>
            <w:r>
              <w:fldChar w:fldCharType="separate"/>
            </w:r>
            <w:r>
              <w:t>6</w:t>
            </w:r>
            <w:r>
              <w:fldChar w:fldCharType="end"/>
            </w:r>
          </w:hyperlink>
        </w:p>
        <w:p w14:paraId="312A87F4"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77" w:history="1">
            <w:r>
              <w:rPr>
                <w:rStyle w:val="Hyperlink"/>
                <w:lang w:val="en-US"/>
              </w:rPr>
              <w:t>Text S2: Theoretical tungsten wire temperature estimation</w:t>
            </w:r>
            <w:r>
              <w:tab/>
            </w:r>
            <w:r>
              <w:fldChar w:fldCharType="begin"/>
            </w:r>
            <w:r>
              <w:instrText xml:space="preserve"> PAGEREF _Toc182485377 \h </w:instrText>
            </w:r>
            <w:r>
              <w:fldChar w:fldCharType="separate"/>
            </w:r>
            <w:r>
              <w:t>7</w:t>
            </w:r>
            <w:r>
              <w:fldChar w:fldCharType="end"/>
            </w:r>
          </w:hyperlink>
        </w:p>
        <w:p w14:paraId="47AE5A95"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78" w:history="1">
            <w:r>
              <w:rPr>
                <w:rStyle w:val="Hyperlink"/>
                <w:lang w:val="en-US"/>
              </w:rPr>
              <w:t>Text S3: Calculations of energy efficiency</w:t>
            </w:r>
            <w:r>
              <w:tab/>
            </w:r>
            <w:r>
              <w:fldChar w:fldCharType="begin"/>
            </w:r>
            <w:r>
              <w:instrText xml:space="preserve"> PAGEREF _Toc182485378 \h </w:instrText>
            </w:r>
            <w:r>
              <w:fldChar w:fldCharType="separate"/>
            </w:r>
            <w:r>
              <w:t>8</w:t>
            </w:r>
            <w:r>
              <w:fldChar w:fldCharType="end"/>
            </w:r>
          </w:hyperlink>
        </w:p>
        <w:p w14:paraId="06D5CFCA"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79" w:history="1">
            <w:r>
              <w:rPr>
                <w:rStyle w:val="Hyperlink"/>
                <w:lang w:val="en-US"/>
              </w:rPr>
              <w:t>Text S4: Energy balance calculations</w:t>
            </w:r>
            <w:r>
              <w:tab/>
            </w:r>
            <w:r>
              <w:fldChar w:fldCharType="begin"/>
            </w:r>
            <w:r>
              <w:instrText xml:space="preserve"> PAGEREF _Toc182485379 \h </w:instrText>
            </w:r>
            <w:r>
              <w:fldChar w:fldCharType="separate"/>
            </w:r>
            <w:r>
              <w:t>8</w:t>
            </w:r>
            <w:r>
              <w:fldChar w:fldCharType="end"/>
            </w:r>
          </w:hyperlink>
        </w:p>
        <w:p w14:paraId="53911AB3"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80" w:history="1">
            <w:r>
              <w:rPr>
                <w:rStyle w:val="Hyperlink"/>
                <w:lang w:val="en-US"/>
              </w:rPr>
              <w:t>Text S5: Calculations of volume, cost, and global warming potential</w:t>
            </w:r>
            <w:r>
              <w:tab/>
            </w:r>
            <w:r>
              <w:fldChar w:fldCharType="begin"/>
            </w:r>
            <w:r>
              <w:instrText xml:space="preserve"> PAGEREF _Toc182485380 \h </w:instrText>
            </w:r>
            <w:r>
              <w:fldChar w:fldCharType="separate"/>
            </w:r>
            <w:r>
              <w:t>9</w:t>
            </w:r>
            <w:r>
              <w:fldChar w:fldCharType="end"/>
            </w:r>
          </w:hyperlink>
        </w:p>
        <w:p w14:paraId="00BA2637"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81" w:history="1">
            <w:r>
              <w:rPr>
                <w:rStyle w:val="Hyperlink"/>
                <w:lang w:val="en-US"/>
              </w:rPr>
              <w:t>Text S6: Calculations for TWL reactor performance in different application scenarios</w:t>
            </w:r>
            <w:r>
              <w:tab/>
            </w:r>
            <w:r>
              <w:fldChar w:fldCharType="begin"/>
            </w:r>
            <w:r>
              <w:instrText xml:space="preserve"> PAGEREF _Toc182485381 \h </w:instrText>
            </w:r>
            <w:r>
              <w:fldChar w:fldCharType="separate"/>
            </w:r>
            <w:r>
              <w:t>9</w:t>
            </w:r>
            <w:r>
              <w:fldChar w:fldCharType="end"/>
            </w:r>
          </w:hyperlink>
        </w:p>
        <w:p w14:paraId="0058AFA7" w14:textId="77777777" w:rsidR="00092E5F" w:rsidRDefault="00000000">
          <w:pPr>
            <w:pStyle w:val="TOC1"/>
            <w:tabs>
              <w:tab w:val="right" w:leader="dot" w:pos="9016"/>
            </w:tabs>
            <w:rPr>
              <w:rFonts w:asciiTheme="minorHAnsi" w:eastAsiaTheme="minorEastAsia" w:hAnsiTheme="minorHAnsi" w:cstheme="minorBidi"/>
              <w:b w:val="0"/>
              <w:bCs w:val="0"/>
              <w:i w:val="0"/>
              <w:iCs w:val="0"/>
              <w:lang w:eastAsia="en-GB"/>
            </w:rPr>
          </w:pPr>
          <w:hyperlink w:anchor="_Toc182485382" w:history="1">
            <w:r>
              <w:rPr>
                <w:rStyle w:val="Hyperlink"/>
                <w:lang w:val="en-US"/>
              </w:rPr>
              <w:t>Supplementary Figures</w:t>
            </w:r>
            <w:r>
              <w:tab/>
            </w:r>
            <w:r>
              <w:fldChar w:fldCharType="begin"/>
            </w:r>
            <w:r>
              <w:instrText xml:space="preserve"> PAGEREF _Toc182485382 \h </w:instrText>
            </w:r>
            <w:r>
              <w:fldChar w:fldCharType="separate"/>
            </w:r>
            <w:r>
              <w:t>10</w:t>
            </w:r>
            <w:r>
              <w:fldChar w:fldCharType="end"/>
            </w:r>
          </w:hyperlink>
        </w:p>
        <w:p w14:paraId="65573876"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83" w:history="1">
            <w:r>
              <w:rPr>
                <w:rStyle w:val="Hyperlink"/>
                <w:lang w:val="en-US"/>
              </w:rPr>
              <w:t>Figure S1. Theoretical estimation of tungsten wire temperature at 220 h</w:t>
            </w:r>
            <w:r>
              <w:rPr>
                <w:rStyle w:val="Hyperlink"/>
                <w:vertAlign w:val="superscript"/>
                <w:lang w:val="en-US"/>
              </w:rPr>
              <w:t>-1</w:t>
            </w:r>
            <w:r>
              <w:rPr>
                <w:rStyle w:val="Hyperlink"/>
                <w:lang w:val="en-US"/>
              </w:rPr>
              <w:t xml:space="preserve"> NH</w:t>
            </w:r>
            <w:r>
              <w:rPr>
                <w:rStyle w:val="Hyperlink"/>
                <w:vertAlign w:val="subscript"/>
                <w:lang w:val="en-US"/>
              </w:rPr>
              <w:t>3</w:t>
            </w:r>
            <w:r>
              <w:rPr>
                <w:rStyle w:val="Hyperlink"/>
                <w:lang w:val="en-US"/>
              </w:rPr>
              <w:t xml:space="preserve"> space velocity compared to experimental measurement.</w:t>
            </w:r>
            <w:r>
              <w:tab/>
            </w:r>
            <w:r>
              <w:fldChar w:fldCharType="begin"/>
            </w:r>
            <w:r>
              <w:instrText xml:space="preserve"> PAGEREF _Toc182485383 \h </w:instrText>
            </w:r>
            <w:r>
              <w:fldChar w:fldCharType="separate"/>
            </w:r>
            <w:r>
              <w:t>10</w:t>
            </w:r>
            <w:r>
              <w:fldChar w:fldCharType="end"/>
            </w:r>
          </w:hyperlink>
        </w:p>
        <w:p w14:paraId="5E1E054E"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84" w:history="1">
            <w:r>
              <w:rPr>
                <w:rStyle w:val="Hyperlink"/>
                <w:lang w:val="en-US"/>
              </w:rPr>
              <w:t>Figure S2. IR photographs of tungsten wire at various power inputs.</w:t>
            </w:r>
            <w:r>
              <w:tab/>
            </w:r>
            <w:r>
              <w:fldChar w:fldCharType="begin"/>
            </w:r>
            <w:r>
              <w:instrText xml:space="preserve"> PAGEREF _Toc182485384 \h </w:instrText>
            </w:r>
            <w:r>
              <w:fldChar w:fldCharType="separate"/>
            </w:r>
            <w:r>
              <w:t>10</w:t>
            </w:r>
            <w:r>
              <w:fldChar w:fldCharType="end"/>
            </w:r>
          </w:hyperlink>
        </w:p>
        <w:p w14:paraId="40BE6E22"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85" w:history="1">
            <w:r>
              <w:rPr>
                <w:rStyle w:val="Hyperlink"/>
                <w:bCs/>
                <w:lang w:val="en-US"/>
              </w:rPr>
              <w:t xml:space="preserve">Figure S3.  </w:t>
            </w:r>
            <w:r>
              <w:rPr>
                <w:rStyle w:val="Hyperlink"/>
                <w:lang w:val="en-US"/>
              </w:rPr>
              <w:t>SEM images of tungsten wire</w:t>
            </w:r>
            <w:r>
              <w:rPr>
                <w:rStyle w:val="Hyperlink"/>
                <w:bCs/>
                <w:lang w:val="en-US"/>
              </w:rPr>
              <w:t>.</w:t>
            </w:r>
            <w:r>
              <w:tab/>
            </w:r>
            <w:r>
              <w:fldChar w:fldCharType="begin"/>
            </w:r>
            <w:r>
              <w:instrText xml:space="preserve"> PAGEREF _Toc182485385 \h </w:instrText>
            </w:r>
            <w:r>
              <w:fldChar w:fldCharType="separate"/>
            </w:r>
            <w:r>
              <w:t>11</w:t>
            </w:r>
            <w:r>
              <w:fldChar w:fldCharType="end"/>
            </w:r>
          </w:hyperlink>
        </w:p>
        <w:p w14:paraId="6493DE4C"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86" w:history="1">
            <w:r>
              <w:rPr>
                <w:rStyle w:val="Hyperlink"/>
                <w:lang w:val="en-US"/>
              </w:rPr>
              <w:t>Figure S4. Kinetics measurements using an analogous thermal-catalytic tungsten mesh system.</w:t>
            </w:r>
            <w:r>
              <w:tab/>
            </w:r>
            <w:r>
              <w:fldChar w:fldCharType="begin"/>
            </w:r>
            <w:r>
              <w:instrText xml:space="preserve"> PAGEREF _Toc182485386 \h </w:instrText>
            </w:r>
            <w:r>
              <w:fldChar w:fldCharType="separate"/>
            </w:r>
            <w:r>
              <w:t>12</w:t>
            </w:r>
            <w:r>
              <w:fldChar w:fldCharType="end"/>
            </w:r>
          </w:hyperlink>
        </w:p>
        <w:p w14:paraId="17C4028C"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87" w:history="1">
            <w:r>
              <w:rPr>
                <w:rStyle w:val="Hyperlink"/>
                <w:lang w:val="en-US"/>
              </w:rPr>
              <w:t>Figure S5. Mesh sensitivity analysis.</w:t>
            </w:r>
            <w:r>
              <w:tab/>
            </w:r>
            <w:r>
              <w:fldChar w:fldCharType="begin"/>
            </w:r>
            <w:r>
              <w:instrText xml:space="preserve"> PAGEREF _Toc182485387 \h </w:instrText>
            </w:r>
            <w:r>
              <w:fldChar w:fldCharType="separate"/>
            </w:r>
            <w:r>
              <w:t>12</w:t>
            </w:r>
            <w:r>
              <w:fldChar w:fldCharType="end"/>
            </w:r>
          </w:hyperlink>
        </w:p>
        <w:p w14:paraId="55A26EC7"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88" w:history="1">
            <w:r>
              <w:rPr>
                <w:rStyle w:val="Hyperlink"/>
                <w:lang w:val="en-US"/>
              </w:rPr>
              <w:t>Figure S6. Comparison of experimental and modelled temperature and power input values.</w:t>
            </w:r>
            <w:r>
              <w:tab/>
            </w:r>
            <w:r>
              <w:fldChar w:fldCharType="begin"/>
            </w:r>
            <w:r>
              <w:instrText xml:space="preserve"> PAGEREF _Toc182485388 \h </w:instrText>
            </w:r>
            <w:r>
              <w:fldChar w:fldCharType="separate"/>
            </w:r>
            <w:r>
              <w:t>13</w:t>
            </w:r>
            <w:r>
              <w:fldChar w:fldCharType="end"/>
            </w:r>
          </w:hyperlink>
        </w:p>
        <w:p w14:paraId="5380B1CB"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89" w:history="1">
            <w:r>
              <w:rPr>
                <w:rStyle w:val="Hyperlink"/>
                <w:lang w:val="en-US"/>
              </w:rPr>
              <w:t>Figure S7. Temperature contour plots.</w:t>
            </w:r>
            <w:r>
              <w:tab/>
            </w:r>
            <w:r>
              <w:fldChar w:fldCharType="begin"/>
            </w:r>
            <w:r>
              <w:instrText xml:space="preserve"> PAGEREF _Toc182485389 \h </w:instrText>
            </w:r>
            <w:r>
              <w:fldChar w:fldCharType="separate"/>
            </w:r>
            <w:r>
              <w:t>13</w:t>
            </w:r>
            <w:r>
              <w:fldChar w:fldCharType="end"/>
            </w:r>
          </w:hyperlink>
        </w:p>
        <w:p w14:paraId="0B3188FF"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90" w:history="1">
            <w:r>
              <w:rPr>
                <w:rStyle w:val="Hyperlink"/>
              </w:rPr>
              <w:t>Figure S8. Comparison of maximum and average temperatures at 1,100 h</w:t>
            </w:r>
            <w:r>
              <w:rPr>
                <w:rStyle w:val="Hyperlink"/>
                <w:vertAlign w:val="superscript"/>
              </w:rPr>
              <w:t>-1</w:t>
            </w:r>
            <w:r>
              <w:rPr>
                <w:rStyle w:val="Hyperlink"/>
              </w:rPr>
              <w:t>.</w:t>
            </w:r>
            <w:r>
              <w:tab/>
            </w:r>
            <w:r>
              <w:fldChar w:fldCharType="begin"/>
            </w:r>
            <w:r>
              <w:instrText xml:space="preserve"> PAGEREF _Toc182485390 \h </w:instrText>
            </w:r>
            <w:r>
              <w:fldChar w:fldCharType="separate"/>
            </w:r>
            <w:r>
              <w:t>14</w:t>
            </w:r>
            <w:r>
              <w:fldChar w:fldCharType="end"/>
            </w:r>
          </w:hyperlink>
        </w:p>
        <w:p w14:paraId="066166B9"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91" w:history="1">
            <w:r>
              <w:rPr>
                <w:rStyle w:val="Hyperlink"/>
                <w:lang w:val="en-US"/>
              </w:rPr>
              <w:t xml:space="preserve">Figure S9. </w:t>
            </w:r>
            <w:r>
              <w:rPr>
                <w:rStyle w:val="Hyperlink"/>
                <w:rFonts w:cs="Times New Roman"/>
              </w:rPr>
              <w:t>Estimated reaction rate constants of non-catalytic ADR compared to measured rate constants of a commercial Ru catalyst.</w:t>
            </w:r>
            <w:r>
              <w:tab/>
            </w:r>
            <w:r>
              <w:fldChar w:fldCharType="begin"/>
            </w:r>
            <w:r>
              <w:instrText xml:space="preserve"> PAGEREF _Toc182485391 \h </w:instrText>
            </w:r>
            <w:r>
              <w:fldChar w:fldCharType="separate"/>
            </w:r>
            <w:r>
              <w:t>14</w:t>
            </w:r>
            <w:r>
              <w:fldChar w:fldCharType="end"/>
            </w:r>
          </w:hyperlink>
        </w:p>
        <w:p w14:paraId="61AE70A4"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92" w:history="1">
            <w:r>
              <w:rPr>
                <w:rStyle w:val="Hyperlink"/>
                <w:lang w:val="en-US"/>
              </w:rPr>
              <w:t>Figure S10. Mass transfer limitation experiment.</w:t>
            </w:r>
            <w:r>
              <w:tab/>
            </w:r>
            <w:r>
              <w:fldChar w:fldCharType="begin"/>
            </w:r>
            <w:r>
              <w:instrText xml:space="preserve"> PAGEREF _Toc182485392 \h </w:instrText>
            </w:r>
            <w:r>
              <w:fldChar w:fldCharType="separate"/>
            </w:r>
            <w:r>
              <w:t>15</w:t>
            </w:r>
            <w:r>
              <w:fldChar w:fldCharType="end"/>
            </w:r>
          </w:hyperlink>
        </w:p>
        <w:p w14:paraId="7C242E93"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93" w:history="1">
            <w:r>
              <w:rPr>
                <w:rStyle w:val="Hyperlink"/>
                <w:lang w:val="en-US"/>
              </w:rPr>
              <w:t>Figure S11. Typical velocity profile, at a reaction condition of 25 W input and 1,100 h</w:t>
            </w:r>
            <w:r>
              <w:rPr>
                <w:rStyle w:val="Hyperlink"/>
                <w:vertAlign w:val="superscript"/>
                <w:lang w:val="en-US"/>
              </w:rPr>
              <w:t>-1</w:t>
            </w:r>
            <w:r>
              <w:rPr>
                <w:rStyle w:val="Hyperlink"/>
                <w:lang w:val="en-US"/>
              </w:rPr>
              <w:t xml:space="preserve"> space velocity.</w:t>
            </w:r>
            <w:r>
              <w:tab/>
            </w:r>
            <w:r>
              <w:fldChar w:fldCharType="begin"/>
            </w:r>
            <w:r>
              <w:instrText xml:space="preserve"> PAGEREF _Toc182485393 \h </w:instrText>
            </w:r>
            <w:r>
              <w:fldChar w:fldCharType="separate"/>
            </w:r>
            <w:r>
              <w:t>15</w:t>
            </w:r>
            <w:r>
              <w:fldChar w:fldCharType="end"/>
            </w:r>
          </w:hyperlink>
        </w:p>
        <w:p w14:paraId="131BA5EE"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94" w:history="1">
            <w:r>
              <w:rPr>
                <w:rStyle w:val="Hyperlink"/>
                <w:lang w:val="en-US"/>
              </w:rPr>
              <w:t>Figure S12. Variation in velocity, density, and dynamic viscosity across the reactor at the condition of 25 W input and 1,100 h</w:t>
            </w:r>
            <w:r>
              <w:rPr>
                <w:rStyle w:val="Hyperlink"/>
                <w:vertAlign w:val="superscript"/>
                <w:lang w:val="en-US"/>
              </w:rPr>
              <w:t>-1</w:t>
            </w:r>
            <w:r>
              <w:rPr>
                <w:rStyle w:val="Hyperlink"/>
                <w:lang w:val="en-US"/>
              </w:rPr>
              <w:t xml:space="preserve"> space velocity.</w:t>
            </w:r>
            <w:r>
              <w:tab/>
            </w:r>
            <w:r>
              <w:fldChar w:fldCharType="begin"/>
            </w:r>
            <w:r>
              <w:instrText xml:space="preserve"> PAGEREF _Toc182485394 \h </w:instrText>
            </w:r>
            <w:r>
              <w:fldChar w:fldCharType="separate"/>
            </w:r>
            <w:r>
              <w:t>16</w:t>
            </w:r>
            <w:r>
              <w:fldChar w:fldCharType="end"/>
            </w:r>
          </w:hyperlink>
        </w:p>
        <w:p w14:paraId="26B95DED"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95" w:history="1">
            <w:r>
              <w:rPr>
                <w:rStyle w:val="Hyperlink"/>
                <w:lang w:val="en-US"/>
              </w:rPr>
              <w:t>Figure S13. Flux in mol m</w:t>
            </w:r>
            <w:r>
              <w:rPr>
                <w:rStyle w:val="Hyperlink"/>
                <w:vertAlign w:val="superscript"/>
                <w:lang w:val="en-US"/>
              </w:rPr>
              <w:t>-2</w:t>
            </w:r>
            <w:r>
              <w:rPr>
                <w:rStyle w:val="Hyperlink"/>
                <w:lang w:val="en-US"/>
              </w:rPr>
              <w:t xml:space="preserve"> s</w:t>
            </w:r>
            <w:r>
              <w:rPr>
                <w:rStyle w:val="Hyperlink"/>
                <w:vertAlign w:val="superscript"/>
                <w:lang w:val="en-US"/>
              </w:rPr>
              <w:t>-1</w:t>
            </w:r>
            <w:r>
              <w:rPr>
                <w:rStyle w:val="Hyperlink"/>
                <w:lang w:val="en-US"/>
              </w:rPr>
              <w:t xml:space="preserve"> of NH</w:t>
            </w:r>
            <w:r>
              <w:rPr>
                <w:rStyle w:val="Hyperlink"/>
                <w:vertAlign w:val="subscript"/>
                <w:lang w:val="en-US"/>
              </w:rPr>
              <w:t>3</w:t>
            </w:r>
            <w:r>
              <w:rPr>
                <w:rStyle w:val="Hyperlink"/>
                <w:lang w:val="en-US"/>
              </w:rPr>
              <w:t xml:space="preserve"> and H</w:t>
            </w:r>
            <w:r>
              <w:rPr>
                <w:rStyle w:val="Hyperlink"/>
                <w:vertAlign w:val="subscript"/>
                <w:lang w:val="en-US"/>
              </w:rPr>
              <w:t>2</w:t>
            </w:r>
            <w:r>
              <w:rPr>
                <w:rStyle w:val="Hyperlink"/>
                <w:lang w:val="en-US"/>
              </w:rPr>
              <w:t xml:space="preserve"> at two different power inputs and 1,100 h</w:t>
            </w:r>
            <w:r>
              <w:rPr>
                <w:rStyle w:val="Hyperlink"/>
                <w:vertAlign w:val="superscript"/>
                <w:lang w:val="en-US"/>
              </w:rPr>
              <w:t>-1</w:t>
            </w:r>
            <w:r>
              <w:rPr>
                <w:rStyle w:val="Hyperlink"/>
                <w:lang w:val="en-US"/>
              </w:rPr>
              <w:t xml:space="preserve"> space velocity.</w:t>
            </w:r>
            <w:r>
              <w:tab/>
            </w:r>
            <w:r>
              <w:fldChar w:fldCharType="begin"/>
            </w:r>
            <w:r>
              <w:instrText xml:space="preserve"> PAGEREF _Toc182485395 \h </w:instrText>
            </w:r>
            <w:r>
              <w:fldChar w:fldCharType="separate"/>
            </w:r>
            <w:r>
              <w:t>16</w:t>
            </w:r>
            <w:r>
              <w:fldChar w:fldCharType="end"/>
            </w:r>
          </w:hyperlink>
        </w:p>
        <w:p w14:paraId="305504FF"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96" w:history="1">
            <w:r>
              <w:rPr>
                <w:rStyle w:val="Hyperlink"/>
              </w:rPr>
              <w:t>Figure S14. Change in energy balance.</w:t>
            </w:r>
            <w:r>
              <w:tab/>
            </w:r>
            <w:r>
              <w:fldChar w:fldCharType="begin"/>
            </w:r>
            <w:r>
              <w:instrText xml:space="preserve"> PAGEREF _Toc182485396 \h </w:instrText>
            </w:r>
            <w:r>
              <w:fldChar w:fldCharType="separate"/>
            </w:r>
            <w:r>
              <w:t>17</w:t>
            </w:r>
            <w:r>
              <w:fldChar w:fldCharType="end"/>
            </w:r>
          </w:hyperlink>
        </w:p>
        <w:p w14:paraId="48AD7172"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97" w:history="1">
            <w:r>
              <w:rPr>
                <w:rStyle w:val="Hyperlink"/>
              </w:rPr>
              <w:t xml:space="preserve">Figure S15. Net radiative heat flux at the tungsten wire boundary </w:t>
            </w:r>
            <w:r>
              <w:rPr>
                <w:rStyle w:val="Hyperlink"/>
                <w:rFonts w:cs="Times New Roman"/>
              </w:rPr>
              <w:t>at different power inputs and 1,100 h</w:t>
            </w:r>
            <w:r>
              <w:rPr>
                <w:rStyle w:val="Hyperlink"/>
                <w:rFonts w:cs="Times New Roman"/>
                <w:vertAlign w:val="superscript"/>
              </w:rPr>
              <w:t>-1</w:t>
            </w:r>
            <w:r>
              <w:rPr>
                <w:rStyle w:val="Hyperlink"/>
                <w:rFonts w:cs="Times New Roman"/>
              </w:rPr>
              <w:t xml:space="preserve"> NH</w:t>
            </w:r>
            <w:r>
              <w:rPr>
                <w:rStyle w:val="Hyperlink"/>
                <w:rFonts w:cs="Times New Roman"/>
                <w:vertAlign w:val="subscript"/>
              </w:rPr>
              <w:t>3</w:t>
            </w:r>
            <w:r>
              <w:rPr>
                <w:rStyle w:val="Hyperlink"/>
                <w:rFonts w:cs="Times New Roman"/>
              </w:rPr>
              <w:t xml:space="preserve"> space velocity.</w:t>
            </w:r>
            <w:r>
              <w:tab/>
            </w:r>
            <w:r>
              <w:fldChar w:fldCharType="begin"/>
            </w:r>
            <w:r>
              <w:instrText xml:space="preserve"> PAGEREF _Toc182485397 \h </w:instrText>
            </w:r>
            <w:r>
              <w:fldChar w:fldCharType="separate"/>
            </w:r>
            <w:r>
              <w:t>17</w:t>
            </w:r>
            <w:r>
              <w:fldChar w:fldCharType="end"/>
            </w:r>
          </w:hyperlink>
        </w:p>
        <w:p w14:paraId="40E5EED7"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98" w:history="1">
            <w:r>
              <w:rPr>
                <w:rStyle w:val="Hyperlink"/>
              </w:rPr>
              <w:t>Figure S16. Emission and absorption of radiation in the gas phase at different power inputs and 1,100 h</w:t>
            </w:r>
            <w:r>
              <w:rPr>
                <w:rStyle w:val="Hyperlink"/>
                <w:vertAlign w:val="superscript"/>
              </w:rPr>
              <w:t xml:space="preserve">-1 </w:t>
            </w:r>
            <w:r>
              <w:rPr>
                <w:rStyle w:val="Hyperlink"/>
                <w:rFonts w:cs="Times New Roman"/>
              </w:rPr>
              <w:t>NH</w:t>
            </w:r>
            <w:r>
              <w:rPr>
                <w:rStyle w:val="Hyperlink"/>
                <w:rFonts w:cs="Times New Roman"/>
                <w:vertAlign w:val="subscript"/>
              </w:rPr>
              <w:t>3</w:t>
            </w:r>
            <w:r>
              <w:rPr>
                <w:rStyle w:val="Hyperlink"/>
                <w:rFonts w:cs="Times New Roman"/>
              </w:rPr>
              <w:t xml:space="preserve"> space velocity</w:t>
            </w:r>
            <w:r>
              <w:rPr>
                <w:rStyle w:val="Hyperlink"/>
              </w:rPr>
              <w:t>.</w:t>
            </w:r>
            <w:r>
              <w:tab/>
            </w:r>
            <w:r>
              <w:fldChar w:fldCharType="begin"/>
            </w:r>
            <w:r>
              <w:instrText xml:space="preserve"> PAGEREF _Toc182485398 \h </w:instrText>
            </w:r>
            <w:r>
              <w:fldChar w:fldCharType="separate"/>
            </w:r>
            <w:r>
              <w:t>18</w:t>
            </w:r>
            <w:r>
              <w:fldChar w:fldCharType="end"/>
            </w:r>
          </w:hyperlink>
        </w:p>
        <w:p w14:paraId="5008926F"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399" w:history="1">
            <w:r>
              <w:rPr>
                <w:rStyle w:val="Hyperlink"/>
                <w:lang w:val="en-US"/>
              </w:rPr>
              <w:t>Figure S17. Images of reactor with reflector walls at various energy inputs.</w:t>
            </w:r>
            <w:r>
              <w:tab/>
            </w:r>
            <w:r>
              <w:fldChar w:fldCharType="begin"/>
            </w:r>
            <w:r>
              <w:instrText xml:space="preserve"> PAGEREF _Toc182485399 \h </w:instrText>
            </w:r>
            <w:r>
              <w:fldChar w:fldCharType="separate"/>
            </w:r>
            <w:r>
              <w:t>18</w:t>
            </w:r>
            <w:r>
              <w:fldChar w:fldCharType="end"/>
            </w:r>
          </w:hyperlink>
        </w:p>
        <w:p w14:paraId="73E68E7A"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400" w:history="1">
            <w:r>
              <w:rPr>
                <w:rStyle w:val="Hyperlink"/>
                <w:lang w:val="en-US"/>
              </w:rPr>
              <w:t>Figure S18. Conversion and energy efficiency of modified reactors at 25 W input and 1,090 h</w:t>
            </w:r>
            <w:r>
              <w:rPr>
                <w:rStyle w:val="Hyperlink"/>
                <w:vertAlign w:val="superscript"/>
                <w:lang w:val="en-US"/>
              </w:rPr>
              <w:t>-1</w:t>
            </w:r>
            <w:r>
              <w:rPr>
                <w:rStyle w:val="Hyperlink"/>
                <w:lang w:val="en-US"/>
              </w:rPr>
              <w:t xml:space="preserve"> space velocity.</w:t>
            </w:r>
            <w:r>
              <w:tab/>
            </w:r>
            <w:r>
              <w:fldChar w:fldCharType="begin"/>
            </w:r>
            <w:r>
              <w:instrText xml:space="preserve"> PAGEREF _Toc182485400 \h </w:instrText>
            </w:r>
            <w:r>
              <w:fldChar w:fldCharType="separate"/>
            </w:r>
            <w:r>
              <w:t>19</w:t>
            </w:r>
            <w:r>
              <w:fldChar w:fldCharType="end"/>
            </w:r>
          </w:hyperlink>
        </w:p>
        <w:p w14:paraId="6EF4DC92"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401" w:history="1">
            <w:r>
              <w:rPr>
                <w:rStyle w:val="Hyperlink"/>
              </w:rPr>
              <w:t>Figure S19. Optimisation of reactor tube radius.</w:t>
            </w:r>
            <w:r>
              <w:tab/>
            </w:r>
            <w:r>
              <w:fldChar w:fldCharType="begin"/>
            </w:r>
            <w:r>
              <w:instrText xml:space="preserve"> PAGEREF _Toc182485401 \h </w:instrText>
            </w:r>
            <w:r>
              <w:fldChar w:fldCharType="separate"/>
            </w:r>
            <w:r>
              <w:t>19</w:t>
            </w:r>
            <w:r>
              <w:fldChar w:fldCharType="end"/>
            </w:r>
          </w:hyperlink>
        </w:p>
        <w:p w14:paraId="42BECFCA"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402" w:history="1">
            <w:r>
              <w:rPr>
                <w:rStyle w:val="Hyperlink"/>
              </w:rPr>
              <w:t>Figure S20. Geometry for 3D multi-tubular reactor calculations.</w:t>
            </w:r>
            <w:r>
              <w:tab/>
            </w:r>
            <w:r>
              <w:fldChar w:fldCharType="begin"/>
            </w:r>
            <w:r>
              <w:instrText xml:space="preserve"> PAGEREF _Toc182485402 \h </w:instrText>
            </w:r>
            <w:r>
              <w:fldChar w:fldCharType="separate"/>
            </w:r>
            <w:r>
              <w:t>20</w:t>
            </w:r>
            <w:r>
              <w:fldChar w:fldCharType="end"/>
            </w:r>
          </w:hyperlink>
        </w:p>
        <w:p w14:paraId="2D3650E0"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403" w:history="1">
            <w:r>
              <w:rPr>
                <w:rStyle w:val="Hyperlink"/>
              </w:rPr>
              <w:t>Figure S21. Comparison of single-tube and multi-tube simulation performance.</w:t>
            </w:r>
            <w:r>
              <w:tab/>
            </w:r>
            <w:r>
              <w:fldChar w:fldCharType="begin"/>
            </w:r>
            <w:r>
              <w:instrText xml:space="preserve"> PAGEREF _Toc182485403 \h </w:instrText>
            </w:r>
            <w:r>
              <w:fldChar w:fldCharType="separate"/>
            </w:r>
            <w:r>
              <w:t>20</w:t>
            </w:r>
            <w:r>
              <w:fldChar w:fldCharType="end"/>
            </w:r>
          </w:hyperlink>
        </w:p>
        <w:p w14:paraId="17C968B6"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404" w:history="1">
            <w:r>
              <w:rPr>
                <w:rStyle w:val="Hyperlink"/>
              </w:rPr>
              <w:t>Figure S22. Operating cost composition in ADR and TWL reactors.</w:t>
            </w:r>
            <w:r>
              <w:tab/>
            </w:r>
            <w:r>
              <w:fldChar w:fldCharType="begin"/>
            </w:r>
            <w:r>
              <w:instrText xml:space="preserve"> PAGEREF _Toc182485404 \h </w:instrText>
            </w:r>
            <w:r>
              <w:fldChar w:fldCharType="separate"/>
            </w:r>
            <w:r>
              <w:t>21</w:t>
            </w:r>
            <w:r>
              <w:fldChar w:fldCharType="end"/>
            </w:r>
          </w:hyperlink>
        </w:p>
        <w:p w14:paraId="24C2BE99" w14:textId="77777777" w:rsidR="00092E5F" w:rsidRDefault="00000000">
          <w:pPr>
            <w:pStyle w:val="TOC1"/>
            <w:tabs>
              <w:tab w:val="right" w:leader="dot" w:pos="9016"/>
            </w:tabs>
            <w:rPr>
              <w:rFonts w:asciiTheme="minorHAnsi" w:eastAsiaTheme="minorEastAsia" w:hAnsiTheme="minorHAnsi" w:cstheme="minorBidi"/>
              <w:b w:val="0"/>
              <w:bCs w:val="0"/>
              <w:i w:val="0"/>
              <w:iCs w:val="0"/>
              <w:lang w:eastAsia="en-GB"/>
            </w:rPr>
          </w:pPr>
          <w:hyperlink w:anchor="_Toc182485405" w:history="1">
            <w:r>
              <w:rPr>
                <w:rStyle w:val="Hyperlink"/>
                <w:lang w:val="en-US"/>
              </w:rPr>
              <w:t>Supplementary Tables</w:t>
            </w:r>
            <w:r>
              <w:tab/>
            </w:r>
            <w:r>
              <w:fldChar w:fldCharType="begin"/>
            </w:r>
            <w:r>
              <w:instrText xml:space="preserve"> PAGEREF _Toc182485405 \h </w:instrText>
            </w:r>
            <w:r>
              <w:fldChar w:fldCharType="separate"/>
            </w:r>
            <w:r>
              <w:t>22</w:t>
            </w:r>
            <w:r>
              <w:fldChar w:fldCharType="end"/>
            </w:r>
          </w:hyperlink>
        </w:p>
        <w:p w14:paraId="5E16BB10"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406" w:history="1">
            <w:r>
              <w:rPr>
                <w:rStyle w:val="Hyperlink"/>
                <w:bCs/>
                <w:lang w:val="en-US"/>
              </w:rPr>
              <w:t xml:space="preserve">Table S1. </w:t>
            </w:r>
            <w:r>
              <w:rPr>
                <w:rStyle w:val="Hyperlink"/>
                <w:lang w:val="en-US"/>
              </w:rPr>
              <w:t>Conversion of lab-scale TWL reactor measured with IC.</w:t>
            </w:r>
            <w:r>
              <w:tab/>
            </w:r>
            <w:r>
              <w:fldChar w:fldCharType="begin"/>
            </w:r>
            <w:r>
              <w:instrText xml:space="preserve"> PAGEREF _Toc182485406 \h </w:instrText>
            </w:r>
            <w:r>
              <w:fldChar w:fldCharType="separate"/>
            </w:r>
            <w:r>
              <w:t>22</w:t>
            </w:r>
            <w:r>
              <w:fldChar w:fldCharType="end"/>
            </w:r>
          </w:hyperlink>
        </w:p>
        <w:p w14:paraId="29133998"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407" w:history="1">
            <w:r>
              <w:rPr>
                <w:rStyle w:val="Hyperlink"/>
                <w:bCs/>
                <w:lang w:val="en-US"/>
              </w:rPr>
              <w:t>Table S2.</w:t>
            </w:r>
            <w:r>
              <w:rPr>
                <w:rStyle w:val="Hyperlink"/>
                <w:lang w:val="en-US"/>
              </w:rPr>
              <w:t xml:space="preserve"> Comparison of activity and efficiency of other reported ammonia decomposition systems, as depicted in Fig 3d.</w:t>
            </w:r>
            <w:r>
              <w:tab/>
            </w:r>
            <w:r>
              <w:fldChar w:fldCharType="begin"/>
            </w:r>
            <w:r>
              <w:instrText xml:space="preserve"> PAGEREF _Toc182485407 \h </w:instrText>
            </w:r>
            <w:r>
              <w:fldChar w:fldCharType="separate"/>
            </w:r>
            <w:r>
              <w:t>22</w:t>
            </w:r>
            <w:r>
              <w:fldChar w:fldCharType="end"/>
            </w:r>
          </w:hyperlink>
        </w:p>
        <w:p w14:paraId="61953B75" w14:textId="77777777" w:rsidR="00092E5F" w:rsidRDefault="00000000">
          <w:pPr>
            <w:pStyle w:val="TOC3"/>
            <w:tabs>
              <w:tab w:val="right" w:leader="dot" w:pos="9016"/>
            </w:tabs>
            <w:rPr>
              <w:rFonts w:asciiTheme="minorHAnsi" w:eastAsiaTheme="minorEastAsia" w:hAnsiTheme="minorHAnsi" w:cstheme="minorBidi"/>
              <w:sz w:val="24"/>
              <w:szCs w:val="24"/>
              <w:lang w:eastAsia="en-GB"/>
            </w:rPr>
          </w:pPr>
          <w:hyperlink w:anchor="_Toc182485408" w:history="1">
            <w:r>
              <w:rPr>
                <w:rStyle w:val="Hyperlink"/>
                <w:lang w:val="en-US"/>
              </w:rPr>
              <w:t>Table S3. Comparison of tube arrangements in multi-tubular model.</w:t>
            </w:r>
            <w:r>
              <w:tab/>
            </w:r>
            <w:r>
              <w:fldChar w:fldCharType="begin"/>
            </w:r>
            <w:r>
              <w:instrText xml:space="preserve"> PAGEREF _Toc182485408 \h </w:instrText>
            </w:r>
            <w:r>
              <w:fldChar w:fldCharType="separate"/>
            </w:r>
            <w:r>
              <w:t>24</w:t>
            </w:r>
            <w:r>
              <w:fldChar w:fldCharType="end"/>
            </w:r>
          </w:hyperlink>
        </w:p>
        <w:p w14:paraId="3516DD08" w14:textId="77777777" w:rsidR="00092E5F" w:rsidRDefault="00000000">
          <w:pPr>
            <w:pStyle w:val="TOC1"/>
            <w:tabs>
              <w:tab w:val="right" w:leader="dot" w:pos="9016"/>
            </w:tabs>
            <w:rPr>
              <w:rFonts w:asciiTheme="minorHAnsi" w:eastAsiaTheme="minorEastAsia" w:hAnsiTheme="minorHAnsi" w:cstheme="minorBidi"/>
              <w:b w:val="0"/>
              <w:bCs w:val="0"/>
              <w:i w:val="0"/>
              <w:iCs w:val="0"/>
              <w:lang w:eastAsia="en-GB"/>
            </w:rPr>
          </w:pPr>
          <w:hyperlink w:anchor="_Toc182485409" w:history="1">
            <w:r>
              <w:rPr>
                <w:rStyle w:val="Hyperlink"/>
                <w:lang w:val="en-US"/>
              </w:rPr>
              <w:t>Supplementary References</w:t>
            </w:r>
            <w:r>
              <w:tab/>
            </w:r>
            <w:r>
              <w:fldChar w:fldCharType="begin"/>
            </w:r>
            <w:r>
              <w:instrText xml:space="preserve"> PAGEREF _Toc182485409 \h </w:instrText>
            </w:r>
            <w:r>
              <w:fldChar w:fldCharType="separate"/>
            </w:r>
            <w:r>
              <w:t>25</w:t>
            </w:r>
            <w:r>
              <w:fldChar w:fldCharType="end"/>
            </w:r>
          </w:hyperlink>
        </w:p>
        <w:p w14:paraId="6BB56A3F" w14:textId="77777777" w:rsidR="00092E5F" w:rsidRDefault="00000000">
          <w:pPr>
            <w:spacing w:line="276" w:lineRule="auto"/>
          </w:pPr>
          <w:r>
            <w:rPr>
              <w:b/>
              <w:bCs/>
            </w:rPr>
            <w:fldChar w:fldCharType="end"/>
          </w:r>
        </w:p>
      </w:sdtContent>
    </w:sdt>
    <w:p w14:paraId="29B9D305" w14:textId="77777777" w:rsidR="00092E5F" w:rsidRDefault="00092E5F">
      <w:pPr>
        <w:spacing w:line="360" w:lineRule="auto"/>
        <w:rPr>
          <w:rFonts w:cs="Times New Roman"/>
          <w:b/>
          <w:bCs/>
          <w:sz w:val="28"/>
          <w:szCs w:val="28"/>
          <w:lang w:val="en-US"/>
        </w:rPr>
      </w:pPr>
    </w:p>
    <w:p w14:paraId="58E14274" w14:textId="77777777" w:rsidR="00092E5F" w:rsidRDefault="00000000">
      <w:pPr>
        <w:pStyle w:val="Heading1"/>
        <w:spacing w:line="360" w:lineRule="auto"/>
        <w:rPr>
          <w:b w:val="0"/>
          <w:lang w:val="en-US"/>
        </w:rPr>
      </w:pPr>
      <w:bookmarkStart w:id="0" w:name="_Toc182485374"/>
      <w:r>
        <w:rPr>
          <w:lang w:val="en-US"/>
        </w:rPr>
        <w:t>Computational Methods</w:t>
      </w:r>
      <w:bookmarkEnd w:id="0"/>
    </w:p>
    <w:p w14:paraId="54BF3B99" w14:textId="77777777" w:rsidR="00092E5F" w:rsidRDefault="00000000">
      <w:pPr>
        <w:spacing w:line="360" w:lineRule="auto"/>
        <w:ind w:firstLine="720"/>
        <w:jc w:val="both"/>
        <w:rPr>
          <w:rFonts w:cs="Times New Roman"/>
        </w:rPr>
      </w:pPr>
      <w:r>
        <w:rPr>
          <w:rFonts w:cs="Times New Roman"/>
        </w:rPr>
        <w:t xml:space="preserve">The model geometry closely follows the experimental setup, consisting of a tungsten wire (0.1 mm thickness, 10 cm length) connected to two copper rods (0.8 mm diameter, 10 cm length) in a 0.5 cm radius reactor chamber enclosed by a 0.27 cm thick quartz wall, with the length of the reactor and quartz wall being 12 cm. Fittings and electrical connections were omitted for simplicity. </w:t>
      </w:r>
    </w:p>
    <w:p w14:paraId="475E4628" w14:textId="77777777" w:rsidR="00092E5F" w:rsidRDefault="00092E5F">
      <w:pPr>
        <w:spacing w:line="360" w:lineRule="auto"/>
        <w:rPr>
          <w:rFonts w:cs="Times New Roman"/>
          <w:u w:val="single"/>
        </w:rPr>
      </w:pPr>
    </w:p>
    <w:p w14:paraId="06B643C0" w14:textId="77777777" w:rsidR="00092E5F" w:rsidRDefault="00000000">
      <w:pPr>
        <w:spacing w:line="360" w:lineRule="auto"/>
        <w:rPr>
          <w:rFonts w:cs="Times New Roman"/>
          <w:u w:val="single"/>
        </w:rPr>
      </w:pPr>
      <w:r>
        <w:rPr>
          <w:rFonts w:cs="Times New Roman"/>
          <w:u w:val="single"/>
        </w:rPr>
        <w:t xml:space="preserve">Electric Currents </w:t>
      </w:r>
    </w:p>
    <w:p w14:paraId="1951E0B6" w14:textId="77777777" w:rsidR="00092E5F" w:rsidRDefault="00000000">
      <w:pPr>
        <w:spacing w:line="360" w:lineRule="auto"/>
        <w:rPr>
          <w:rFonts w:cs="Times New Roman"/>
        </w:rPr>
      </w:pPr>
      <w:r>
        <w:rPr>
          <w:rFonts w:cs="Times New Roman"/>
        </w:rPr>
        <w:t xml:space="preserve">Ohm’s Law is used to describe the electric current applied: </w:t>
      </w:r>
    </w:p>
    <w:p w14:paraId="7526764A" w14:textId="77777777" w:rsidR="00092E5F" w:rsidRDefault="00000000">
      <w:pPr>
        <w:spacing w:line="360" w:lineRule="auto"/>
        <w:jc w:val="distribute"/>
        <w:rPr>
          <w:rFonts w:cs="Times New Roman"/>
          <w:b/>
          <w:bCs/>
        </w:rPr>
      </w:pPr>
      <m:oMathPara>
        <m:oMath>
          <m:r>
            <m:rPr>
              <m:sty m:val="bi"/>
            </m:rPr>
            <w:rPr>
              <w:rFonts w:ascii="Cambria Math" w:hAnsi="Cambria Math" w:cs="Times New Roman"/>
            </w:rPr>
            <m:t>J=</m:t>
          </m:r>
          <m:r>
            <w:rPr>
              <w:rFonts w:ascii="Cambria Math" w:hAnsi="Cambria Math" w:cs="Times New Roman"/>
            </w:rPr>
            <m:t>σ</m:t>
          </m:r>
          <m:r>
            <m:rPr>
              <m:sty m:val="bi"/>
            </m:rPr>
            <w:rPr>
              <w:rFonts w:ascii="Cambria Math" w:hAnsi="Cambria Math" w:cs="Times New Roman"/>
            </w:rPr>
            <m:t>E</m:t>
          </m:r>
          <m:r>
            <w:rPr>
              <w:rFonts w:ascii="Cambria Math" w:hAnsi="Cambria Math" w:cs="Times New Roman"/>
            </w:rPr>
            <m:t>+</m:t>
          </m:r>
          <m:sSub>
            <m:sSubPr>
              <m:ctrlPr>
                <w:rPr>
                  <w:rFonts w:ascii="Cambria Math" w:hAnsi="Cambria Math" w:cs="Times New Roman"/>
                  <w:b/>
                  <w:bCs/>
                  <w:i/>
                </w:rPr>
              </m:ctrlPr>
            </m:sSubPr>
            <m:e>
              <m:r>
                <m:rPr>
                  <m:sty m:val="bi"/>
                </m:rPr>
                <w:rPr>
                  <w:rFonts w:ascii="Cambria Math" w:hAnsi="Cambria Math" w:cs="Times New Roman"/>
                </w:rPr>
                <m:t>J</m:t>
              </m:r>
            </m:e>
            <m:sub>
              <m:r>
                <m:rPr>
                  <m:sty m:val="bi"/>
                </m:rPr>
                <w:rPr>
                  <w:rFonts w:ascii="Cambria Math" w:hAnsi="Cambria Math" w:cs="Times New Roman"/>
                </w:rPr>
                <m:t>e</m:t>
              </m:r>
            </m:sub>
          </m:sSub>
        </m:oMath>
      </m:oMathPara>
    </w:p>
    <w:p w14:paraId="5F94DC5B" w14:textId="77777777" w:rsidR="00092E5F" w:rsidRDefault="00000000">
      <w:pPr>
        <w:spacing w:line="360" w:lineRule="auto"/>
        <w:jc w:val="both"/>
        <w:rPr>
          <w:rFonts w:cs="Times New Roman"/>
        </w:rPr>
      </w:pPr>
      <w:r>
        <w:rPr>
          <w:rFonts w:cs="Times New Roman"/>
        </w:rPr>
        <w:t xml:space="preserve">Where </w:t>
      </w:r>
      <m:oMath>
        <m:r>
          <w:rPr>
            <w:rFonts w:ascii="Cambria Math" w:hAnsi="Cambria Math" w:cs="Times New Roman"/>
          </w:rPr>
          <m:t>σ</m:t>
        </m:r>
      </m:oMath>
      <w:r>
        <w:rPr>
          <w:rFonts w:cs="Times New Roman"/>
        </w:rPr>
        <w:t xml:space="preserve"> is the electrical conductivity, E the electric field, and J the current density. A temperature-dependent linearized resistivity conduction model is used. </w:t>
      </w:r>
    </w:p>
    <w:p w14:paraId="6CD6896A" w14:textId="77777777" w:rsidR="00092E5F" w:rsidRDefault="00000000">
      <w:pPr>
        <w:spacing w:line="360" w:lineRule="auto"/>
        <w:rPr>
          <w:rFonts w:cs="Times New Roman"/>
        </w:rPr>
      </w:pPr>
      <w:r>
        <w:rPr>
          <w:rFonts w:cs="Times New Roman"/>
        </w:rPr>
        <w:t xml:space="preserve">The following variables are used for the relevant materials: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1843"/>
        <w:gridCol w:w="2005"/>
        <w:gridCol w:w="1659"/>
      </w:tblGrid>
      <w:tr w:rsidR="00092E5F" w14:paraId="72DBD138" w14:textId="77777777">
        <w:trPr>
          <w:jc w:val="center"/>
        </w:trPr>
        <w:tc>
          <w:tcPr>
            <w:tcW w:w="1129" w:type="dxa"/>
            <w:tcBorders>
              <w:top w:val="single" w:sz="4" w:space="0" w:color="auto"/>
              <w:bottom w:val="single" w:sz="4" w:space="0" w:color="auto"/>
            </w:tcBorders>
          </w:tcPr>
          <w:p w14:paraId="7D629918" w14:textId="77777777" w:rsidR="00092E5F" w:rsidRDefault="00000000">
            <w:pPr>
              <w:spacing w:line="360" w:lineRule="auto"/>
              <w:jc w:val="center"/>
              <w:rPr>
                <w:rFonts w:eastAsiaTheme="minorEastAsia" w:cs="Times New Roman"/>
                <w:lang w:eastAsia="zh-CN"/>
              </w:rPr>
            </w:pPr>
            <w:r>
              <w:rPr>
                <w:rFonts w:eastAsiaTheme="minorEastAsia" w:cs="Times New Roman"/>
                <w:lang w:eastAsia="zh-CN"/>
              </w:rPr>
              <w:t>Material</w:t>
            </w:r>
          </w:p>
        </w:tc>
        <w:tc>
          <w:tcPr>
            <w:tcW w:w="1843" w:type="dxa"/>
            <w:tcBorders>
              <w:top w:val="single" w:sz="4" w:space="0" w:color="auto"/>
              <w:bottom w:val="single" w:sz="4" w:space="0" w:color="auto"/>
            </w:tcBorders>
          </w:tcPr>
          <w:p w14:paraId="4A983C02" w14:textId="77777777" w:rsidR="00092E5F" w:rsidRDefault="00000000">
            <w:pPr>
              <w:spacing w:line="360" w:lineRule="auto"/>
              <w:jc w:val="center"/>
              <w:rPr>
                <w:rFonts w:eastAsiaTheme="minorEastAsia" w:cs="Times New Roman"/>
                <w:lang w:eastAsia="zh-CN"/>
              </w:rPr>
            </w:pPr>
            <w:r>
              <w:rPr>
                <w:rFonts w:eastAsiaTheme="minorEastAsia" w:cs="Times New Roman"/>
                <w:lang w:eastAsia="zh-CN"/>
              </w:rPr>
              <w:t>Reference resistivity (</w:t>
            </w:r>
            <m:oMath>
              <m:sSub>
                <m:sSubPr>
                  <m:ctrlPr>
                    <w:rPr>
                      <w:rFonts w:ascii="Cambria Math" w:eastAsiaTheme="minorEastAsia" w:hAnsi="Cambria Math" w:cs="Times New Roman"/>
                      <w:i/>
                      <w:lang w:eastAsia="zh-CN"/>
                    </w:rPr>
                  </m:ctrlPr>
                </m:sSubPr>
                <m:e>
                  <m:r>
                    <w:rPr>
                      <w:rFonts w:ascii="Cambria Math" w:eastAsiaTheme="minorEastAsia" w:hAnsi="Cambria Math" w:cs="Times New Roman"/>
                      <w:lang w:eastAsia="zh-CN"/>
                    </w:rPr>
                    <m:t>ρ</m:t>
                  </m:r>
                </m:e>
                <m:sub>
                  <m:r>
                    <w:rPr>
                      <w:rFonts w:ascii="Cambria Math" w:eastAsiaTheme="minorEastAsia" w:hAnsi="Cambria Math" w:cs="Times New Roman"/>
                      <w:lang w:eastAsia="zh-CN"/>
                    </w:rPr>
                    <m:t>0</m:t>
                  </m:r>
                </m:sub>
              </m:sSub>
              <m:r>
                <w:rPr>
                  <w:rFonts w:ascii="Cambria Math" w:eastAsiaTheme="minorEastAsia" w:hAnsi="Cambria Math" w:cs="Times New Roman"/>
                  <w:lang w:eastAsia="zh-CN"/>
                </w:rPr>
                <m:t xml:space="preserve">, </m:t>
              </m:r>
              <m:r>
                <m:rPr>
                  <m:sty m:val="p"/>
                </m:rPr>
                <w:rPr>
                  <w:rFonts w:ascii="Cambria Math" w:eastAsiaTheme="minorEastAsia" w:hAnsi="Cambria Math" w:cs="Times New Roman"/>
                  <w:lang w:eastAsia="zh-CN"/>
                </w:rPr>
                <m:t>Ω m)</m:t>
              </m:r>
            </m:oMath>
          </w:p>
        </w:tc>
        <w:tc>
          <w:tcPr>
            <w:tcW w:w="2005" w:type="dxa"/>
            <w:tcBorders>
              <w:top w:val="single" w:sz="4" w:space="0" w:color="auto"/>
              <w:bottom w:val="single" w:sz="4" w:space="0" w:color="auto"/>
            </w:tcBorders>
          </w:tcPr>
          <w:p w14:paraId="4D42F02B" w14:textId="77777777" w:rsidR="00092E5F" w:rsidRDefault="00000000">
            <w:pPr>
              <w:spacing w:line="360" w:lineRule="auto"/>
              <w:jc w:val="center"/>
              <w:rPr>
                <w:rFonts w:eastAsiaTheme="minorEastAsia" w:cs="Times New Roman"/>
                <w:lang w:eastAsia="zh-CN"/>
              </w:rPr>
            </w:pPr>
            <w:r>
              <w:rPr>
                <w:rFonts w:eastAsiaTheme="minorEastAsia" w:cs="Times New Roman"/>
                <w:lang w:eastAsia="zh-CN"/>
              </w:rPr>
              <w:t>Resistivity temperature coefficient (</w:t>
            </w:r>
            <m:oMath>
              <m:r>
                <w:rPr>
                  <w:rFonts w:ascii="Cambria Math" w:eastAsiaTheme="minorEastAsia" w:hAnsi="Cambria Math" w:cs="Times New Roman"/>
                  <w:lang w:eastAsia="zh-CN"/>
                </w:rPr>
                <m:t>α</m:t>
              </m:r>
            </m:oMath>
            <w:r>
              <w:rPr>
                <w:rFonts w:eastAsiaTheme="minorEastAsia" w:cs="Times New Roman"/>
                <w:lang w:eastAsia="zh-CN"/>
              </w:rPr>
              <w:t>, 1/K)</w:t>
            </w:r>
          </w:p>
        </w:tc>
        <w:tc>
          <w:tcPr>
            <w:tcW w:w="1659" w:type="dxa"/>
            <w:tcBorders>
              <w:top w:val="single" w:sz="4" w:space="0" w:color="auto"/>
              <w:bottom w:val="single" w:sz="4" w:space="0" w:color="auto"/>
            </w:tcBorders>
          </w:tcPr>
          <w:p w14:paraId="1C047A7D" w14:textId="77777777" w:rsidR="00092E5F" w:rsidRDefault="00000000">
            <w:pPr>
              <w:spacing w:line="360" w:lineRule="auto"/>
              <w:jc w:val="center"/>
              <w:rPr>
                <w:rFonts w:eastAsiaTheme="minorEastAsia" w:cs="Times New Roman"/>
                <w:lang w:eastAsia="zh-CN"/>
              </w:rPr>
            </w:pPr>
            <w:r>
              <w:rPr>
                <w:rFonts w:eastAsiaTheme="minorEastAsia" w:cs="Times New Roman"/>
                <w:lang w:eastAsia="zh-CN"/>
              </w:rPr>
              <w:t>Reference temperature (</w:t>
            </w:r>
            <m:oMath>
              <m:sSub>
                <m:sSubPr>
                  <m:ctrlPr>
                    <w:rPr>
                      <w:rFonts w:ascii="Cambria Math" w:eastAsiaTheme="minorEastAsia" w:hAnsi="Cambria Math" w:cs="Times New Roman"/>
                      <w:i/>
                      <w:lang w:eastAsia="zh-CN"/>
                    </w:rPr>
                  </m:ctrlPr>
                </m:sSubPr>
                <m:e>
                  <m:r>
                    <w:rPr>
                      <w:rFonts w:ascii="Cambria Math" w:eastAsiaTheme="minorEastAsia" w:hAnsi="Cambria Math" w:cs="Times New Roman"/>
                      <w:lang w:eastAsia="zh-CN"/>
                    </w:rPr>
                    <m:t>T</m:t>
                  </m:r>
                </m:e>
                <m:sub>
                  <m:r>
                    <w:rPr>
                      <w:rFonts w:ascii="Cambria Math" w:eastAsiaTheme="minorEastAsia" w:hAnsi="Cambria Math" w:cs="Times New Roman"/>
                      <w:lang w:eastAsia="zh-CN"/>
                    </w:rPr>
                    <m:t>ref</m:t>
                  </m:r>
                </m:sub>
              </m:sSub>
            </m:oMath>
            <w:r>
              <w:rPr>
                <w:rFonts w:eastAsiaTheme="minorEastAsia" w:cs="Times New Roman"/>
                <w:lang w:eastAsia="zh-CN"/>
              </w:rPr>
              <w:t>, K)</w:t>
            </w:r>
          </w:p>
        </w:tc>
      </w:tr>
      <w:tr w:rsidR="00092E5F" w14:paraId="6719B5A7" w14:textId="77777777">
        <w:trPr>
          <w:jc w:val="center"/>
        </w:trPr>
        <w:tc>
          <w:tcPr>
            <w:tcW w:w="1129" w:type="dxa"/>
            <w:tcBorders>
              <w:top w:val="single" w:sz="4" w:space="0" w:color="auto"/>
            </w:tcBorders>
          </w:tcPr>
          <w:p w14:paraId="75F639F1" w14:textId="77777777" w:rsidR="00092E5F" w:rsidRDefault="00000000">
            <w:pPr>
              <w:spacing w:line="360" w:lineRule="auto"/>
              <w:jc w:val="center"/>
              <w:rPr>
                <w:rFonts w:eastAsiaTheme="minorEastAsia" w:cs="Times New Roman"/>
                <w:lang w:eastAsia="zh-CN"/>
              </w:rPr>
            </w:pPr>
            <w:r>
              <w:rPr>
                <w:rFonts w:eastAsiaTheme="minorEastAsia" w:cs="Times New Roman"/>
                <w:lang w:eastAsia="zh-CN"/>
              </w:rPr>
              <w:t>Tungsten</w:t>
            </w:r>
          </w:p>
        </w:tc>
        <w:tc>
          <w:tcPr>
            <w:tcW w:w="1843" w:type="dxa"/>
            <w:tcBorders>
              <w:top w:val="single" w:sz="4" w:space="0" w:color="auto"/>
            </w:tcBorders>
          </w:tcPr>
          <w:p w14:paraId="0219C246" w14:textId="77777777" w:rsidR="00092E5F" w:rsidRDefault="00000000">
            <w:pPr>
              <w:spacing w:line="360" w:lineRule="auto"/>
              <w:jc w:val="center"/>
              <w:rPr>
                <w:rFonts w:eastAsiaTheme="minorEastAsia" w:cs="Times New Roman"/>
                <w:lang w:eastAsia="zh-CN"/>
              </w:rPr>
            </w:pPr>
            <w:r>
              <w:rPr>
                <w:rFonts w:eastAsiaTheme="minorEastAsia" w:cs="Times New Roman"/>
                <w:lang w:eastAsia="zh-CN"/>
              </w:rPr>
              <w:t>5.6E-8</w:t>
            </w:r>
          </w:p>
        </w:tc>
        <w:tc>
          <w:tcPr>
            <w:tcW w:w="2005" w:type="dxa"/>
            <w:tcBorders>
              <w:top w:val="single" w:sz="4" w:space="0" w:color="auto"/>
            </w:tcBorders>
          </w:tcPr>
          <w:p w14:paraId="313EA450" w14:textId="77777777" w:rsidR="00092E5F" w:rsidRDefault="00000000">
            <w:pPr>
              <w:spacing w:line="360" w:lineRule="auto"/>
              <w:jc w:val="center"/>
              <w:rPr>
                <w:rFonts w:eastAsiaTheme="minorEastAsia" w:cs="Times New Roman"/>
                <w:lang w:eastAsia="zh-CN"/>
              </w:rPr>
            </w:pPr>
            <w:r>
              <w:rPr>
                <w:rFonts w:eastAsiaTheme="minorEastAsia" w:cs="Times New Roman"/>
                <w:lang w:eastAsia="zh-CN"/>
              </w:rPr>
              <w:t>0.0045</w:t>
            </w:r>
          </w:p>
        </w:tc>
        <w:tc>
          <w:tcPr>
            <w:tcW w:w="1659" w:type="dxa"/>
            <w:tcBorders>
              <w:top w:val="single" w:sz="4" w:space="0" w:color="auto"/>
            </w:tcBorders>
          </w:tcPr>
          <w:p w14:paraId="4B326356" w14:textId="77777777" w:rsidR="00092E5F" w:rsidRDefault="00000000">
            <w:pPr>
              <w:spacing w:line="360" w:lineRule="auto"/>
              <w:jc w:val="center"/>
              <w:rPr>
                <w:rFonts w:eastAsiaTheme="minorEastAsia" w:cs="Times New Roman"/>
                <w:lang w:eastAsia="zh-CN"/>
              </w:rPr>
            </w:pPr>
            <w:r>
              <w:rPr>
                <w:rFonts w:eastAsiaTheme="minorEastAsia" w:cs="Times New Roman"/>
                <w:lang w:eastAsia="zh-CN"/>
              </w:rPr>
              <w:t>293</w:t>
            </w:r>
          </w:p>
        </w:tc>
      </w:tr>
      <w:tr w:rsidR="00092E5F" w14:paraId="5C10957B" w14:textId="77777777">
        <w:trPr>
          <w:jc w:val="center"/>
        </w:trPr>
        <w:tc>
          <w:tcPr>
            <w:tcW w:w="1129" w:type="dxa"/>
            <w:tcBorders>
              <w:bottom w:val="single" w:sz="4" w:space="0" w:color="auto"/>
            </w:tcBorders>
          </w:tcPr>
          <w:p w14:paraId="605AB895" w14:textId="77777777" w:rsidR="00092E5F" w:rsidRDefault="00000000">
            <w:pPr>
              <w:spacing w:line="360" w:lineRule="auto"/>
              <w:jc w:val="center"/>
              <w:rPr>
                <w:rFonts w:eastAsiaTheme="minorEastAsia" w:cs="Times New Roman"/>
                <w:lang w:eastAsia="zh-CN"/>
              </w:rPr>
            </w:pPr>
            <w:r>
              <w:rPr>
                <w:rFonts w:eastAsiaTheme="minorEastAsia" w:cs="Times New Roman"/>
                <w:lang w:eastAsia="zh-CN"/>
              </w:rPr>
              <w:t>Copper</w:t>
            </w:r>
          </w:p>
        </w:tc>
        <w:tc>
          <w:tcPr>
            <w:tcW w:w="1843" w:type="dxa"/>
            <w:tcBorders>
              <w:bottom w:val="single" w:sz="4" w:space="0" w:color="auto"/>
            </w:tcBorders>
          </w:tcPr>
          <w:p w14:paraId="13682212" w14:textId="77777777" w:rsidR="00092E5F" w:rsidRDefault="00000000">
            <w:pPr>
              <w:spacing w:line="360" w:lineRule="auto"/>
              <w:jc w:val="center"/>
              <w:rPr>
                <w:rFonts w:eastAsiaTheme="minorEastAsia" w:cs="Times New Roman"/>
                <w:lang w:eastAsia="zh-CN"/>
              </w:rPr>
            </w:pPr>
            <w:r>
              <w:rPr>
                <w:rFonts w:eastAsiaTheme="minorEastAsia" w:cs="Times New Roman"/>
                <w:lang w:eastAsia="zh-CN"/>
              </w:rPr>
              <w:t>1.72E-8</w:t>
            </w:r>
          </w:p>
        </w:tc>
        <w:tc>
          <w:tcPr>
            <w:tcW w:w="2005" w:type="dxa"/>
            <w:tcBorders>
              <w:bottom w:val="single" w:sz="4" w:space="0" w:color="auto"/>
            </w:tcBorders>
          </w:tcPr>
          <w:p w14:paraId="1CEFBC45" w14:textId="77777777" w:rsidR="00092E5F" w:rsidRDefault="00000000">
            <w:pPr>
              <w:spacing w:line="360" w:lineRule="auto"/>
              <w:jc w:val="center"/>
              <w:rPr>
                <w:rFonts w:eastAsiaTheme="minorEastAsia" w:cs="Times New Roman"/>
                <w:lang w:eastAsia="zh-CN"/>
              </w:rPr>
            </w:pPr>
            <w:r>
              <w:rPr>
                <w:rFonts w:eastAsiaTheme="minorEastAsia" w:cs="Times New Roman"/>
                <w:lang w:eastAsia="zh-CN"/>
              </w:rPr>
              <w:t>0.0039</w:t>
            </w:r>
          </w:p>
        </w:tc>
        <w:tc>
          <w:tcPr>
            <w:tcW w:w="1659" w:type="dxa"/>
            <w:tcBorders>
              <w:bottom w:val="single" w:sz="4" w:space="0" w:color="auto"/>
            </w:tcBorders>
          </w:tcPr>
          <w:p w14:paraId="34167198" w14:textId="77777777" w:rsidR="00092E5F" w:rsidRDefault="00000000">
            <w:pPr>
              <w:spacing w:line="360" w:lineRule="auto"/>
              <w:jc w:val="center"/>
              <w:rPr>
                <w:rFonts w:eastAsiaTheme="minorEastAsia" w:cs="Times New Roman"/>
                <w:lang w:eastAsia="zh-CN"/>
              </w:rPr>
            </w:pPr>
            <w:r>
              <w:rPr>
                <w:rFonts w:eastAsiaTheme="minorEastAsia" w:cs="Times New Roman"/>
                <w:lang w:eastAsia="zh-CN"/>
              </w:rPr>
              <w:t>298</w:t>
            </w:r>
          </w:p>
        </w:tc>
      </w:tr>
    </w:tbl>
    <w:p w14:paraId="0343718B" w14:textId="77777777" w:rsidR="00092E5F" w:rsidRDefault="00092E5F">
      <w:pPr>
        <w:spacing w:line="360" w:lineRule="auto"/>
        <w:rPr>
          <w:rFonts w:cs="Times New Roman"/>
        </w:rPr>
      </w:pPr>
    </w:p>
    <w:p w14:paraId="4D679D83" w14:textId="77777777" w:rsidR="00092E5F" w:rsidRDefault="00000000">
      <w:pPr>
        <w:spacing w:line="360" w:lineRule="auto"/>
        <w:rPr>
          <w:rFonts w:cs="Times New Roman"/>
        </w:rPr>
      </w:pPr>
      <w:r>
        <w:rPr>
          <w:rFonts w:cs="Times New Roman"/>
        </w:rPr>
        <w:t>One end of the copper rod was defined as a constant applied electric potential while the other end is defined as ground (</w:t>
      </w:r>
      <m:oMath>
        <m:r>
          <w:rPr>
            <w:rFonts w:ascii="Cambria Math" w:hAnsi="Cambria Math" w:cs="Times New Roman"/>
          </w:rPr>
          <m:t>V=0</m:t>
        </m:r>
      </m:oMath>
      <w:r>
        <w:rPr>
          <w:rFonts w:cs="Times New Roman"/>
        </w:rPr>
        <w:t xml:space="preserve">).  </w:t>
      </w:r>
    </w:p>
    <w:p w14:paraId="1B129764" w14:textId="77777777" w:rsidR="00092E5F" w:rsidRDefault="00092E5F">
      <w:pPr>
        <w:spacing w:line="360" w:lineRule="auto"/>
        <w:rPr>
          <w:rFonts w:cs="Times New Roman"/>
        </w:rPr>
      </w:pPr>
    </w:p>
    <w:p w14:paraId="334697EB" w14:textId="77777777" w:rsidR="00092E5F" w:rsidRDefault="00000000">
      <w:pPr>
        <w:spacing w:line="360" w:lineRule="auto"/>
        <w:rPr>
          <w:rFonts w:cs="Times New Roman"/>
          <w:u w:val="single"/>
        </w:rPr>
      </w:pPr>
      <w:r>
        <w:rPr>
          <w:rFonts w:cs="Times New Roman"/>
          <w:u w:val="single"/>
        </w:rPr>
        <w:t>Mass and Momentum Conservation</w:t>
      </w:r>
    </w:p>
    <w:p w14:paraId="363EDBE0" w14:textId="77777777" w:rsidR="00092E5F" w:rsidRDefault="00000000">
      <w:pPr>
        <w:spacing w:line="360" w:lineRule="auto"/>
        <w:rPr>
          <w:rFonts w:cs="Times New Roman"/>
        </w:rPr>
      </w:pPr>
      <w:r>
        <w:rPr>
          <w:rFonts w:cs="Times New Roman"/>
        </w:rPr>
        <w:t>As the flow rates are low and Reynolds number always remains small, an incompressible laminar flow was used to model the reactant gases. Thus, the continuity equation is:</w:t>
      </w:r>
    </w:p>
    <w:p w14:paraId="2486017C" w14:textId="77777777" w:rsidR="00092E5F" w:rsidRDefault="00000000">
      <w:pPr>
        <w:spacing w:line="360" w:lineRule="auto"/>
        <w:rPr>
          <w:rFonts w:cs="Times New Roman"/>
        </w:rPr>
      </w:pPr>
      <m:oMathPara>
        <m:oMath>
          <m:r>
            <w:rPr>
              <w:rFonts w:ascii="Cambria Math" w:hAnsi="Cambria Math" w:cs="Times New Roman"/>
            </w:rPr>
            <m:t>ρ</m:t>
          </m:r>
          <m:r>
            <m:rPr>
              <m:sty m:val="p"/>
            </m:rPr>
            <w:rPr>
              <w:rFonts w:ascii="Cambria Math" w:hAnsi="Cambria Math" w:cs="Times New Roman"/>
            </w:rPr>
            <m:t>∇</m:t>
          </m:r>
          <m:r>
            <w:rPr>
              <w:rFonts w:ascii="Cambria Math" w:hAnsi="Cambria Math" w:cs="Times New Roman"/>
            </w:rPr>
            <m:t>∙</m:t>
          </m:r>
          <m:r>
            <m:rPr>
              <m:sty m:val="bi"/>
            </m:rPr>
            <w:rPr>
              <w:rFonts w:ascii="Cambria Math" w:hAnsi="Cambria Math" w:cs="Times New Roman"/>
            </w:rPr>
            <m:t>u</m:t>
          </m:r>
          <m:r>
            <w:rPr>
              <w:rFonts w:ascii="Cambria Math" w:hAnsi="Cambria Math" w:cs="Times New Roman"/>
            </w:rPr>
            <m:t>=0</m:t>
          </m:r>
        </m:oMath>
      </m:oMathPara>
    </w:p>
    <w:p w14:paraId="43F3B51C" w14:textId="77777777" w:rsidR="00092E5F" w:rsidRDefault="00000000">
      <w:pPr>
        <w:spacing w:line="360" w:lineRule="auto"/>
        <w:rPr>
          <w:rFonts w:cs="Times New Roman"/>
          <w:b/>
          <w:bCs/>
        </w:rPr>
      </w:pPr>
      <w:r>
        <w:rPr>
          <w:rFonts w:cs="Times New Roman"/>
        </w:rPr>
        <w:lastRenderedPageBreak/>
        <w:t xml:space="preserve">And the stationary Navier-Stokes equation can be implemented as such: </w:t>
      </w:r>
      <m:oMath>
        <m:r>
          <m:rPr>
            <m:sty m:val="p"/>
          </m:rPr>
          <w:rPr>
            <w:rFonts w:ascii="Cambria Math" w:hAnsi="Cambria Math" w:cs="Times New Roman"/>
          </w:rPr>
          <w:br/>
        </m:r>
      </m:oMath>
      <m:oMathPara>
        <m:oMath>
          <m:r>
            <w:rPr>
              <w:rFonts w:ascii="Cambria Math" w:hAnsi="Cambria Math" w:cs="Times New Roman"/>
            </w:rPr>
            <m:t>ρ</m:t>
          </m:r>
          <m:d>
            <m:dPr>
              <m:ctrlPr>
                <w:rPr>
                  <w:rFonts w:ascii="Cambria Math" w:hAnsi="Cambria Math" w:cs="Times New Roman"/>
                  <w:i/>
                </w:rPr>
              </m:ctrlPr>
            </m:dPr>
            <m:e>
              <m:r>
                <m:rPr>
                  <m:sty m:val="bi"/>
                </m:rPr>
                <w:rPr>
                  <w:rFonts w:ascii="Cambria Math" w:hAnsi="Cambria Math" w:cs="Times New Roman"/>
                </w:rPr>
                <m:t>u</m:t>
              </m:r>
              <m:r>
                <w:rPr>
                  <w:rFonts w:ascii="Cambria Math" w:hAnsi="Cambria Math" w:cs="Times New Roman"/>
                </w:rPr>
                <m:t>∙</m:t>
              </m:r>
              <m:r>
                <m:rPr>
                  <m:sty m:val="p"/>
                </m:rPr>
                <w:rPr>
                  <w:rFonts w:ascii="Cambria Math" w:hAnsi="Cambria Math" w:cs="Times New Roman"/>
                </w:rPr>
                <m:t>∇</m:t>
              </m:r>
            </m:e>
          </m:d>
          <m:r>
            <m:rPr>
              <m:sty m:val="bi"/>
            </m:rPr>
            <w:rPr>
              <w:rFonts w:ascii="Cambria Math" w:hAnsi="Cambria Math" w:cs="Times New Roman"/>
            </w:rPr>
            <m:t>u</m:t>
          </m:r>
          <m:r>
            <w:rPr>
              <w:rFonts w:ascii="Cambria Math" w:hAnsi="Cambria Math" w:cs="Times New Roman"/>
            </w:rPr>
            <m:t>=</m:t>
          </m:r>
          <m:r>
            <m:rPr>
              <m:sty m:val="p"/>
            </m:rPr>
            <w:rPr>
              <w:rFonts w:ascii="Cambria Math" w:hAnsi="Cambria Math" w:cs="Times New Roman"/>
            </w:rPr>
            <m:t>∇</m:t>
          </m:r>
          <m:r>
            <w:rPr>
              <w:rFonts w:ascii="Cambria Math" w:hAnsi="Cambria Math" w:cs="Times New Roman"/>
            </w:rPr>
            <m:t>∙</m:t>
          </m:r>
          <m:d>
            <m:dPr>
              <m:begChr m:val="["/>
              <m:endChr m:val="]"/>
              <m:ctrlPr>
                <w:rPr>
                  <w:rFonts w:ascii="Cambria Math" w:hAnsi="Cambria Math" w:cs="Times New Roman"/>
                  <w:i/>
                </w:rPr>
              </m:ctrlPr>
            </m:dPr>
            <m:e>
              <m:r>
                <w:rPr>
                  <w:rFonts w:ascii="Cambria Math" w:hAnsi="Cambria Math" w:cs="Times New Roman"/>
                </w:rPr>
                <m:t>p</m:t>
              </m:r>
              <m:r>
                <m:rPr>
                  <m:sty m:val="bi"/>
                </m:rPr>
                <w:rPr>
                  <w:rFonts w:ascii="Cambria Math" w:hAnsi="Cambria Math" w:cs="Times New Roman"/>
                </w:rPr>
                <m:t>I</m:t>
              </m:r>
              <m:r>
                <w:rPr>
                  <w:rFonts w:ascii="Cambria Math" w:hAnsi="Cambria Math" w:cs="Times New Roman"/>
                </w:rPr>
                <m:t>+</m:t>
              </m:r>
              <m:r>
                <m:rPr>
                  <m:sty m:val="b"/>
                </m:rPr>
                <w:rPr>
                  <w:rFonts w:ascii="Cambria Math" w:hAnsi="Cambria Math" w:cs="Times New Roman"/>
                </w:rPr>
                <m:t>Κ</m:t>
              </m:r>
              <m:ctrlPr>
                <w:rPr>
                  <w:rFonts w:ascii="Cambria Math" w:hAnsi="Cambria Math" w:cs="Times New Roman"/>
                  <w:b/>
                  <w:bCs/>
                </w:rPr>
              </m:ctrlPr>
            </m:e>
          </m:d>
          <m:r>
            <m:rPr>
              <m:sty m:val="b"/>
            </m:rPr>
            <w:rPr>
              <w:rFonts w:ascii="Cambria Math" w:hAnsi="Cambria Math" w:cs="Times New Roman"/>
            </w:rPr>
            <m:t>+F</m:t>
          </m:r>
        </m:oMath>
      </m:oMathPara>
    </w:p>
    <w:p w14:paraId="7777BC73" w14:textId="77777777" w:rsidR="00092E5F" w:rsidRDefault="00000000">
      <w:pPr>
        <w:spacing w:line="360" w:lineRule="auto"/>
        <w:rPr>
          <w:rFonts w:cs="Times New Roman"/>
        </w:rPr>
      </w:pPr>
      <w:r>
        <w:rPr>
          <w:rFonts w:cs="Times New Roman"/>
        </w:rPr>
        <w:t xml:space="preserve">Here, </w:t>
      </w:r>
      <w:r>
        <w:rPr>
          <w:rFonts w:cs="Times New Roman"/>
          <w:b/>
          <w:bCs/>
          <w:i/>
          <w:iCs/>
        </w:rPr>
        <w:t>u</w:t>
      </w:r>
      <w:r>
        <w:rPr>
          <w:rFonts w:cs="Times New Roman"/>
          <w:b/>
          <w:bCs/>
        </w:rPr>
        <w:t xml:space="preserve"> </w:t>
      </w:r>
      <w:r>
        <w:rPr>
          <w:rFonts w:cs="Times New Roman"/>
        </w:rPr>
        <w:t xml:space="preserve">is the velocity vector, </w:t>
      </w:r>
      <w:r>
        <w:rPr>
          <w:rFonts w:cs="Times New Roman"/>
          <w:i/>
          <w:iCs/>
        </w:rPr>
        <w:t xml:space="preserve">p </w:t>
      </w:r>
      <w:r>
        <w:rPr>
          <w:rFonts w:cs="Times New Roman"/>
        </w:rPr>
        <w:t xml:space="preserve">is pressure, and </w:t>
      </w:r>
      <w:r>
        <w:rPr>
          <w:rFonts w:cs="Times New Roman"/>
          <w:b/>
          <w:bCs/>
        </w:rPr>
        <w:t>F</w:t>
      </w:r>
      <w:r>
        <w:rPr>
          <w:rFonts w:cs="Times New Roman"/>
        </w:rPr>
        <w:t xml:space="preserve"> the volume force vector.</w:t>
      </w:r>
      <w:r>
        <w:rPr>
          <w:rFonts w:cs="Times New Roman"/>
          <w:b/>
          <w:bCs/>
        </w:rPr>
        <w:t xml:space="preserve"> </w:t>
      </w:r>
      <w:r>
        <w:rPr>
          <w:rFonts w:cs="Times New Roman"/>
        </w:rPr>
        <w:t>The stress constitutive equation is:</w:t>
      </w:r>
    </w:p>
    <w:p w14:paraId="47857A58" w14:textId="77777777" w:rsidR="00092E5F" w:rsidRDefault="00000000">
      <w:pPr>
        <w:spacing w:line="360" w:lineRule="auto"/>
        <w:rPr>
          <w:rFonts w:cs="Times New Roman"/>
        </w:rPr>
      </w:pPr>
      <m:oMathPara>
        <m:oMath>
          <m:r>
            <m:rPr>
              <m:sty m:val="b"/>
            </m:rPr>
            <w:rPr>
              <w:rFonts w:ascii="Cambria Math" w:hAnsi="Cambria Math" w:cs="Times New Roman"/>
            </w:rPr>
            <m:t>Κ</m:t>
          </m:r>
          <m:r>
            <m:rPr>
              <m:sty m:val="p"/>
            </m:rPr>
            <w:rPr>
              <w:rFonts w:ascii="Cambria Math" w:hAnsi="Cambria Math" w:cs="Times New Roman"/>
            </w:rPr>
            <m:t>=μ(∇</m:t>
          </m:r>
          <m:r>
            <m:rPr>
              <m:sty m:val="b"/>
            </m:rPr>
            <w:rPr>
              <w:rFonts w:ascii="Cambria Math" w:hAnsi="Cambria Math" w:cs="Times New Roman"/>
            </w:rPr>
            <m:t>u</m:t>
          </m:r>
          <m:r>
            <m:rPr>
              <m:sty m:val="p"/>
            </m:rPr>
            <w:rPr>
              <w:rFonts w:ascii="Cambria Math" w:hAnsi="Cambria Math" w:cs="Times New Roman"/>
            </w:rPr>
            <m:t>+</m:t>
          </m:r>
          <m:sSup>
            <m:sSupPr>
              <m:ctrlPr>
                <w:rPr>
                  <w:rFonts w:ascii="Cambria Math" w:hAnsi="Cambria Math" w:cs="Times New Roman"/>
                </w:rPr>
              </m:ctrlPr>
            </m:sSupPr>
            <m:e>
              <m:d>
                <m:dPr>
                  <m:ctrlPr>
                    <w:rPr>
                      <w:rFonts w:ascii="Cambria Math" w:hAnsi="Cambria Math" w:cs="Times New Roman"/>
                    </w:rPr>
                  </m:ctrlPr>
                </m:dPr>
                <m:e>
                  <m:r>
                    <m:rPr>
                      <m:sty m:val="p"/>
                    </m:rPr>
                    <w:rPr>
                      <w:rFonts w:ascii="Cambria Math" w:hAnsi="Cambria Math" w:cs="Times New Roman"/>
                    </w:rPr>
                    <m:t>∇</m:t>
                  </m:r>
                  <m:r>
                    <m:rPr>
                      <m:sty m:val="b"/>
                    </m:rPr>
                    <w:rPr>
                      <w:rFonts w:ascii="Cambria Math" w:hAnsi="Cambria Math" w:cs="Times New Roman"/>
                    </w:rPr>
                    <m:t>u</m:t>
                  </m:r>
                </m:e>
              </m:d>
            </m:e>
            <m:sup>
              <m:r>
                <m:rPr>
                  <m:sty m:val="p"/>
                </m:rPr>
                <w:rPr>
                  <w:rFonts w:ascii="Cambria Math" w:hAnsi="Cambria Math" w:cs="Times New Roman"/>
                </w:rPr>
                <m:t>T</m:t>
              </m:r>
            </m:sup>
          </m:sSup>
          <m:r>
            <w:rPr>
              <w:rFonts w:ascii="Cambria Math" w:hAnsi="Cambria Math" w:cs="Times New Roman"/>
            </w:rPr>
            <m:t>)</m:t>
          </m:r>
        </m:oMath>
      </m:oMathPara>
    </w:p>
    <w:p w14:paraId="66B35177" w14:textId="77777777" w:rsidR="00092E5F" w:rsidRDefault="00000000">
      <w:pPr>
        <w:spacing w:line="360" w:lineRule="auto"/>
        <w:rPr>
          <w:rFonts w:cs="Times New Roman"/>
        </w:rPr>
      </w:pPr>
      <w:r>
        <w:rPr>
          <w:rFonts w:cs="Times New Roman"/>
        </w:rPr>
        <w:t xml:space="preserve">No slip boundary condition is applied on the inner walls of the reactor tube. A standard flow rate is set at the inlet boundary and a constant pressure at the outlet boundary. </w:t>
      </w:r>
    </w:p>
    <w:p w14:paraId="084937B9" w14:textId="77777777" w:rsidR="00092E5F" w:rsidRDefault="00092E5F">
      <w:pPr>
        <w:spacing w:line="360" w:lineRule="auto"/>
        <w:rPr>
          <w:rFonts w:cs="Times New Roman"/>
        </w:rPr>
      </w:pPr>
    </w:p>
    <w:p w14:paraId="7BEB607C" w14:textId="77777777" w:rsidR="00092E5F" w:rsidRDefault="00000000">
      <w:pPr>
        <w:spacing w:line="360" w:lineRule="auto"/>
        <w:rPr>
          <w:rFonts w:cs="Times New Roman"/>
          <w:u w:val="single"/>
        </w:rPr>
      </w:pPr>
      <w:r>
        <w:rPr>
          <w:rFonts w:cs="Times New Roman"/>
          <w:u w:val="single"/>
        </w:rPr>
        <w:t>Energy Balance</w:t>
      </w:r>
    </w:p>
    <w:p w14:paraId="0FE182AA" w14:textId="77777777" w:rsidR="00092E5F" w:rsidRDefault="00000000">
      <w:pPr>
        <w:spacing w:line="360" w:lineRule="auto"/>
        <w:rPr>
          <w:rFonts w:cs="Times New Roman"/>
        </w:rPr>
      </w:pPr>
      <w:r>
        <w:rPr>
          <w:rFonts w:cs="Times New Roman"/>
        </w:rPr>
        <w:t xml:space="preserve">Heat transfer in the solid surfaces is defined as: </w:t>
      </w:r>
    </w:p>
    <w:p w14:paraId="595E72C5" w14:textId="77777777" w:rsidR="00092E5F" w:rsidRDefault="00000000">
      <w:pPr>
        <w:spacing w:line="360" w:lineRule="auto"/>
        <w:rPr>
          <w:rFonts w:cs="Times New Roman"/>
        </w:rPr>
      </w:pPr>
      <m:oMathPara>
        <m:oMath>
          <m:r>
            <m:rPr>
              <m:sty m:val="p"/>
            </m:rPr>
            <w:rPr>
              <w:rFonts w:ascii="Cambria Math" w:hAnsi="Cambria Math" w:cs="Times New Roman"/>
            </w:rPr>
            <m:t>ρ</m:t>
          </m:r>
          <m:sSub>
            <m:sSubPr>
              <m:ctrlPr>
                <w:rPr>
                  <w:rFonts w:ascii="Cambria Math" w:hAnsi="Cambria Math" w:cs="Times New Roman"/>
                </w:rPr>
              </m:ctrlPr>
            </m:sSubPr>
            <m:e>
              <m:r>
                <m:rPr>
                  <m:sty m:val="p"/>
                </m:rPr>
                <w:rPr>
                  <w:rFonts w:ascii="Cambria Math" w:hAnsi="Cambria Math" w:cs="Times New Roman"/>
                </w:rPr>
                <m:t>C</m:t>
              </m:r>
            </m:e>
            <m:sub>
              <m:r>
                <m:rPr>
                  <m:sty m:val="p"/>
                </m:rPr>
                <w:rPr>
                  <w:rFonts w:ascii="Cambria Math" w:hAnsi="Cambria Math" w:cs="Times New Roman"/>
                </w:rPr>
                <m:t>p</m:t>
              </m:r>
            </m:sub>
          </m:sSub>
          <m:r>
            <m:rPr>
              <m:sty m:val="bi"/>
            </m:rPr>
            <w:rPr>
              <w:rFonts w:ascii="Cambria Math" w:hAnsi="Cambria Math" w:cs="Times New Roman"/>
            </w:rPr>
            <m:t>u</m:t>
          </m:r>
          <m:r>
            <w:rPr>
              <w:rFonts w:ascii="Cambria Math" w:hAnsi="Cambria Math" w:cs="Times New Roman"/>
            </w:rPr>
            <m:t>∙</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r>
            <m:rPr>
              <m:sty m:val="bi"/>
            </m:rPr>
            <w:rPr>
              <w:rFonts w:ascii="Cambria Math" w:hAnsi="Cambria Math" w:cs="Times New Roman"/>
            </w:rPr>
            <m:t>q</m:t>
          </m:r>
          <m:r>
            <w:rPr>
              <w:rFonts w:ascii="Cambria Math" w:hAnsi="Cambria Math" w:cs="Times New Roman"/>
            </w:rPr>
            <m:t>=Q+</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ted</m:t>
              </m:r>
            </m:sub>
          </m:sSub>
        </m:oMath>
      </m:oMathPara>
    </w:p>
    <w:p w14:paraId="1765E68E" w14:textId="77777777" w:rsidR="00092E5F" w:rsidRDefault="00000000">
      <w:pPr>
        <w:spacing w:line="360" w:lineRule="auto"/>
        <w:jc w:val="both"/>
        <w:rPr>
          <w:rFonts w:cs="Times New Roman"/>
        </w:rPr>
      </w:pPr>
      <w:r>
        <w:rPr>
          <w:rFonts w:cs="Times New Roman"/>
          <w:i/>
          <w:iCs/>
        </w:rPr>
        <w:t xml:space="preserve">Q </w:t>
      </w:r>
      <w:r>
        <w:rPr>
          <w:rFonts w:cs="Times New Roman"/>
        </w:rPr>
        <w:t>is the heat source, which is generated from electromagnetic Joule heating at the boundaries of the tungsten wire and copper rods.</w:t>
      </w:r>
    </w:p>
    <w:p w14:paraId="3B4A9A25" w14:textId="77777777" w:rsidR="00092E5F" w:rsidRDefault="00000000">
      <w:pPr>
        <w:spacing w:line="360" w:lineRule="auto"/>
        <w:rPr>
          <w:rFonts w:cs="Times New Roman"/>
          <w:b/>
          <w:bCs/>
        </w:rPr>
      </w:pPr>
      <m:oMathPara>
        <m:oMath>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E</m:t>
              </m:r>
            </m:sub>
          </m:sSub>
          <m:r>
            <w:rPr>
              <w:rFonts w:ascii="Cambria Math" w:hAnsi="Cambria Math" w:cs="Times New Roman"/>
            </w:rPr>
            <m:t>=</m:t>
          </m:r>
          <m:r>
            <m:rPr>
              <m:sty m:val="bi"/>
            </m:rPr>
            <w:rPr>
              <w:rFonts w:ascii="Cambria Math" w:hAnsi="Cambria Math" w:cs="Times New Roman"/>
            </w:rPr>
            <m:t>J∙E</m:t>
          </m:r>
        </m:oMath>
      </m:oMathPara>
    </w:p>
    <w:p w14:paraId="38085F00" w14:textId="77777777" w:rsidR="00092E5F" w:rsidRDefault="00000000">
      <w:pPr>
        <w:spacing w:line="360" w:lineRule="auto"/>
        <w:jc w:val="both"/>
        <w:rPr>
          <w:rFonts w:cs="Times New Roman"/>
        </w:rPr>
      </w:pPr>
      <w:r>
        <w:rPr>
          <w:rFonts w:cs="Times New Roman"/>
        </w:rPr>
        <w:t>The equation also accounts for thermoelastic damping effects (</w:t>
      </w:r>
      <m:oMath>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ted</m:t>
            </m:r>
          </m:sub>
        </m:sSub>
        <m:r>
          <w:rPr>
            <w:rFonts w:ascii="Cambria Math" w:hAnsi="Cambria Math" w:cs="Times New Roman"/>
          </w:rPr>
          <m:t>)</m:t>
        </m:r>
      </m:oMath>
      <w:r>
        <w:rPr>
          <w:rFonts w:cs="Times New Roman"/>
        </w:rPr>
        <w:t>. In the fluid surface, there is additionally work done by pressure changes (</w:t>
      </w:r>
      <m:oMath>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p</m:t>
            </m:r>
          </m:sub>
        </m:sSub>
      </m:oMath>
      <w:r>
        <w:rPr>
          <w:rFonts w:cs="Times New Roman"/>
        </w:rPr>
        <w:t>) and viscous dissipation (</w:t>
      </w:r>
      <m:oMath>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vd</m:t>
            </m:r>
          </m:sub>
        </m:sSub>
      </m:oMath>
      <w:r>
        <w:rPr>
          <w:rFonts w:cs="Times New Roman"/>
        </w:rPr>
        <w:t xml:space="preserve">) in the fluid: </w:t>
      </w:r>
    </w:p>
    <w:p w14:paraId="34314982" w14:textId="77777777" w:rsidR="00092E5F" w:rsidRDefault="00000000">
      <w:pPr>
        <w:spacing w:line="360" w:lineRule="auto"/>
        <w:rPr>
          <w:rFonts w:cs="Times New Roman"/>
        </w:rPr>
      </w:pPr>
      <m:oMathPara>
        <m:oMath>
          <m:r>
            <w:rPr>
              <w:rFonts w:ascii="Cambria Math" w:hAnsi="Cambria Math" w:cs="Times New Roman"/>
            </w:rPr>
            <m:t>ρ</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p</m:t>
              </m:r>
            </m:sub>
          </m:sSub>
          <m:r>
            <m:rPr>
              <m:sty m:val="bi"/>
            </m:rPr>
            <w:rPr>
              <w:rFonts w:ascii="Cambria Math" w:hAnsi="Cambria Math" w:cs="Times New Roman"/>
            </w:rPr>
            <m:t>u</m:t>
          </m:r>
          <m:r>
            <w:rPr>
              <w:rFonts w:ascii="Cambria Math" w:hAnsi="Cambria Math" w:cs="Times New Roman"/>
            </w:rPr>
            <m:t>∙</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r>
            <w:rPr>
              <w:rFonts w:ascii="Cambria Math" w:hAnsi="Cambria Math" w:cs="Times New Roman"/>
            </w:rPr>
            <m:t>∙</m:t>
          </m:r>
          <m:r>
            <m:rPr>
              <m:sty m:val="bi"/>
            </m:rPr>
            <w:rPr>
              <w:rFonts w:ascii="Cambria Math" w:hAnsi="Cambria Math" w:cs="Times New Roman"/>
            </w:rPr>
            <m:t>q</m:t>
          </m:r>
          <m:r>
            <w:rPr>
              <w:rFonts w:ascii="Cambria Math" w:hAnsi="Cambria Math" w:cs="Times New Roman"/>
            </w:rPr>
            <m:t>=Q+</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p</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vd</m:t>
              </m:r>
            </m:sub>
          </m:sSub>
        </m:oMath>
      </m:oMathPara>
    </w:p>
    <w:p w14:paraId="61DDD724" w14:textId="77777777" w:rsidR="00092E5F" w:rsidRDefault="00000000">
      <w:pPr>
        <w:spacing w:line="360" w:lineRule="auto"/>
        <w:rPr>
          <w:rFonts w:cs="Times New Roman"/>
        </w:rPr>
      </w:pPr>
      <w:r>
        <w:rPr>
          <w:rFonts w:cs="Times New Roman"/>
        </w:rPr>
        <w:t>The conductive heat flux is calculated based on the thermal conductivity (</w:t>
      </w:r>
      <w:r>
        <w:rPr>
          <w:rFonts w:cs="Times New Roman"/>
          <w:i/>
          <w:iCs/>
        </w:rPr>
        <w:t>k</w:t>
      </w:r>
      <w:r>
        <w:rPr>
          <w:rFonts w:cs="Times New Roman"/>
        </w:rPr>
        <w:t xml:space="preserve">) of each material: </w:t>
      </w:r>
      <m:oMath>
        <m:r>
          <m:rPr>
            <m:sty m:val="p"/>
          </m:rPr>
          <w:rPr>
            <w:rFonts w:ascii="Cambria Math" w:hAnsi="Cambria Math" w:cs="Times New Roman"/>
          </w:rPr>
          <w:br/>
        </m:r>
      </m:oMath>
      <m:oMathPara>
        <m:oMath>
          <m:r>
            <m:rPr>
              <m:sty m:val="bi"/>
            </m:rPr>
            <w:rPr>
              <w:rFonts w:ascii="Cambria Math" w:hAnsi="Cambria Math" w:cs="Times New Roman"/>
            </w:rPr>
            <m:t>q</m:t>
          </m:r>
          <m:r>
            <w:rPr>
              <w:rFonts w:ascii="Cambria Math" w:hAnsi="Cambria Math" w:cs="Times New Roman"/>
            </w:rPr>
            <m:t>=-k</m:t>
          </m:r>
          <m:r>
            <m:rPr>
              <m:sty m:val="p"/>
            </m:rPr>
            <w:rPr>
              <w:rFonts w:ascii="Cambria Math" w:hAnsi="Cambria Math" w:cs="Times New Roman"/>
            </w:rPr>
            <m:t>∇</m:t>
          </m:r>
          <m:r>
            <w:rPr>
              <w:rFonts w:ascii="Cambria Math" w:hAnsi="Cambria Math" w:cs="Times New Roman"/>
            </w:rPr>
            <m:t>T</m:t>
          </m:r>
        </m:oMath>
      </m:oMathPara>
    </w:p>
    <w:p w14:paraId="169374E5" w14:textId="77777777" w:rsidR="00092E5F" w:rsidRDefault="00000000">
      <w:pPr>
        <w:spacing w:line="360" w:lineRule="auto"/>
        <w:rPr>
          <w:rFonts w:cs="Times New Roman"/>
        </w:rPr>
      </w:pPr>
      <w:r>
        <w:rPr>
          <w:rFonts w:cs="Times New Roman"/>
        </w:rPr>
        <w:t xml:space="preserve">Density of the fluid is calculated assuming ideal gas conditions: </w:t>
      </w:r>
    </w:p>
    <w:p w14:paraId="31F82F7D" w14:textId="77777777" w:rsidR="00092E5F" w:rsidRDefault="00000000">
      <w:pPr>
        <w:spacing w:line="360" w:lineRule="auto"/>
        <w:rPr>
          <w:rFonts w:cs="Times New Roman"/>
        </w:rPr>
      </w:pPr>
      <m:oMathPara>
        <m:oMath>
          <m:r>
            <w:rPr>
              <w:rFonts w:ascii="Cambria Math" w:hAnsi="Cambria Math" w:cs="Times New Roman"/>
            </w:rPr>
            <m:t>ρ=</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A</m:t>
                  </m:r>
                </m:sub>
              </m:sSub>
            </m:num>
            <m:den>
              <m:r>
                <w:rPr>
                  <w:rFonts w:ascii="Cambria Math" w:hAnsi="Cambria Math" w:cs="Times New Roman"/>
                </w:rPr>
                <m:t>RT</m:t>
              </m:r>
            </m:den>
          </m:f>
        </m:oMath>
      </m:oMathPara>
    </w:p>
    <w:p w14:paraId="19428E07" w14:textId="77777777" w:rsidR="00092E5F" w:rsidRDefault="00000000">
      <w:pPr>
        <w:spacing w:line="360" w:lineRule="auto"/>
        <w:jc w:val="both"/>
        <w:rPr>
          <w:rFonts w:cs="Times New Roman"/>
        </w:rPr>
      </w:pPr>
      <w:r>
        <w:rPr>
          <w:rFonts w:cs="Times New Roman"/>
        </w:rPr>
        <w:t xml:space="preserve">Convective heat transfer within the gas flow regime is calculated by coupling the laminar flow and conductive heat transfer equations. On the external reactor walls, there is heat dissipation due to natural convection. </w:t>
      </w:r>
    </w:p>
    <w:p w14:paraId="294F5E30" w14:textId="77777777" w:rsidR="00092E5F" w:rsidRDefault="00000000">
      <w:pPr>
        <w:spacing w:line="360" w:lineRule="auto"/>
        <w:ind w:firstLine="720"/>
        <w:jc w:val="both"/>
        <w:rPr>
          <w:rFonts w:cs="Times New Roman"/>
        </w:rPr>
      </w:pPr>
      <w:r>
        <w:rPr>
          <w:rFonts w:cs="Times New Roman"/>
        </w:rPr>
        <w:t xml:space="preserve">The model defines the ammonia fluid as a participating medium that partially absorbs and scatters heat radiation while the other surfaces are opaque to radiation. Thus, radiative heat is approximated as: </w:t>
      </w:r>
    </w:p>
    <w:p w14:paraId="64DD2164" w14:textId="77777777" w:rsidR="00092E5F" w:rsidRDefault="00000000">
      <w:pPr>
        <w:spacing w:line="360" w:lineRule="auto"/>
        <w:rPr>
          <w:rFonts w:cs="Times New Roman"/>
        </w:rPr>
      </w:pPr>
      <m:oMathPara>
        <m:oMathParaPr>
          <m:jc m:val="center"/>
        </m:oMathParaPr>
        <m:oMath>
          <m:sSub>
            <m:sSubPr>
              <m:ctrlPr>
                <w:rPr>
                  <w:rFonts w:ascii="Cambria Math" w:hAnsi="Cambria Math" w:cs="Times New Roman"/>
                </w:rPr>
              </m:ctrlPr>
            </m:sSubPr>
            <m:e>
              <m:r>
                <m:rPr>
                  <m:sty m:val="p"/>
                </m:rPr>
                <w:rPr>
                  <w:rFonts w:ascii="Cambria Math" w:hAnsi="Cambria Math" w:cs="Times New Roman"/>
                </w:rPr>
                <m:t>Q</m:t>
              </m:r>
            </m:e>
            <m:sub>
              <m:r>
                <m:rPr>
                  <m:sty m:val="p"/>
                </m:rPr>
                <w:rPr>
                  <w:rFonts w:ascii="Cambria Math" w:hAnsi="Cambria Math" w:cs="Times New Roman"/>
                </w:rPr>
                <m:t>r</m:t>
              </m:r>
            </m:sub>
          </m:sSub>
          <m:r>
            <w:rPr>
              <w:rFonts w:ascii="Cambria Math" w:hAnsi="Cambria Math" w:cs="Times New Roman"/>
            </w:rPr>
            <m:t>=κ</m:t>
          </m:r>
          <m:d>
            <m:dPr>
              <m:ctrlPr>
                <w:rPr>
                  <w:rFonts w:ascii="Cambria Math" w:hAnsi="Cambria Math" w:cs="Times New Roman"/>
                  <w:i/>
                </w:rPr>
              </m:ctrlPr>
            </m:dPr>
            <m:e>
              <m:r>
                <w:rPr>
                  <w:rFonts w:ascii="Cambria Math" w:hAnsi="Cambria Math" w:cs="Times New Roman"/>
                </w:rPr>
                <m:t>G-4π</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b</m:t>
                  </m:r>
                </m:sub>
              </m:sSub>
            </m:e>
          </m:d>
          <m:r>
            <m:rPr>
              <m:sty m:val="p"/>
            </m:rPr>
            <w:rPr>
              <w:rFonts w:ascii="Cambria Math" w:hAnsi="Cambria Math" w:cs="Times New Roman"/>
            </w:rPr>
            <w:br/>
          </m:r>
        </m:oMath>
        <m:oMath>
          <m:r>
            <m:rPr>
              <m:sty m:val="p"/>
            </m:rPr>
            <w:rPr>
              <w:rFonts w:ascii="Cambria Math" w:hAnsi="Cambria Math" w:cs="Times New Roman"/>
            </w:rPr>
            <m:t>∇</m:t>
          </m:r>
          <m:r>
            <w:rPr>
              <w:rFonts w:ascii="Cambria Math" w:hAnsi="Cambria Math" w:cs="Times New Roman"/>
            </w:rPr>
            <m:t>∙</m:t>
          </m:r>
          <m:d>
            <m:dPr>
              <m:ctrlPr>
                <w:rPr>
                  <w:rFonts w:ascii="Cambria Math" w:hAnsi="Cambria Math" w:cs="Times New Roman"/>
                  <w:i/>
                </w:rPr>
              </m:ctrlPr>
            </m:dPr>
            <m:e>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P1</m:t>
                  </m:r>
                </m:sub>
              </m:sSub>
              <m:r>
                <m:rPr>
                  <m:sty m:val="p"/>
                </m:rPr>
                <w:rPr>
                  <w:rFonts w:ascii="Cambria Math" w:hAnsi="Cambria Math" w:cs="Times New Roman"/>
                </w:rPr>
                <m:t>∇</m:t>
              </m:r>
              <m:r>
                <w:rPr>
                  <w:rFonts w:ascii="Cambria Math" w:hAnsi="Cambria Math" w:cs="Times New Roman"/>
                </w:rPr>
                <m:t>G</m:t>
              </m:r>
            </m:e>
          </m:d>
          <m:r>
            <w:rPr>
              <w:rFonts w:ascii="Cambria Math" w:hAnsi="Cambria Math" w:cs="Times New Roman"/>
            </w:rPr>
            <m:t>=-κ</m:t>
          </m:r>
          <m:d>
            <m:dPr>
              <m:ctrlPr>
                <w:rPr>
                  <w:rFonts w:ascii="Cambria Math" w:hAnsi="Cambria Math" w:cs="Times New Roman"/>
                  <w:i/>
                </w:rPr>
              </m:ctrlPr>
            </m:dPr>
            <m:e>
              <m:r>
                <w:rPr>
                  <w:rFonts w:ascii="Cambria Math" w:hAnsi="Cambria Math" w:cs="Times New Roman"/>
                </w:rPr>
                <m:t>G-4π</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b</m:t>
                  </m:r>
                </m:sub>
              </m:sSub>
            </m:e>
          </m:d>
          <m:r>
            <m:rPr>
              <m:sty m:val="p"/>
            </m:rPr>
            <w:rPr>
              <w:rFonts w:ascii="Cambria Math" w:hAnsi="Cambria Math" w:cs="Times New Roman"/>
            </w:rPr>
            <w:br/>
          </m:r>
        </m:oMath>
        <m:oMath>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P1</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3</m:t>
              </m:r>
              <m:d>
                <m:dPr>
                  <m:ctrlPr>
                    <w:rPr>
                      <w:rFonts w:ascii="Cambria Math" w:hAnsi="Cambria Math" w:cs="Times New Roman"/>
                      <w:i/>
                    </w:rPr>
                  </m:ctrlPr>
                </m:dPr>
                <m:e>
                  <m:r>
                    <w:rPr>
                      <w:rFonts w:ascii="Cambria Math" w:hAnsi="Cambria Math" w:cs="Times New Roman"/>
                    </w:rPr>
                    <m:t>κ+</m:t>
                  </m:r>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s</m:t>
                      </m:r>
                    </m:sub>
                  </m:sSub>
                </m:e>
              </m:d>
            </m:den>
          </m:f>
        </m:oMath>
      </m:oMathPara>
    </w:p>
    <w:p w14:paraId="1256DDE3" w14:textId="77777777" w:rsidR="00092E5F" w:rsidRDefault="00000000">
      <w:pPr>
        <w:spacing w:line="360" w:lineRule="auto"/>
        <w:rPr>
          <w:rFonts w:cs="Times New Roman"/>
        </w:rPr>
      </w:pPr>
      <w:r>
        <w:rPr>
          <w:rFonts w:cs="Times New Roman"/>
        </w:rPr>
        <w:t xml:space="preserve">Where </w:t>
      </w:r>
      <m:oMath>
        <m:r>
          <w:rPr>
            <w:rFonts w:ascii="Cambria Math" w:hAnsi="Cambria Math" w:cs="Times New Roman"/>
          </w:rPr>
          <m:t>κ</m:t>
        </m:r>
      </m:oMath>
      <w:r>
        <w:rPr>
          <w:rFonts w:cs="Times New Roman"/>
        </w:rPr>
        <w:t xml:space="preserve"> is the absorption coefficient, G the incident radiation, and </w:t>
      </w:r>
      <m:oMath>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b</m:t>
            </m:r>
          </m:sub>
        </m:sSub>
      </m:oMath>
      <w:r>
        <w:rPr>
          <w:rFonts w:cs="Times New Roman"/>
        </w:rPr>
        <w:t xml:space="preserve"> the blackbody radiative intensity. Radiative scattering is negligible in gases due to the small size of gas molecules, so </w:t>
      </w:r>
      <w:r>
        <w:rPr>
          <w:rFonts w:cs="Times New Roman"/>
        </w:rPr>
        <w:lastRenderedPageBreak/>
        <w:t xml:space="preserve">the scattering coefficient </w:t>
      </w:r>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s</m:t>
            </m:r>
          </m:sub>
        </m:sSub>
      </m:oMath>
      <w:r>
        <w:rPr>
          <w:rFonts w:eastAsiaTheme="minorEastAsia" w:cs="Times New Roman"/>
        </w:rPr>
        <w:t xml:space="preserve"> is assumed to be zero. </w:t>
      </w:r>
      <w:r>
        <w:rPr>
          <w:rFonts w:cs="Times New Roman"/>
        </w:rPr>
        <w:t xml:space="preserve">The Planck-mean absorption coefficient is used for </w:t>
      </w:r>
      <m:oMath>
        <m:r>
          <w:rPr>
            <w:rFonts w:ascii="Cambria Math" w:hAnsi="Cambria Math" w:cs="Times New Roman"/>
          </w:rPr>
          <m:t>κ</m:t>
        </m:r>
      </m:oMath>
      <w:r>
        <w:rPr>
          <w:rFonts w:cs="Times New Roman"/>
        </w:rPr>
        <w:t xml:space="preserve">, which is defined as: </w:t>
      </w:r>
    </w:p>
    <w:p w14:paraId="298AF7CD" w14:textId="77777777" w:rsidR="00092E5F" w:rsidRDefault="00000000">
      <w:pPr>
        <w:spacing w:line="360" w:lineRule="auto"/>
        <w:rPr>
          <w:rFonts w:cs="Times New Roman"/>
        </w:rPr>
      </w:pPr>
      <m:oMathPara>
        <m:oMath>
          <m:sSub>
            <m:sSubPr>
              <m:ctrlPr>
                <w:rPr>
                  <w:rFonts w:ascii="Cambria Math" w:hAnsi="Cambria Math" w:cs="Times New Roman"/>
                  <w:i/>
                </w:rPr>
              </m:ctrlPr>
            </m:sSubPr>
            <m:e>
              <m:r>
                <w:rPr>
                  <w:rFonts w:ascii="Cambria Math" w:hAnsi="Cambria Math" w:cs="Times New Roman"/>
                </w:rPr>
                <m:t>κ</m:t>
              </m:r>
            </m:e>
            <m:sub>
              <m:r>
                <w:rPr>
                  <w:rFonts w:ascii="Cambria Math" w:hAnsi="Cambria Math" w:cs="Times New Roman"/>
                </w:rPr>
                <m:t>P</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b</m:t>
                  </m:r>
                </m:sub>
              </m:sSub>
            </m:den>
          </m:f>
          <m:nary>
            <m:naryPr>
              <m:limLoc m:val="subSup"/>
              <m:ctrlPr>
                <w:rPr>
                  <w:rFonts w:ascii="Cambria Math" w:hAnsi="Cambria Math" w:cs="Times New Roman"/>
                  <w:i/>
                </w:rPr>
              </m:ctrlPr>
            </m:naryPr>
            <m:sub>
              <m:r>
                <w:rPr>
                  <w:rFonts w:ascii="Cambria Math" w:hAnsi="Cambria Math" w:cs="Times New Roman"/>
                </w:rPr>
                <m:t>0</m:t>
              </m:r>
            </m:sub>
            <m:sup>
              <m:r>
                <w:rPr>
                  <w:rFonts w:ascii="Cambria Math" w:hAnsi="Cambria Math" w:cs="Times New Roman"/>
                </w:rPr>
                <m:t>∞</m:t>
              </m:r>
            </m:sup>
            <m:e>
              <m:sSub>
                <m:sSubPr>
                  <m:ctrlPr>
                    <w:rPr>
                      <w:rFonts w:ascii="Cambria Math" w:hAnsi="Cambria Math" w:cs="Times New Roman"/>
                      <w:i/>
                    </w:rPr>
                  </m:ctrlPr>
                </m:sSubPr>
                <m:e>
                  <m:r>
                    <w:rPr>
                      <w:rFonts w:ascii="Cambria Math" w:hAnsi="Cambria Math" w:cs="Times New Roman"/>
                    </w:rPr>
                    <m:t>κ</m:t>
                  </m:r>
                </m:e>
                <m:sub>
                  <m:r>
                    <w:rPr>
                      <w:rFonts w:ascii="Cambria Math" w:hAnsi="Cambria Math" w:cs="Times New Roman"/>
                    </w:rPr>
                    <m:t>η</m:t>
                  </m:r>
                </m:sub>
              </m:sSub>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bη</m:t>
                  </m:r>
                </m:sub>
              </m:sSub>
              <m:r>
                <w:rPr>
                  <w:rFonts w:ascii="Cambria Math" w:hAnsi="Cambria Math" w:cs="Times New Roman"/>
                </w:rPr>
                <m:t>dη</m:t>
              </m:r>
            </m:e>
          </m:nary>
        </m:oMath>
      </m:oMathPara>
    </w:p>
    <w:p w14:paraId="53513F00" w14:textId="77777777" w:rsidR="00092E5F" w:rsidRDefault="00000000">
      <w:pPr>
        <w:spacing w:line="360" w:lineRule="auto"/>
        <w:jc w:val="both"/>
        <w:rPr>
          <w:rFonts w:cs="Times New Roman"/>
        </w:rPr>
      </w:pPr>
      <w:r>
        <w:rPr>
          <w:rFonts w:cs="Times New Roman"/>
        </w:rPr>
        <w:t>As mononuclear molecules such as H</w:t>
      </w:r>
      <w:r>
        <w:rPr>
          <w:rFonts w:cs="Times New Roman"/>
          <w:vertAlign w:val="subscript"/>
        </w:rPr>
        <w:t>2</w:t>
      </w:r>
      <w:r>
        <w:rPr>
          <w:rFonts w:cs="Times New Roman"/>
        </w:rPr>
        <w:t xml:space="preserve"> and N</w:t>
      </w:r>
      <w:r>
        <w:rPr>
          <w:rFonts w:cs="Times New Roman"/>
          <w:vertAlign w:val="subscript"/>
        </w:rPr>
        <w:t>2</w:t>
      </w:r>
      <w:r>
        <w:rPr>
          <w:rFonts w:cs="Times New Roman"/>
        </w:rPr>
        <w:t xml:space="preserve"> do not absorb infrared radiation, only the absorption coefficient of NH</w:t>
      </w:r>
      <w:r>
        <w:rPr>
          <w:rFonts w:cs="Times New Roman"/>
          <w:vertAlign w:val="subscript"/>
        </w:rPr>
        <w:t xml:space="preserve">3 </w:t>
      </w:r>
      <w:r>
        <w:rPr>
          <w:rFonts w:cs="Times New Roman"/>
        </w:rPr>
        <w:t>need to be considered. This can be calculated by the formula</w:t>
      </w:r>
      <w:r>
        <w:rPr>
          <w:rFonts w:cs="Times New Roman"/>
        </w:rPr>
        <w:fldChar w:fldCharType="begin"/>
      </w:r>
      <w:r>
        <w:rPr>
          <w:rFonts w:cs="Times New Roman"/>
        </w:rPr>
        <w:instrText xml:space="preserve"> ADDIN EN.CITE &lt;EndNote&gt;&lt;Cite&gt;&lt;Author&gt;Nakamura&lt;/Author&gt;&lt;Year&gt;2019&lt;/Year&gt;&lt;RecNum&gt;369&lt;/RecNum&gt;&lt;DisplayText&gt;&lt;style face="superscript"&gt;1&lt;/style&gt;&lt;/DisplayText&gt;&lt;record&gt;&lt;rec-number&gt;369&lt;/rec-number&gt;&lt;foreign-keys&gt;&lt;key app="EN" db-id="s5z2zsz04waeexe29v3pzvfl2x5z0s5f0vvs" timestamp="1701225259"&gt;369&lt;/key&gt;&lt;/foreign-keys&gt;&lt;ref-type name="Journal Article"&gt;17&lt;/ref-type&gt;&lt;contributors&gt;&lt;authors&gt;&lt;author&gt;Nakamura, Hisashi&lt;/author&gt;&lt;author&gt;Shindo, Mitsumasa&lt;/author&gt;&lt;/authors&gt;&lt;/contributors&gt;&lt;titles&gt;&lt;title&gt;Effects of radiation heat loss on laminar premixed ammonia/air flames&lt;/title&gt;&lt;secondary-title&gt;Proceedings of the Combustion Institute&lt;/secondary-title&gt;&lt;/titles&gt;&lt;periodical&gt;&lt;full-title&gt;Proceedings of the Combustion Institute&lt;/full-title&gt;&lt;abbr-1&gt;Proc. Combust. Inst.&lt;/abbr-1&gt;&lt;abbr-2&gt;Proc Combust Inst&lt;/abbr-2&gt;&lt;/periodical&gt;&lt;pages&gt;1741-1748&lt;/pages&gt;&lt;volume&gt;37&lt;/volume&gt;&lt;number&gt;2&lt;/number&gt;&lt;section&gt;1741&lt;/section&gt;&lt;dates&gt;&lt;year&gt;2019&lt;/year&gt;&lt;/dates&gt;&lt;isbn&gt;15407489&lt;/isbn&gt;&lt;urls&gt;&lt;/urls&gt;&lt;electronic-resource-num&gt;10.1016/j.proci.2018.06.138&lt;/electronic-resource-num&gt;&lt;/record&gt;&lt;/Cite&gt;&lt;/EndNote&gt;</w:instrText>
      </w:r>
      <w:r>
        <w:rPr>
          <w:rFonts w:cs="Times New Roman"/>
        </w:rPr>
        <w:fldChar w:fldCharType="separate"/>
      </w:r>
      <w:r>
        <w:rPr>
          <w:rFonts w:cs="Times New Roman"/>
          <w:vertAlign w:val="superscript"/>
        </w:rPr>
        <w:t>1</w:t>
      </w:r>
      <w:r>
        <w:rPr>
          <w:rFonts w:cs="Times New Roman"/>
        </w:rPr>
        <w:fldChar w:fldCharType="end"/>
      </w:r>
      <w:r>
        <w:rPr>
          <w:rFonts w:cs="Times New Roman"/>
        </w:rPr>
        <w:t xml:space="preserve">: </w:t>
      </w:r>
    </w:p>
    <w:p w14:paraId="6EEAC06F" w14:textId="77777777" w:rsidR="00092E5F" w:rsidRDefault="00000000">
      <w:pPr>
        <w:spacing w:line="360" w:lineRule="auto"/>
        <w:rPr>
          <w:rFonts w:eastAsiaTheme="minorEastAsia" w:cs="Times New Roman"/>
        </w:rPr>
      </w:pPr>
      <m:oMathPara>
        <m:oMath>
          <m:sSub>
            <m:sSubPr>
              <m:ctrlPr>
                <w:rPr>
                  <w:rFonts w:ascii="Cambria Math" w:hAnsi="Cambria Math" w:cs="Times New Roman"/>
                  <w:i/>
                </w:rPr>
              </m:ctrlPr>
            </m:sSubPr>
            <m:e>
              <m:r>
                <w:rPr>
                  <w:rFonts w:ascii="Cambria Math" w:hAnsi="Cambria Math" w:cs="Times New Roman"/>
                </w:rPr>
                <m:t>κ</m:t>
              </m:r>
            </m:e>
            <m:sub>
              <m:r>
                <w:rPr>
                  <w:rFonts w:ascii="Cambria Math" w:hAnsi="Cambria Math" w:cs="Times New Roman"/>
                </w:rPr>
                <m:t>P,N</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3</m:t>
                  </m:r>
                </m:sub>
              </m:sSub>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0</m:t>
              </m:r>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1</m:t>
                  </m:r>
                </m:sub>
              </m:sSub>
            </m:num>
            <m:den>
              <m:r>
                <w:rPr>
                  <w:rFonts w:ascii="Cambria Math" w:hAnsi="Cambria Math" w:cs="Times New Roman"/>
                </w:rPr>
                <m:t>T</m:t>
              </m:r>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2</m:t>
                  </m:r>
                </m:sub>
              </m:sSub>
            </m:num>
            <m:den>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2</m:t>
                  </m:r>
                </m:sup>
              </m:sSup>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3</m:t>
                  </m:r>
                </m:sub>
              </m:sSub>
            </m:num>
            <m:den>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3</m:t>
                  </m:r>
                </m:sup>
              </m:sSup>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4</m:t>
                  </m:r>
                </m:sub>
              </m:sSub>
            </m:num>
            <m:den>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4</m:t>
                  </m:r>
                </m:sup>
              </m:sSup>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5</m:t>
                  </m:r>
                </m:sub>
              </m:sSub>
            </m:num>
            <m:den>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5</m:t>
                  </m:r>
                </m:sup>
              </m:sSup>
            </m:den>
          </m:f>
        </m:oMath>
      </m:oMathPara>
    </w:p>
    <w:p w14:paraId="3EE54F92" w14:textId="77777777" w:rsidR="00092E5F" w:rsidRDefault="00000000">
      <w:pPr>
        <w:spacing w:line="360" w:lineRule="auto"/>
        <w:rPr>
          <w:rFonts w:eastAsiaTheme="minorEastAsia" w:cs="Times New Roman"/>
        </w:rPr>
      </w:pPr>
      <w:r>
        <w:rPr>
          <w:rFonts w:eastAsiaTheme="minorEastAsia" w:cs="Times New Roman"/>
        </w:rPr>
        <w:t>The constants C</w:t>
      </w:r>
      <w:r>
        <w:rPr>
          <w:rFonts w:eastAsiaTheme="minorEastAsia" w:cs="Times New Roman"/>
          <w:vertAlign w:val="subscript"/>
        </w:rPr>
        <w:t>0</w:t>
      </w:r>
      <w:r>
        <w:rPr>
          <w:rFonts w:eastAsiaTheme="minorEastAsia" w:cs="Times New Roman"/>
        </w:rPr>
        <w:t xml:space="preserve"> through C</w:t>
      </w:r>
      <w:r>
        <w:rPr>
          <w:rFonts w:eastAsiaTheme="minorEastAsia" w:cs="Times New Roman"/>
          <w:vertAlign w:val="subscript"/>
        </w:rPr>
        <w:t>5</w:t>
      </w:r>
      <w:r>
        <w:rPr>
          <w:rFonts w:eastAsiaTheme="minorEastAsia" w:cs="Times New Roman"/>
        </w:rPr>
        <w:t xml:space="preserve"> are defined as: </w:t>
      </w:r>
    </w:p>
    <w:tbl>
      <w:tblPr>
        <w:tblStyle w:val="TableGrid"/>
        <w:tblW w:w="497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2101"/>
        <w:gridCol w:w="2234"/>
      </w:tblGrid>
      <w:tr w:rsidR="00092E5F" w14:paraId="73A9378E" w14:textId="77777777">
        <w:trPr>
          <w:jc w:val="center"/>
        </w:trPr>
        <w:tc>
          <w:tcPr>
            <w:tcW w:w="637" w:type="dxa"/>
            <w:tcBorders>
              <w:top w:val="single" w:sz="4" w:space="0" w:color="auto"/>
              <w:bottom w:val="single" w:sz="4" w:space="0" w:color="auto"/>
            </w:tcBorders>
            <w:vAlign w:val="center"/>
          </w:tcPr>
          <w:p w14:paraId="7E2A676E" w14:textId="77777777" w:rsidR="00092E5F" w:rsidRDefault="00092E5F">
            <w:pPr>
              <w:pStyle w:val="a"/>
              <w:spacing w:line="360" w:lineRule="auto"/>
              <w:jc w:val="center"/>
              <w:rPr>
                <w:rFonts w:cs="Times New Roman"/>
                <w:i/>
                <w:color w:val="000000" w:themeColor="text1"/>
                <w:spacing w:val="0"/>
                <w:sz w:val="22"/>
                <w:szCs w:val="24"/>
              </w:rPr>
            </w:pPr>
          </w:p>
        </w:tc>
        <w:tc>
          <w:tcPr>
            <w:tcW w:w="2101" w:type="dxa"/>
            <w:tcBorders>
              <w:top w:val="single" w:sz="4" w:space="0" w:color="auto"/>
              <w:bottom w:val="single" w:sz="4" w:space="0" w:color="auto"/>
            </w:tcBorders>
            <w:vAlign w:val="center"/>
          </w:tcPr>
          <w:p w14:paraId="3BCEED88" w14:textId="77777777" w:rsidR="00092E5F" w:rsidRDefault="00000000">
            <w:pPr>
              <w:pStyle w:val="a"/>
              <w:spacing w:line="360" w:lineRule="auto"/>
              <w:jc w:val="center"/>
              <w:rPr>
                <w:rFonts w:cs="Times New Roman"/>
                <w:color w:val="000000" w:themeColor="text1"/>
                <w:spacing w:val="0"/>
                <w:sz w:val="22"/>
                <w:szCs w:val="24"/>
              </w:rPr>
            </w:pPr>
            <m:oMathPara>
              <m:oMath>
                <m:r>
                  <m:rPr>
                    <m:sty m:val="p"/>
                  </m:rPr>
                  <w:rPr>
                    <w:rFonts w:ascii="Cambria Math" w:hAnsi="Cambria Math" w:cs="Times New Roman"/>
                    <w:color w:val="000000" w:themeColor="text1"/>
                    <w:spacing w:val="0"/>
                    <w:sz w:val="22"/>
                    <w:szCs w:val="24"/>
                  </w:rPr>
                  <m:t>300≤</m:t>
                </m:r>
                <m:r>
                  <w:rPr>
                    <w:rFonts w:ascii="Cambria Math" w:hAnsi="Cambria Math" w:cs="Times New Roman"/>
                    <w:color w:val="000000" w:themeColor="text1"/>
                    <w:spacing w:val="0"/>
                    <w:sz w:val="22"/>
                    <w:szCs w:val="24"/>
                  </w:rPr>
                  <m:t>T</m:t>
                </m:r>
                <m:r>
                  <m:rPr>
                    <m:sty m:val="p"/>
                  </m:rPr>
                  <w:rPr>
                    <w:rFonts w:ascii="Cambria Math" w:hAnsi="Cambria Math" w:cs="Times New Roman"/>
                    <w:color w:val="000000" w:themeColor="text1"/>
                    <w:spacing w:val="0"/>
                    <w:sz w:val="22"/>
                    <w:szCs w:val="24"/>
                  </w:rPr>
                  <m:t>≤1100</m:t>
                </m:r>
              </m:oMath>
            </m:oMathPara>
          </w:p>
        </w:tc>
        <w:tc>
          <w:tcPr>
            <w:tcW w:w="2234" w:type="dxa"/>
            <w:tcBorders>
              <w:top w:val="single" w:sz="4" w:space="0" w:color="auto"/>
              <w:bottom w:val="single" w:sz="4" w:space="0" w:color="auto"/>
            </w:tcBorders>
            <w:vAlign w:val="center"/>
          </w:tcPr>
          <w:p w14:paraId="0C7B5CF1" w14:textId="77777777" w:rsidR="00092E5F" w:rsidRDefault="00000000">
            <w:pPr>
              <w:pStyle w:val="a"/>
              <w:spacing w:line="360" w:lineRule="auto"/>
              <w:jc w:val="center"/>
              <w:rPr>
                <w:rFonts w:cs="Times New Roman"/>
                <w:color w:val="000000" w:themeColor="text1"/>
                <w:spacing w:val="0"/>
                <w:sz w:val="22"/>
                <w:szCs w:val="24"/>
              </w:rPr>
            </w:pPr>
            <m:oMathPara>
              <m:oMath>
                <m:r>
                  <m:rPr>
                    <m:sty m:val="p"/>
                  </m:rPr>
                  <w:rPr>
                    <w:rFonts w:ascii="Cambria Math" w:hAnsi="Cambria Math" w:cs="Times New Roman"/>
                    <w:color w:val="000000" w:themeColor="text1"/>
                    <w:spacing w:val="0"/>
                    <w:sz w:val="22"/>
                    <w:szCs w:val="24"/>
                  </w:rPr>
                  <m:t>1100&lt;</m:t>
                </m:r>
                <m:r>
                  <w:rPr>
                    <w:rFonts w:ascii="Cambria Math" w:hAnsi="Cambria Math" w:cs="Times New Roman"/>
                    <w:color w:val="000000" w:themeColor="text1"/>
                    <w:spacing w:val="0"/>
                    <w:sz w:val="22"/>
                    <w:szCs w:val="24"/>
                  </w:rPr>
                  <m:t>T</m:t>
                </m:r>
                <m:r>
                  <m:rPr>
                    <m:sty m:val="p"/>
                  </m:rPr>
                  <w:rPr>
                    <w:rFonts w:ascii="Cambria Math" w:hAnsi="Cambria Math" w:cs="Times New Roman"/>
                    <w:color w:val="000000" w:themeColor="text1"/>
                    <w:spacing w:val="0"/>
                    <w:sz w:val="22"/>
                    <w:szCs w:val="24"/>
                  </w:rPr>
                  <m:t>≤2500</m:t>
                </m:r>
              </m:oMath>
            </m:oMathPara>
          </w:p>
        </w:tc>
      </w:tr>
      <w:tr w:rsidR="00092E5F" w14:paraId="7BD5F25D" w14:textId="77777777">
        <w:trPr>
          <w:jc w:val="center"/>
        </w:trPr>
        <w:tc>
          <w:tcPr>
            <w:tcW w:w="637" w:type="dxa"/>
            <w:tcBorders>
              <w:top w:val="single" w:sz="4" w:space="0" w:color="auto"/>
            </w:tcBorders>
            <w:vAlign w:val="center"/>
          </w:tcPr>
          <w:p w14:paraId="3DC530A8" w14:textId="77777777" w:rsidR="00092E5F" w:rsidRDefault="00000000">
            <w:pPr>
              <w:pStyle w:val="a"/>
              <w:spacing w:line="360" w:lineRule="auto"/>
              <w:jc w:val="center"/>
              <w:rPr>
                <w:rFonts w:cs="Times New Roman"/>
                <w:color w:val="000000" w:themeColor="text1"/>
                <w:spacing w:val="0"/>
                <w:sz w:val="22"/>
                <w:szCs w:val="24"/>
              </w:rPr>
            </w:pPr>
            <w:r>
              <w:rPr>
                <w:rFonts w:cs="Times New Roman"/>
                <w:i/>
                <w:color w:val="000000" w:themeColor="text1"/>
                <w:spacing w:val="0"/>
                <w:sz w:val="22"/>
                <w:szCs w:val="24"/>
              </w:rPr>
              <w:t>C</w:t>
            </w:r>
            <w:r>
              <w:rPr>
                <w:rFonts w:cs="Times New Roman" w:hint="eastAsia"/>
                <w:color w:val="000000" w:themeColor="text1"/>
                <w:spacing w:val="0"/>
                <w:sz w:val="22"/>
                <w:szCs w:val="24"/>
                <w:vertAlign w:val="subscript"/>
              </w:rPr>
              <w:t>0</w:t>
            </w:r>
          </w:p>
        </w:tc>
        <w:tc>
          <w:tcPr>
            <w:tcW w:w="2101" w:type="dxa"/>
            <w:tcBorders>
              <w:top w:val="single" w:sz="4" w:space="0" w:color="auto"/>
            </w:tcBorders>
            <w:vAlign w:val="center"/>
          </w:tcPr>
          <w:p w14:paraId="50E8706D" w14:textId="77777777" w:rsidR="00092E5F" w:rsidRDefault="00000000">
            <w:pPr>
              <w:pStyle w:val="a"/>
              <w:spacing w:line="360" w:lineRule="auto"/>
              <w:jc w:val="center"/>
              <w:rPr>
                <w:rFonts w:cs="Times New Roman"/>
                <w:color w:val="000000" w:themeColor="text1"/>
                <w:spacing w:val="0"/>
                <w:sz w:val="22"/>
                <w:szCs w:val="24"/>
              </w:rPr>
            </w:pPr>
            <w:r>
              <w:rPr>
                <w:sz w:val="22"/>
              </w:rPr>
              <w:t>1.15691E+01</w:t>
            </w:r>
          </w:p>
        </w:tc>
        <w:tc>
          <w:tcPr>
            <w:tcW w:w="2234" w:type="dxa"/>
            <w:tcBorders>
              <w:top w:val="single" w:sz="4" w:space="0" w:color="auto"/>
            </w:tcBorders>
            <w:vAlign w:val="center"/>
          </w:tcPr>
          <w:p w14:paraId="002DE5CF" w14:textId="77777777" w:rsidR="00092E5F" w:rsidRDefault="00000000">
            <w:pPr>
              <w:pStyle w:val="a"/>
              <w:spacing w:line="360" w:lineRule="auto"/>
              <w:jc w:val="center"/>
              <w:rPr>
                <w:rFonts w:cs="Times New Roman"/>
                <w:color w:val="000000" w:themeColor="text1"/>
                <w:spacing w:val="0"/>
                <w:sz w:val="22"/>
                <w:szCs w:val="24"/>
              </w:rPr>
            </w:pPr>
            <w:r>
              <w:rPr>
                <w:rFonts w:cs="Times New Roman"/>
                <w:sz w:val="22"/>
              </w:rPr>
              <w:t>−</w:t>
            </w:r>
            <w:r>
              <w:rPr>
                <w:sz w:val="22"/>
              </w:rPr>
              <w:t>5.10770E</w:t>
            </w:r>
            <w:r>
              <w:rPr>
                <w:rFonts w:cs="Times New Roman"/>
                <w:sz w:val="22"/>
              </w:rPr>
              <w:t>−</w:t>
            </w:r>
            <w:r>
              <w:rPr>
                <w:sz w:val="22"/>
              </w:rPr>
              <w:t>02</w:t>
            </w:r>
          </w:p>
        </w:tc>
      </w:tr>
      <w:tr w:rsidR="00092E5F" w14:paraId="44CDB1BF" w14:textId="77777777">
        <w:trPr>
          <w:jc w:val="center"/>
        </w:trPr>
        <w:tc>
          <w:tcPr>
            <w:tcW w:w="637" w:type="dxa"/>
            <w:vAlign w:val="center"/>
          </w:tcPr>
          <w:p w14:paraId="59BFD485" w14:textId="77777777" w:rsidR="00092E5F" w:rsidRDefault="00000000">
            <w:pPr>
              <w:pStyle w:val="a"/>
              <w:spacing w:line="360" w:lineRule="auto"/>
              <w:jc w:val="center"/>
              <w:rPr>
                <w:rFonts w:cs="Times New Roman"/>
                <w:color w:val="000000" w:themeColor="text1"/>
                <w:spacing w:val="0"/>
                <w:sz w:val="22"/>
                <w:szCs w:val="24"/>
              </w:rPr>
            </w:pPr>
            <w:r>
              <w:rPr>
                <w:rFonts w:cs="Times New Roman"/>
                <w:i/>
                <w:color w:val="000000" w:themeColor="text1"/>
                <w:spacing w:val="0"/>
                <w:sz w:val="22"/>
                <w:szCs w:val="24"/>
              </w:rPr>
              <w:t>C</w:t>
            </w:r>
            <w:r>
              <w:rPr>
                <w:rFonts w:cs="Times New Roman" w:hint="eastAsia"/>
                <w:color w:val="000000" w:themeColor="text1"/>
                <w:spacing w:val="0"/>
                <w:sz w:val="22"/>
                <w:szCs w:val="24"/>
                <w:vertAlign w:val="subscript"/>
              </w:rPr>
              <w:t>1</w:t>
            </w:r>
          </w:p>
        </w:tc>
        <w:tc>
          <w:tcPr>
            <w:tcW w:w="2101" w:type="dxa"/>
            <w:vAlign w:val="center"/>
          </w:tcPr>
          <w:p w14:paraId="2F48C869" w14:textId="77777777" w:rsidR="00092E5F" w:rsidRDefault="00000000">
            <w:pPr>
              <w:pStyle w:val="a"/>
              <w:spacing w:line="360" w:lineRule="auto"/>
              <w:jc w:val="center"/>
              <w:rPr>
                <w:rFonts w:cs="Times New Roman"/>
                <w:color w:val="000000" w:themeColor="text1"/>
                <w:spacing w:val="0"/>
                <w:sz w:val="22"/>
                <w:szCs w:val="24"/>
              </w:rPr>
            </w:pPr>
            <w:r>
              <w:rPr>
                <w:rFonts w:cs="Times New Roman"/>
                <w:sz w:val="22"/>
              </w:rPr>
              <w:t>−</w:t>
            </w:r>
            <w:r>
              <w:rPr>
                <w:sz w:val="22"/>
              </w:rPr>
              <w:t>3.56117E+04</w:t>
            </w:r>
          </w:p>
        </w:tc>
        <w:tc>
          <w:tcPr>
            <w:tcW w:w="2234" w:type="dxa"/>
            <w:vAlign w:val="center"/>
          </w:tcPr>
          <w:p w14:paraId="163D32AC" w14:textId="77777777" w:rsidR="00092E5F" w:rsidRDefault="00000000">
            <w:pPr>
              <w:pStyle w:val="a"/>
              <w:spacing w:line="360" w:lineRule="auto"/>
              <w:jc w:val="center"/>
              <w:rPr>
                <w:rFonts w:cs="Times New Roman"/>
                <w:color w:val="000000" w:themeColor="text1"/>
                <w:spacing w:val="0"/>
                <w:sz w:val="22"/>
                <w:szCs w:val="24"/>
              </w:rPr>
            </w:pPr>
            <w:r>
              <w:rPr>
                <w:rFonts w:cs="Times New Roman"/>
                <w:sz w:val="22"/>
              </w:rPr>
              <w:t>−</w:t>
            </w:r>
            <w:r>
              <w:rPr>
                <w:sz w:val="22"/>
              </w:rPr>
              <w:t>8.61034E+02</w:t>
            </w:r>
          </w:p>
        </w:tc>
      </w:tr>
      <w:tr w:rsidR="00092E5F" w14:paraId="5689F06E" w14:textId="77777777">
        <w:trPr>
          <w:jc w:val="center"/>
        </w:trPr>
        <w:tc>
          <w:tcPr>
            <w:tcW w:w="637" w:type="dxa"/>
            <w:vAlign w:val="center"/>
          </w:tcPr>
          <w:p w14:paraId="2228CE3F" w14:textId="77777777" w:rsidR="00092E5F" w:rsidRDefault="00000000">
            <w:pPr>
              <w:pStyle w:val="a"/>
              <w:spacing w:line="360" w:lineRule="auto"/>
              <w:jc w:val="center"/>
              <w:rPr>
                <w:rFonts w:cs="Times New Roman"/>
                <w:i/>
                <w:color w:val="000000" w:themeColor="text1"/>
                <w:spacing w:val="0"/>
                <w:sz w:val="22"/>
                <w:szCs w:val="24"/>
              </w:rPr>
            </w:pPr>
            <w:r>
              <w:rPr>
                <w:rFonts w:cs="Times New Roman"/>
                <w:i/>
                <w:color w:val="000000" w:themeColor="text1"/>
                <w:spacing w:val="0"/>
                <w:sz w:val="22"/>
                <w:szCs w:val="24"/>
              </w:rPr>
              <w:t>C</w:t>
            </w:r>
            <w:r>
              <w:rPr>
                <w:rFonts w:cs="Times New Roman" w:hint="eastAsia"/>
                <w:color w:val="000000" w:themeColor="text1"/>
                <w:spacing w:val="0"/>
                <w:sz w:val="22"/>
                <w:szCs w:val="24"/>
                <w:vertAlign w:val="subscript"/>
              </w:rPr>
              <w:t>2</w:t>
            </w:r>
          </w:p>
        </w:tc>
        <w:tc>
          <w:tcPr>
            <w:tcW w:w="2101" w:type="dxa"/>
            <w:vAlign w:val="center"/>
          </w:tcPr>
          <w:p w14:paraId="127D02E8" w14:textId="77777777" w:rsidR="00092E5F" w:rsidRDefault="00000000">
            <w:pPr>
              <w:pStyle w:val="a"/>
              <w:spacing w:line="360" w:lineRule="auto"/>
              <w:jc w:val="center"/>
              <w:rPr>
                <w:rFonts w:cs="Times New Roman"/>
                <w:color w:val="000000" w:themeColor="text1"/>
                <w:spacing w:val="0"/>
                <w:sz w:val="22"/>
                <w:szCs w:val="24"/>
              </w:rPr>
            </w:pPr>
            <w:r>
              <w:rPr>
                <w:sz w:val="22"/>
              </w:rPr>
              <w:t>3.33438E+07</w:t>
            </w:r>
          </w:p>
        </w:tc>
        <w:tc>
          <w:tcPr>
            <w:tcW w:w="2234" w:type="dxa"/>
            <w:vAlign w:val="center"/>
          </w:tcPr>
          <w:p w14:paraId="60E544B6" w14:textId="77777777" w:rsidR="00092E5F" w:rsidRDefault="00000000">
            <w:pPr>
              <w:pStyle w:val="a"/>
              <w:spacing w:line="360" w:lineRule="auto"/>
              <w:jc w:val="center"/>
              <w:rPr>
                <w:rFonts w:cs="Times New Roman"/>
                <w:color w:val="000000" w:themeColor="text1"/>
                <w:spacing w:val="0"/>
                <w:sz w:val="22"/>
                <w:szCs w:val="24"/>
              </w:rPr>
            </w:pPr>
            <w:r>
              <w:rPr>
                <w:sz w:val="22"/>
              </w:rPr>
              <w:t>9.23915E+06</w:t>
            </w:r>
          </w:p>
        </w:tc>
      </w:tr>
      <w:tr w:rsidR="00092E5F" w14:paraId="03019CF1" w14:textId="77777777">
        <w:trPr>
          <w:jc w:val="center"/>
        </w:trPr>
        <w:tc>
          <w:tcPr>
            <w:tcW w:w="637" w:type="dxa"/>
            <w:vAlign w:val="center"/>
          </w:tcPr>
          <w:p w14:paraId="04D97E89" w14:textId="77777777" w:rsidR="00092E5F" w:rsidRDefault="00000000">
            <w:pPr>
              <w:pStyle w:val="a"/>
              <w:spacing w:line="360" w:lineRule="auto"/>
              <w:jc w:val="center"/>
              <w:rPr>
                <w:rFonts w:cs="Times New Roman"/>
                <w:i/>
                <w:color w:val="000000" w:themeColor="text1"/>
                <w:spacing w:val="0"/>
                <w:sz w:val="22"/>
                <w:szCs w:val="24"/>
              </w:rPr>
            </w:pPr>
            <w:r>
              <w:rPr>
                <w:rFonts w:cs="Times New Roman"/>
                <w:i/>
                <w:color w:val="000000" w:themeColor="text1"/>
                <w:spacing w:val="0"/>
                <w:sz w:val="22"/>
                <w:szCs w:val="24"/>
              </w:rPr>
              <w:t>C</w:t>
            </w:r>
            <w:r>
              <w:rPr>
                <w:rFonts w:cs="Times New Roman" w:hint="eastAsia"/>
                <w:color w:val="000000" w:themeColor="text1"/>
                <w:spacing w:val="0"/>
                <w:sz w:val="22"/>
                <w:szCs w:val="24"/>
                <w:vertAlign w:val="subscript"/>
              </w:rPr>
              <w:t>3</w:t>
            </w:r>
          </w:p>
        </w:tc>
        <w:tc>
          <w:tcPr>
            <w:tcW w:w="2101" w:type="dxa"/>
            <w:vAlign w:val="center"/>
          </w:tcPr>
          <w:p w14:paraId="26D807B1" w14:textId="77777777" w:rsidR="00092E5F" w:rsidRDefault="00000000">
            <w:pPr>
              <w:pStyle w:val="a"/>
              <w:spacing w:line="360" w:lineRule="auto"/>
              <w:jc w:val="center"/>
              <w:rPr>
                <w:rFonts w:cs="Times New Roman"/>
                <w:color w:val="000000" w:themeColor="text1"/>
                <w:spacing w:val="0"/>
                <w:sz w:val="22"/>
                <w:szCs w:val="24"/>
              </w:rPr>
            </w:pPr>
            <w:r>
              <w:rPr>
                <w:rFonts w:cs="Times New Roman"/>
                <w:sz w:val="22"/>
              </w:rPr>
              <w:t>−</w:t>
            </w:r>
            <w:r>
              <w:rPr>
                <w:sz w:val="22"/>
              </w:rPr>
              <w:t>7.08740E+09</w:t>
            </w:r>
          </w:p>
        </w:tc>
        <w:tc>
          <w:tcPr>
            <w:tcW w:w="2234" w:type="dxa"/>
            <w:vAlign w:val="center"/>
          </w:tcPr>
          <w:p w14:paraId="48ABD470" w14:textId="77777777" w:rsidR="00092E5F" w:rsidRDefault="00000000">
            <w:pPr>
              <w:pStyle w:val="a"/>
              <w:spacing w:line="360" w:lineRule="auto"/>
              <w:jc w:val="center"/>
              <w:rPr>
                <w:rFonts w:cs="Times New Roman"/>
                <w:color w:val="000000" w:themeColor="text1"/>
                <w:spacing w:val="0"/>
                <w:sz w:val="22"/>
                <w:szCs w:val="24"/>
              </w:rPr>
            </w:pPr>
            <w:r>
              <w:rPr>
                <w:rFonts w:cs="Times New Roman"/>
                <w:sz w:val="22"/>
              </w:rPr>
              <w:t>−</w:t>
            </w:r>
            <w:r>
              <w:rPr>
                <w:sz w:val="22"/>
              </w:rPr>
              <w:t>2.94040E+10</w:t>
            </w:r>
          </w:p>
        </w:tc>
      </w:tr>
      <w:tr w:rsidR="00092E5F" w14:paraId="2E145CFB" w14:textId="77777777">
        <w:trPr>
          <w:jc w:val="center"/>
        </w:trPr>
        <w:tc>
          <w:tcPr>
            <w:tcW w:w="637" w:type="dxa"/>
            <w:vAlign w:val="center"/>
          </w:tcPr>
          <w:p w14:paraId="6FEE6B44" w14:textId="77777777" w:rsidR="00092E5F" w:rsidRDefault="00000000">
            <w:pPr>
              <w:pStyle w:val="a"/>
              <w:spacing w:line="360" w:lineRule="auto"/>
              <w:jc w:val="center"/>
              <w:rPr>
                <w:rFonts w:cs="Times New Roman"/>
                <w:i/>
                <w:color w:val="000000" w:themeColor="text1"/>
                <w:spacing w:val="0"/>
                <w:sz w:val="22"/>
                <w:szCs w:val="24"/>
              </w:rPr>
            </w:pPr>
            <w:r>
              <w:rPr>
                <w:rFonts w:cs="Times New Roman"/>
                <w:i/>
                <w:color w:val="000000" w:themeColor="text1"/>
                <w:spacing w:val="0"/>
                <w:sz w:val="22"/>
                <w:szCs w:val="24"/>
              </w:rPr>
              <w:t>C</w:t>
            </w:r>
            <w:r>
              <w:rPr>
                <w:rFonts w:cs="Times New Roman" w:hint="eastAsia"/>
                <w:color w:val="000000" w:themeColor="text1"/>
                <w:spacing w:val="0"/>
                <w:sz w:val="22"/>
                <w:szCs w:val="24"/>
                <w:vertAlign w:val="subscript"/>
              </w:rPr>
              <w:t>4</w:t>
            </w:r>
          </w:p>
        </w:tc>
        <w:tc>
          <w:tcPr>
            <w:tcW w:w="2101" w:type="dxa"/>
            <w:vAlign w:val="center"/>
          </w:tcPr>
          <w:p w14:paraId="289605DE" w14:textId="77777777" w:rsidR="00092E5F" w:rsidRDefault="00000000">
            <w:pPr>
              <w:pStyle w:val="a"/>
              <w:spacing w:line="360" w:lineRule="auto"/>
              <w:jc w:val="center"/>
              <w:rPr>
                <w:rFonts w:cs="Times New Roman"/>
                <w:color w:val="000000" w:themeColor="text1"/>
                <w:spacing w:val="0"/>
                <w:sz w:val="22"/>
                <w:szCs w:val="24"/>
              </w:rPr>
            </w:pPr>
            <w:r>
              <w:rPr>
                <w:sz w:val="22"/>
              </w:rPr>
              <w:t>2.26363E+11</w:t>
            </w:r>
          </w:p>
        </w:tc>
        <w:tc>
          <w:tcPr>
            <w:tcW w:w="2234" w:type="dxa"/>
            <w:vAlign w:val="center"/>
          </w:tcPr>
          <w:p w14:paraId="1E6BF14A" w14:textId="77777777" w:rsidR="00092E5F" w:rsidRDefault="00000000">
            <w:pPr>
              <w:pStyle w:val="a"/>
              <w:spacing w:line="360" w:lineRule="auto"/>
              <w:jc w:val="center"/>
              <w:rPr>
                <w:rFonts w:cs="Times New Roman"/>
                <w:color w:val="000000" w:themeColor="text1"/>
                <w:spacing w:val="0"/>
                <w:sz w:val="22"/>
                <w:szCs w:val="24"/>
              </w:rPr>
            </w:pPr>
            <w:r>
              <w:rPr>
                <w:sz w:val="22"/>
              </w:rPr>
              <w:t>3.65220E+13</w:t>
            </w:r>
          </w:p>
        </w:tc>
      </w:tr>
      <w:tr w:rsidR="00092E5F" w14:paraId="18B4BD7C" w14:textId="77777777">
        <w:trPr>
          <w:jc w:val="center"/>
        </w:trPr>
        <w:tc>
          <w:tcPr>
            <w:tcW w:w="637" w:type="dxa"/>
            <w:tcBorders>
              <w:bottom w:val="single" w:sz="4" w:space="0" w:color="auto"/>
            </w:tcBorders>
            <w:vAlign w:val="center"/>
          </w:tcPr>
          <w:p w14:paraId="5E3FCC65" w14:textId="77777777" w:rsidR="00092E5F" w:rsidRDefault="00000000">
            <w:pPr>
              <w:pStyle w:val="a"/>
              <w:spacing w:line="360" w:lineRule="auto"/>
              <w:jc w:val="center"/>
              <w:rPr>
                <w:rFonts w:cs="Times New Roman"/>
                <w:i/>
                <w:color w:val="000000" w:themeColor="text1"/>
                <w:spacing w:val="0"/>
                <w:sz w:val="22"/>
                <w:szCs w:val="24"/>
              </w:rPr>
            </w:pPr>
            <w:r>
              <w:rPr>
                <w:rFonts w:cs="Times New Roman"/>
                <w:i/>
                <w:color w:val="000000" w:themeColor="text1"/>
                <w:spacing w:val="0"/>
                <w:sz w:val="22"/>
                <w:szCs w:val="24"/>
              </w:rPr>
              <w:t>C</w:t>
            </w:r>
            <w:r>
              <w:rPr>
                <w:rFonts w:cs="Times New Roman" w:hint="eastAsia"/>
                <w:color w:val="000000" w:themeColor="text1"/>
                <w:spacing w:val="0"/>
                <w:sz w:val="22"/>
                <w:szCs w:val="24"/>
                <w:vertAlign w:val="subscript"/>
              </w:rPr>
              <w:t>5</w:t>
            </w:r>
          </w:p>
        </w:tc>
        <w:tc>
          <w:tcPr>
            <w:tcW w:w="2101" w:type="dxa"/>
            <w:tcBorders>
              <w:bottom w:val="single" w:sz="4" w:space="0" w:color="auto"/>
            </w:tcBorders>
            <w:vAlign w:val="center"/>
          </w:tcPr>
          <w:p w14:paraId="509115E8" w14:textId="77777777" w:rsidR="00092E5F" w:rsidRDefault="00000000">
            <w:pPr>
              <w:pStyle w:val="a"/>
              <w:spacing w:line="360" w:lineRule="auto"/>
              <w:jc w:val="center"/>
              <w:rPr>
                <w:rFonts w:cs="Times New Roman"/>
                <w:color w:val="000000" w:themeColor="text1"/>
                <w:spacing w:val="0"/>
                <w:sz w:val="22"/>
                <w:szCs w:val="24"/>
              </w:rPr>
            </w:pPr>
            <w:r>
              <w:rPr>
                <w:sz w:val="22"/>
              </w:rPr>
              <w:t>6.26830E+13</w:t>
            </w:r>
          </w:p>
        </w:tc>
        <w:tc>
          <w:tcPr>
            <w:tcW w:w="2234" w:type="dxa"/>
            <w:tcBorders>
              <w:bottom w:val="single" w:sz="4" w:space="0" w:color="auto"/>
            </w:tcBorders>
            <w:vAlign w:val="center"/>
          </w:tcPr>
          <w:p w14:paraId="69024F9A" w14:textId="77777777" w:rsidR="00092E5F" w:rsidRDefault="00000000">
            <w:pPr>
              <w:pStyle w:val="a"/>
              <w:spacing w:line="360" w:lineRule="auto"/>
              <w:jc w:val="center"/>
              <w:rPr>
                <w:rFonts w:cs="Times New Roman"/>
                <w:color w:val="000000" w:themeColor="text1"/>
                <w:spacing w:val="0"/>
                <w:sz w:val="22"/>
                <w:szCs w:val="24"/>
              </w:rPr>
            </w:pPr>
            <w:r>
              <w:rPr>
                <w:rFonts w:cs="Times New Roman"/>
                <w:sz w:val="22"/>
              </w:rPr>
              <w:t>−</w:t>
            </w:r>
            <w:r>
              <w:rPr>
                <w:sz w:val="22"/>
              </w:rPr>
              <w:t>1.29468E+16</w:t>
            </w:r>
          </w:p>
        </w:tc>
      </w:tr>
    </w:tbl>
    <w:p w14:paraId="68D5FF28" w14:textId="77777777" w:rsidR="00092E5F" w:rsidRDefault="00092E5F">
      <w:pPr>
        <w:spacing w:line="360" w:lineRule="auto"/>
        <w:rPr>
          <w:rFonts w:eastAsiaTheme="minorEastAsia" w:cs="Times New Roman"/>
        </w:rPr>
      </w:pPr>
    </w:p>
    <w:p w14:paraId="74AA9BD0" w14:textId="77777777" w:rsidR="00092E5F" w:rsidRDefault="00000000">
      <w:pPr>
        <w:spacing w:line="360" w:lineRule="auto"/>
        <w:jc w:val="both"/>
        <w:rPr>
          <w:rFonts w:eastAsiaTheme="minorEastAsia" w:cs="Times New Roman"/>
        </w:rPr>
      </w:pPr>
      <w:r>
        <w:rPr>
          <w:rFonts w:eastAsiaTheme="minorEastAsia" w:cs="Times New Roman"/>
        </w:rPr>
        <w:t>The absorption coefficient implemented in the model is thus weighted by the mass composition of NH</w:t>
      </w:r>
      <w:r>
        <w:rPr>
          <w:rFonts w:eastAsiaTheme="minorEastAsia" w:cs="Times New Roman"/>
          <w:vertAlign w:val="subscript"/>
        </w:rPr>
        <w:t>3</w:t>
      </w:r>
      <w:r>
        <w:rPr>
          <w:rFonts w:eastAsiaTheme="minorEastAsia" w:cs="Times New Roman"/>
        </w:rPr>
        <w:t xml:space="preserve"> at a given point: </w:t>
      </w:r>
    </w:p>
    <w:p w14:paraId="5028652F" w14:textId="77777777" w:rsidR="00092E5F" w:rsidRDefault="00000000">
      <w:pPr>
        <w:spacing w:line="360" w:lineRule="auto"/>
        <w:rPr>
          <w:rFonts w:cs="Times New Roman"/>
        </w:rPr>
      </w:pPr>
      <m:oMathPara>
        <m:oMath>
          <m:r>
            <w:rPr>
              <w:rFonts w:ascii="Cambria Math" w:hAnsi="Cambria Math" w:cs="Times New Roman"/>
            </w:rPr>
            <m:t>κ=</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N</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3</m:t>
                  </m:r>
                </m:sub>
              </m:sSub>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κ</m:t>
              </m:r>
            </m:e>
            <m:sub>
              <m:r>
                <w:rPr>
                  <w:rFonts w:ascii="Cambria Math" w:hAnsi="Cambria Math" w:cs="Times New Roman"/>
                </w:rPr>
                <m:t>P,N</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3</m:t>
                  </m:r>
                </m:sub>
              </m:sSub>
            </m:sub>
          </m:sSub>
        </m:oMath>
      </m:oMathPara>
    </w:p>
    <w:p w14:paraId="632A6315" w14:textId="77777777" w:rsidR="00092E5F" w:rsidRDefault="00092E5F">
      <w:pPr>
        <w:spacing w:line="360" w:lineRule="auto"/>
        <w:rPr>
          <w:rFonts w:cs="Times New Roman"/>
          <w:u w:val="single"/>
        </w:rPr>
      </w:pPr>
    </w:p>
    <w:p w14:paraId="2189A5BC" w14:textId="77777777" w:rsidR="00092E5F" w:rsidRDefault="00000000">
      <w:pPr>
        <w:spacing w:line="360" w:lineRule="auto"/>
        <w:rPr>
          <w:rFonts w:cs="Times New Roman"/>
          <w:u w:val="single"/>
        </w:rPr>
      </w:pPr>
      <w:r>
        <w:rPr>
          <w:rFonts w:cs="Times New Roman"/>
          <w:u w:val="single"/>
        </w:rPr>
        <w:t xml:space="preserve">Chemical Reaction </w:t>
      </w:r>
    </w:p>
    <w:p w14:paraId="5AA3A6AD" w14:textId="77777777" w:rsidR="00092E5F" w:rsidRDefault="00000000">
      <w:pPr>
        <w:spacing w:line="360" w:lineRule="auto"/>
        <w:ind w:firstLine="720"/>
        <w:rPr>
          <w:rFonts w:cs="Times New Roman"/>
        </w:rPr>
      </w:pPr>
      <w:r>
        <w:rPr>
          <w:rFonts w:cs="Times New Roman"/>
        </w:rPr>
        <w:t xml:space="preserve">Ammonia decomposition is an endothermic equilibrium reaction: </w:t>
      </w:r>
    </w:p>
    <w:p w14:paraId="533E17AF" w14:textId="77777777" w:rsidR="00092E5F" w:rsidRDefault="00000000">
      <w:pPr>
        <w:spacing w:line="360" w:lineRule="auto"/>
        <w:rPr>
          <w:rFonts w:cs="Times New Roman"/>
        </w:rPr>
      </w:pPr>
      <m:oMathPara>
        <m:oMath>
          <m:r>
            <w:rPr>
              <w:rFonts w:ascii="Cambria Math" w:hAnsi="Cambria Math" w:cs="Times New Roman"/>
            </w:rPr>
            <m:t>2N</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3</m:t>
              </m:r>
            </m:sub>
          </m:sSub>
          <m:box>
            <m:boxPr>
              <m:opEmu m:val="1"/>
              <m:ctrlPr>
                <w:rPr>
                  <w:rFonts w:ascii="Cambria Math" w:hAnsi="Cambria Math" w:cs="Times New Roman"/>
                  <w:i/>
                </w:rPr>
              </m:ctrlPr>
            </m:boxPr>
            <m:e>
              <m:r>
                <m:rPr>
                  <m:sty m:val="p"/>
                </m:rPr>
                <w:rPr>
                  <w:rFonts w:ascii="Cambria Math" w:eastAsia="MS Gothic" w:hAnsi="Cambria Math" w:cs="Times New Roman"/>
                  <w:color w:val="4D5156"/>
                  <w:shd w:val="clear" w:color="auto" w:fill="FFFFFF"/>
                </w:rPr>
                <m:t>⇌</m:t>
              </m:r>
            </m:e>
          </m:box>
          <m:sSub>
            <m:sSubPr>
              <m:ctrlPr>
                <w:rPr>
                  <w:rFonts w:ascii="Cambria Math" w:hAnsi="Cambria Math" w:cs="Times New Roman"/>
                  <w:i/>
                </w:rPr>
              </m:ctrlPr>
            </m:sSubPr>
            <m:e>
              <m:r>
                <w:rPr>
                  <w:rFonts w:ascii="Cambria Math" w:hAnsi="Cambria Math" w:cs="Times New Roman"/>
                </w:rPr>
                <m:t>3H</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2</m:t>
              </m:r>
            </m:sub>
          </m:sSub>
        </m:oMath>
      </m:oMathPara>
    </w:p>
    <w:p w14:paraId="101F7071" w14:textId="77777777" w:rsidR="00092E5F" w:rsidRDefault="00000000">
      <w:pPr>
        <w:spacing w:line="360" w:lineRule="auto"/>
        <w:jc w:val="both"/>
        <w:rPr>
          <w:rFonts w:cs="Times New Roman"/>
        </w:rPr>
      </w:pPr>
      <w:r>
        <w:rPr>
          <w:rFonts w:cs="Times New Roman"/>
        </w:rPr>
        <w:t xml:space="preserve">As the reverse ammonia synthesis reaction is thermodynamically highly unfavourable in low pressure and high temperature conditions, the reaction is assumed to be irreversible in the model: </w:t>
      </w:r>
    </w:p>
    <w:p w14:paraId="212946B1" w14:textId="77777777" w:rsidR="00092E5F" w:rsidRDefault="00000000">
      <w:pPr>
        <w:spacing w:line="360" w:lineRule="auto"/>
        <w:rPr>
          <w:rFonts w:cs="Times New Roman"/>
        </w:rPr>
      </w:pPr>
      <m:oMathPara>
        <m:oMath>
          <m:r>
            <w:rPr>
              <w:rFonts w:ascii="Cambria Math" w:hAnsi="Cambria Math" w:cs="Times New Roman"/>
            </w:rPr>
            <m:t>2N</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3</m:t>
              </m:r>
            </m:sub>
          </m:sSub>
          <m:box>
            <m:boxPr>
              <m:opEmu m:val="1"/>
              <m:ctrlPr>
                <w:rPr>
                  <w:rFonts w:ascii="Cambria Math" w:hAnsi="Cambria Math" w:cs="Times New Roman"/>
                  <w:i/>
                </w:rPr>
              </m:ctrlPr>
            </m:boxPr>
            <m:e>
              <m:r>
                <m:rPr>
                  <m:sty m:val="p"/>
                </m:rPr>
                <w:rPr>
                  <w:rFonts w:ascii="Cambria Math" w:eastAsia="MS Gothic" w:hAnsi="Cambria Math" w:cs="Times New Roman"/>
                  <w:color w:val="4D5156"/>
                  <w:shd w:val="clear" w:color="auto" w:fill="FFFFFF"/>
                </w:rPr>
                <m:t>→</m:t>
              </m:r>
            </m:e>
          </m:box>
          <m:sSub>
            <m:sSubPr>
              <m:ctrlPr>
                <w:rPr>
                  <w:rFonts w:ascii="Cambria Math" w:hAnsi="Cambria Math" w:cs="Times New Roman"/>
                  <w:i/>
                </w:rPr>
              </m:ctrlPr>
            </m:sSubPr>
            <m:e>
              <m:r>
                <w:rPr>
                  <w:rFonts w:ascii="Cambria Math" w:hAnsi="Cambria Math" w:cs="Times New Roman"/>
                </w:rPr>
                <m:t>3H</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2</m:t>
              </m:r>
            </m:sub>
          </m:sSub>
        </m:oMath>
      </m:oMathPara>
    </w:p>
    <w:p w14:paraId="4789AB26" w14:textId="77777777" w:rsidR="00092E5F" w:rsidRDefault="00000000">
      <w:pPr>
        <w:spacing w:line="360" w:lineRule="auto"/>
        <w:rPr>
          <w:rFonts w:cs="Times New Roman"/>
        </w:rPr>
      </w:pPr>
      <w:r>
        <w:rPr>
          <w:rFonts w:cs="Times New Roman"/>
        </w:rPr>
        <w:t>The reaction rate is thus:</w:t>
      </w:r>
    </w:p>
    <w:p w14:paraId="0777A926" w14:textId="77777777" w:rsidR="00092E5F" w:rsidRDefault="00000000">
      <w:pPr>
        <w:spacing w:line="360" w:lineRule="auto"/>
        <w:rPr>
          <w:rFonts w:cs="Times New Roman"/>
        </w:rPr>
      </w:pPr>
      <m:oMathPara>
        <m:oMath>
          <m:r>
            <w:rPr>
              <w:rFonts w:ascii="Cambria Math" w:hAnsi="Cambria Math" w:cs="Times New Roman"/>
            </w:rPr>
            <m:t>r=k</m:t>
          </m:r>
          <m:sSup>
            <m:sSupPr>
              <m:ctrlPr>
                <w:rPr>
                  <w:rFonts w:ascii="Cambria Math" w:hAnsi="Cambria Math" w:cs="Times New Roman"/>
                  <w:i/>
                </w:rPr>
              </m:ctrlPr>
            </m:sSupPr>
            <m:e>
              <m:d>
                <m:dPr>
                  <m:begChr m:val="["/>
                  <m:endChr m:val="]"/>
                  <m:ctrlPr>
                    <w:rPr>
                      <w:rFonts w:ascii="Cambria Math" w:hAnsi="Cambria Math" w:cs="Times New Roman"/>
                      <w:i/>
                    </w:rPr>
                  </m:ctrlPr>
                </m:dPr>
                <m:e>
                  <m:r>
                    <w:rPr>
                      <w:rFonts w:ascii="Cambria Math" w:hAnsi="Cambria Math" w:cs="Times New Roman"/>
                    </w:rPr>
                    <m:t>N</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3</m:t>
                      </m:r>
                    </m:sub>
                  </m:sSub>
                </m:e>
              </m:d>
            </m:e>
            <m:sup>
              <m:r>
                <w:rPr>
                  <w:rFonts w:ascii="Cambria Math" w:hAnsi="Cambria Math" w:cs="Times New Roman"/>
                </w:rPr>
                <m:t>n</m:t>
              </m:r>
            </m:sup>
          </m:sSup>
        </m:oMath>
      </m:oMathPara>
    </w:p>
    <w:p w14:paraId="14A0D034" w14:textId="77777777" w:rsidR="00092E5F" w:rsidRDefault="00000000">
      <w:pPr>
        <w:spacing w:line="360" w:lineRule="auto"/>
        <w:jc w:val="both"/>
        <w:rPr>
          <w:rFonts w:cs="Times New Roman"/>
        </w:rPr>
      </w:pPr>
      <w:r>
        <w:rPr>
          <w:rFonts w:cs="Times New Roman"/>
        </w:rPr>
        <w:t xml:space="preserve">Here </w:t>
      </w:r>
      <w:r>
        <w:rPr>
          <w:rFonts w:cs="Times New Roman"/>
          <w:i/>
          <w:iCs/>
        </w:rPr>
        <w:t xml:space="preserve">n </w:t>
      </w:r>
      <w:r>
        <w:rPr>
          <w:rFonts w:cs="Times New Roman"/>
        </w:rPr>
        <w:t>is the reaction order with respect to NH</w:t>
      </w:r>
      <w:r>
        <w:rPr>
          <w:rFonts w:cs="Times New Roman"/>
          <w:vertAlign w:val="subscript"/>
        </w:rPr>
        <w:t>3</w:t>
      </w:r>
      <w:r>
        <w:rPr>
          <w:rFonts w:cs="Times New Roman"/>
        </w:rPr>
        <w:t xml:space="preserve"> and has been determined experimentally (Fig S5b). The rate constant is defined using Arrhenius equations: </w:t>
      </w:r>
    </w:p>
    <w:p w14:paraId="7860139C" w14:textId="77777777" w:rsidR="00092E5F" w:rsidRDefault="00000000">
      <w:pPr>
        <w:spacing w:line="360" w:lineRule="auto"/>
        <w:rPr>
          <w:rFonts w:cs="Times New Roman"/>
        </w:rPr>
      </w:pPr>
      <m:oMathPara>
        <m:oMath>
          <m:r>
            <w:rPr>
              <w:rFonts w:ascii="Cambria Math" w:hAnsi="Cambria Math" w:cs="Times New Roman"/>
            </w:rPr>
            <m:t xml:space="preserve">k=A </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a</m:t>
                      </m:r>
                    </m:sub>
                  </m:sSub>
                </m:num>
                <m:den>
                  <m:r>
                    <w:rPr>
                      <w:rFonts w:ascii="Cambria Math" w:hAnsi="Cambria Math" w:cs="Times New Roman"/>
                    </w:rPr>
                    <m:t>RT</m:t>
                  </m:r>
                </m:den>
              </m:f>
            </m:sup>
          </m:sSup>
        </m:oMath>
      </m:oMathPara>
    </w:p>
    <w:p w14:paraId="38BEA832" w14:textId="77777777" w:rsidR="00092E5F" w:rsidRDefault="00000000">
      <w:pPr>
        <w:spacing w:line="360" w:lineRule="auto"/>
        <w:jc w:val="both"/>
        <w:rPr>
          <w:rFonts w:eastAsiaTheme="minorEastAsia" w:cs="Times New Roman"/>
        </w:rPr>
      </w:pPr>
      <w:r>
        <w:rPr>
          <w:rFonts w:cs="Times New Roman"/>
        </w:rPr>
        <w:lastRenderedPageBreak/>
        <w:t xml:space="preserve">Activation energy </w:t>
      </w:r>
      <w:r>
        <w:rPr>
          <w:rFonts w:eastAsiaTheme="minorEastAsia" w:cs="Times New Roman"/>
        </w:rPr>
        <w:t>(</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a</m:t>
            </m:r>
          </m:sub>
        </m:sSub>
      </m:oMath>
      <w:r>
        <w:rPr>
          <w:rFonts w:eastAsiaTheme="minorEastAsia" w:cs="Times New Roman"/>
        </w:rPr>
        <w:t xml:space="preserve">) has also been determined experimentally and the pre-exponential factor </w:t>
      </w:r>
      <w:r>
        <w:rPr>
          <w:rFonts w:eastAsiaTheme="minorEastAsia" w:cs="Times New Roman"/>
          <w:i/>
          <w:iCs/>
        </w:rPr>
        <w:t xml:space="preserve">A </w:t>
      </w:r>
      <w:r>
        <w:rPr>
          <w:rFonts w:eastAsiaTheme="minorEastAsia" w:cs="Times New Roman"/>
        </w:rPr>
        <w:t xml:space="preserve">was determined through fitting of the model to the experimental data. </w:t>
      </w:r>
    </w:p>
    <w:p w14:paraId="6B0628F7" w14:textId="77777777" w:rsidR="00092E5F" w:rsidRDefault="00000000">
      <w:pPr>
        <w:spacing w:line="360" w:lineRule="auto"/>
        <w:jc w:val="both"/>
        <w:rPr>
          <w:rFonts w:cs="Times New Roman"/>
        </w:rPr>
      </w:pPr>
      <w:r>
        <w:rPr>
          <w:rFonts w:eastAsiaTheme="minorEastAsia" w:cs="Times New Roman"/>
        </w:rPr>
        <w:tab/>
        <w:t xml:space="preserve">Chemical reactions were applied to the entire fluid domain, but since high temperatures with considerable reaction rates are only found immediately next to the tungsten wire, this should be an adequate approximation for catalytic reactions on the tungsten wire surface. </w:t>
      </w:r>
    </w:p>
    <w:p w14:paraId="05476421" w14:textId="77777777" w:rsidR="00092E5F" w:rsidRDefault="00000000">
      <w:pPr>
        <w:spacing w:line="360" w:lineRule="auto"/>
        <w:rPr>
          <w:rFonts w:cs="Times New Roman"/>
          <w:u w:val="single"/>
        </w:rPr>
      </w:pPr>
      <w:r>
        <w:rPr>
          <w:rFonts w:cs="Times New Roman"/>
          <w:u w:val="single"/>
        </w:rPr>
        <w:t>Mesh</w:t>
      </w:r>
    </w:p>
    <w:p w14:paraId="1ED8F0ED" w14:textId="77777777" w:rsidR="00092E5F" w:rsidRDefault="00000000">
      <w:pPr>
        <w:spacing w:line="360" w:lineRule="auto"/>
        <w:ind w:firstLine="720"/>
        <w:jc w:val="both"/>
        <w:rPr>
          <w:rFonts w:cs="Times New Roman"/>
          <w:lang w:val="en-US"/>
        </w:rPr>
      </w:pPr>
      <w:r>
        <w:rPr>
          <w:rFonts w:cs="Times New Roman"/>
          <w:lang w:val="en-US"/>
        </w:rPr>
        <w:t xml:space="preserve">Free triangular elements were used to generate the mesh, usually with an element size not more than 0.1 mm, and an even finer mesh set at the tungsten wire domain. The mesh is also refined along the boundary layers of the fluid domain. </w:t>
      </w:r>
    </w:p>
    <w:p w14:paraId="039F6AA6" w14:textId="77777777" w:rsidR="00092E5F" w:rsidRDefault="00092E5F">
      <w:pPr>
        <w:spacing w:line="360" w:lineRule="auto"/>
        <w:jc w:val="both"/>
        <w:rPr>
          <w:rFonts w:cs="Times New Roman"/>
          <w:b/>
          <w:bCs/>
          <w:lang w:val="en-US"/>
        </w:rPr>
      </w:pPr>
    </w:p>
    <w:p w14:paraId="15CB1EC6" w14:textId="77777777" w:rsidR="00092E5F" w:rsidRDefault="00000000">
      <w:pPr>
        <w:spacing w:line="360" w:lineRule="auto"/>
        <w:jc w:val="both"/>
        <w:rPr>
          <w:rFonts w:cs="Times New Roman"/>
          <w:u w:val="single"/>
          <w:lang w:val="en-US"/>
        </w:rPr>
      </w:pPr>
      <w:r>
        <w:rPr>
          <w:rFonts w:cs="Times New Roman"/>
          <w:u w:val="single"/>
          <w:lang w:val="en-US"/>
        </w:rPr>
        <w:t xml:space="preserve">Multi-tubular model </w:t>
      </w:r>
    </w:p>
    <w:p w14:paraId="2C685BCF" w14:textId="77777777" w:rsidR="00092E5F" w:rsidRDefault="00000000">
      <w:pPr>
        <w:spacing w:line="360" w:lineRule="auto"/>
        <w:ind w:firstLine="720"/>
        <w:jc w:val="both"/>
        <w:rPr>
          <w:rFonts w:cs="Times New Roman"/>
          <w:lang w:val="en-US"/>
        </w:rPr>
      </w:pPr>
      <w:r>
        <w:rPr>
          <w:rFonts w:cs="Times New Roman"/>
          <w:lang w:val="en-US"/>
        </w:rPr>
        <w:t xml:space="preserve">A 3D model was developed to simulate the multi-tubular configuration of the reactor. To further simplify the geometry, the copper rods were omitted such that the reactor has the same length as the tungsten wire. All other boundary conditions are the same as in the 2D axisymmetric model. Though smaller tube diameters bring less radial heat loss, an upper limit of 1,173 K was put on the reactor wall temperature as few materials can withstand such high temperatures long term. </w:t>
      </w:r>
    </w:p>
    <w:p w14:paraId="3A96F1C9" w14:textId="77777777" w:rsidR="00092E5F" w:rsidRDefault="00000000">
      <w:pPr>
        <w:spacing w:line="360" w:lineRule="auto"/>
        <w:rPr>
          <w:rFonts w:cs="Times New Roman"/>
        </w:rPr>
      </w:pPr>
      <w:r>
        <w:rPr>
          <w:rFonts w:cs="Times New Roman"/>
        </w:rPr>
        <w:br w:type="page"/>
      </w:r>
    </w:p>
    <w:p w14:paraId="4BC680D7" w14:textId="77777777" w:rsidR="00092E5F" w:rsidRDefault="00000000">
      <w:pPr>
        <w:pStyle w:val="Heading1"/>
        <w:spacing w:line="360" w:lineRule="auto"/>
        <w:rPr>
          <w:lang w:val="en-US"/>
        </w:rPr>
      </w:pPr>
      <w:bookmarkStart w:id="1" w:name="_Toc182485375"/>
      <w:r>
        <w:rPr>
          <w:lang w:val="en-US"/>
        </w:rPr>
        <w:lastRenderedPageBreak/>
        <w:t>Supplementary Text</w:t>
      </w:r>
      <w:bookmarkEnd w:id="1"/>
    </w:p>
    <w:p w14:paraId="19498343" w14:textId="77777777" w:rsidR="00092E5F" w:rsidRDefault="00000000">
      <w:pPr>
        <w:pStyle w:val="Heading3"/>
        <w:rPr>
          <w:lang w:val="en-US"/>
        </w:rPr>
      </w:pPr>
      <w:bookmarkStart w:id="2" w:name="_Toc182485376"/>
      <w:r>
        <w:rPr>
          <w:lang w:val="en-US"/>
        </w:rPr>
        <w:t>Text S1: Calculations of ammonia decomposition rate constants</w:t>
      </w:r>
      <w:bookmarkEnd w:id="2"/>
      <w:r>
        <w:rPr>
          <w:lang w:val="en-US"/>
        </w:rPr>
        <w:t xml:space="preserve"> </w:t>
      </w:r>
    </w:p>
    <w:p w14:paraId="343D5BEF" w14:textId="77777777" w:rsidR="00092E5F" w:rsidRDefault="00000000">
      <w:pPr>
        <w:spacing w:line="360" w:lineRule="auto"/>
        <w:rPr>
          <w:lang w:val="en-US"/>
        </w:rPr>
      </w:pPr>
      <w:r>
        <w:rPr>
          <w:lang w:val="en-US"/>
        </w:rPr>
        <w:tab/>
        <w:t xml:space="preserve">The transition state theory derived Eyring-Polanyi equation was used to calculate rate constants </w:t>
      </w:r>
      <w:r>
        <w:rPr>
          <w:i/>
          <w:iCs/>
          <w:lang w:val="en-US"/>
        </w:rPr>
        <w:t xml:space="preserve">k </w:t>
      </w:r>
      <w:r>
        <w:rPr>
          <w:lang w:val="en-US"/>
        </w:rPr>
        <w:t xml:space="preserve">of non-catalytic ammonia decomposition at different temperatures: </w:t>
      </w:r>
    </w:p>
    <w:p w14:paraId="30FCBB50" w14:textId="77777777" w:rsidR="00092E5F" w:rsidRDefault="00000000">
      <w:pPr>
        <w:spacing w:line="360" w:lineRule="auto"/>
        <w:rPr>
          <w:lang w:val="en-US"/>
        </w:rPr>
      </w:pPr>
      <m:oMathPara>
        <m:oMath>
          <m:r>
            <w:rPr>
              <w:rFonts w:ascii="Cambria Math" w:hAnsi="Cambria Math"/>
              <w:lang w:val="en-US"/>
            </w:rPr>
            <m:t>k=</m:t>
          </m:r>
          <m:f>
            <m:fPr>
              <m:ctrlPr>
                <w:rPr>
                  <w:rFonts w:ascii="Cambria Math" w:hAnsi="Cambria Math"/>
                  <w:i/>
                  <w:lang w:val="en-US"/>
                </w:rPr>
              </m:ctrlPr>
            </m:fPr>
            <m:num>
              <m:r>
                <w:rPr>
                  <w:rFonts w:ascii="Cambria Math" w:hAnsi="Cambria Math"/>
                  <w:lang w:val="en-US"/>
                </w:rPr>
                <m:t>κ</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B</m:t>
                  </m:r>
                </m:sub>
              </m:sSub>
              <m:r>
                <w:rPr>
                  <w:rFonts w:ascii="Cambria Math" w:hAnsi="Cambria Math"/>
                  <w:lang w:val="en-US"/>
                </w:rPr>
                <m:t>T</m:t>
              </m:r>
            </m:num>
            <m:den>
              <m:r>
                <w:rPr>
                  <w:rFonts w:ascii="Cambria Math" w:hAnsi="Cambria Math"/>
                  <w:lang w:val="en-US"/>
                </w:rPr>
                <m:t>h</m:t>
              </m:r>
            </m:den>
          </m:f>
          <m:sSup>
            <m:sSupPr>
              <m:ctrlPr>
                <w:rPr>
                  <w:rFonts w:ascii="Cambria Math" w:hAnsi="Cambria Math"/>
                  <w:i/>
                  <w:lang w:val="en-US"/>
                </w:rPr>
              </m:ctrlPr>
            </m:sSupPr>
            <m:e>
              <m:r>
                <w:rPr>
                  <w:rFonts w:ascii="Cambria Math" w:hAnsi="Cambria Math"/>
                  <w:lang w:val="en-US"/>
                </w:rPr>
                <m:t>e</m:t>
              </m:r>
            </m:e>
            <m:sup>
              <m:r>
                <w:rPr>
                  <w:rFonts w:ascii="Cambria Math" w:hAnsi="Cambria Math"/>
                  <w:lang w:val="en-US"/>
                </w:rPr>
                <m:t>-</m:t>
              </m:r>
              <m:f>
                <m:fPr>
                  <m:ctrlPr>
                    <w:rPr>
                      <w:rFonts w:ascii="Cambria Math" w:hAnsi="Cambria Math"/>
                      <w:i/>
                      <w:lang w:val="en-US"/>
                    </w:rPr>
                  </m:ctrlPr>
                </m:fPr>
                <m:num>
                  <m:r>
                    <m:rPr>
                      <m:sty m:val="p"/>
                    </m:rPr>
                    <w:rPr>
                      <w:rFonts w:ascii="Cambria Math" w:hAnsi="Cambria Math"/>
                      <w:lang w:val="en-US"/>
                    </w:rPr>
                    <m:t>Δ</m:t>
                  </m:r>
                  <m:sSup>
                    <m:sSupPr>
                      <m:ctrlPr>
                        <w:rPr>
                          <w:rFonts w:ascii="Cambria Math" w:hAnsi="Cambria Math"/>
                          <w:i/>
                          <w:lang w:val="en-US"/>
                        </w:rPr>
                      </m:ctrlPr>
                    </m:sSupPr>
                    <m:e>
                      <m:r>
                        <w:rPr>
                          <w:rFonts w:ascii="Cambria Math" w:hAnsi="Cambria Math"/>
                          <w:lang w:val="en-US"/>
                        </w:rPr>
                        <m:t>G</m:t>
                      </m:r>
                    </m:e>
                    <m:sup>
                      <m:r>
                        <w:rPr>
                          <w:rFonts w:ascii="Cambria Math" w:hAnsi="Cambria Math"/>
                          <w:lang w:val="en-US"/>
                        </w:rPr>
                        <m:t>‡</m:t>
                      </m:r>
                    </m:sup>
                  </m:sSup>
                </m:num>
                <m:den>
                  <m:r>
                    <w:rPr>
                      <w:rFonts w:ascii="Cambria Math" w:hAnsi="Cambria Math"/>
                      <w:lang w:val="en-US"/>
                    </w:rPr>
                    <m:t>RT</m:t>
                  </m:r>
                </m:den>
              </m:f>
            </m:sup>
          </m:sSup>
        </m:oMath>
      </m:oMathPara>
    </w:p>
    <w:p w14:paraId="6AAABD95" w14:textId="77777777" w:rsidR="00092E5F" w:rsidRDefault="00000000">
      <w:pPr>
        <w:spacing w:line="360" w:lineRule="auto"/>
        <w:jc w:val="both"/>
        <w:rPr>
          <w:rFonts w:eastAsiaTheme="minorEastAsia" w:cs="Times New Roman"/>
          <w:lang w:val="en-US"/>
        </w:rPr>
      </w:pPr>
      <w:r>
        <w:rPr>
          <w:rFonts w:cs="Times New Roman"/>
          <w:lang w:val="en-US"/>
        </w:rPr>
        <w:t xml:space="preserve">Where </w:t>
      </w:r>
      <m:oMath>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B</m:t>
            </m:r>
          </m:sub>
        </m:sSub>
      </m:oMath>
      <w:r>
        <w:rPr>
          <w:rFonts w:eastAsiaTheme="minorEastAsia" w:cs="Times New Roman"/>
          <w:lang w:val="en-US"/>
        </w:rPr>
        <w:t xml:space="preserve"> is Boltzmann constant and </w:t>
      </w:r>
      <w:r>
        <w:rPr>
          <w:rFonts w:eastAsiaTheme="minorEastAsia" w:cs="Times New Roman"/>
          <w:i/>
          <w:iCs/>
          <w:lang w:val="en-US"/>
        </w:rPr>
        <w:t>h</w:t>
      </w:r>
      <w:r>
        <w:rPr>
          <w:rFonts w:eastAsiaTheme="minorEastAsia" w:cs="Times New Roman"/>
          <w:lang w:val="en-US"/>
        </w:rPr>
        <w:t xml:space="preserve"> Planck’s constant. To obtain Gibbs activation energy </w:t>
      </w:r>
      <m:oMath>
        <m:r>
          <m:rPr>
            <m:sty m:val="p"/>
          </m:rPr>
          <w:rPr>
            <w:rFonts w:ascii="Cambria Math" w:hAnsi="Cambria Math" w:cs="Times New Roman"/>
            <w:lang w:val="en-US"/>
          </w:rPr>
          <m:t>Δ</m:t>
        </m:r>
        <m:sSup>
          <m:sSupPr>
            <m:ctrlPr>
              <w:rPr>
                <w:rFonts w:ascii="Cambria Math" w:hAnsi="Cambria Math" w:cs="Times New Roman"/>
                <w:lang w:val="en-US"/>
              </w:rPr>
            </m:ctrlPr>
          </m:sSupPr>
          <m:e>
            <m:r>
              <m:rPr>
                <m:sty m:val="p"/>
              </m:rPr>
              <w:rPr>
                <w:rFonts w:ascii="Cambria Math" w:hAnsi="Cambria Math" w:cs="Times New Roman"/>
                <w:lang w:val="en-US"/>
              </w:rPr>
              <m:t>G</m:t>
            </m:r>
          </m:e>
          <m:sup>
            <m:r>
              <m:rPr>
                <m:sty m:val="p"/>
              </m:rPr>
              <w:rPr>
                <w:rFonts w:ascii="Cambria Math" w:hAnsi="Cambria Math" w:cs="Times New Roman"/>
                <w:lang w:val="en-US"/>
              </w:rPr>
              <m:t>‡</m:t>
            </m:r>
          </m:sup>
        </m:sSup>
      </m:oMath>
      <w:r>
        <w:rPr>
          <w:rFonts w:eastAsiaTheme="minorEastAsia" w:cs="Times New Roman"/>
          <w:lang w:val="en-US"/>
        </w:rPr>
        <w:t>, Gibbs free energies of NH</w:t>
      </w:r>
      <w:r>
        <w:rPr>
          <w:rFonts w:eastAsiaTheme="minorEastAsia" w:cs="Times New Roman"/>
          <w:vertAlign w:val="subscript"/>
          <w:lang w:val="en-US"/>
        </w:rPr>
        <w:t>3</w:t>
      </w:r>
      <w:r>
        <w:rPr>
          <w:rFonts w:eastAsiaTheme="minorEastAsia" w:cs="Times New Roman"/>
          <w:lang w:val="en-US"/>
        </w:rPr>
        <w:t xml:space="preserve"> and the product of the initial dehydrogenation step (NH</w:t>
      </w:r>
      <w:r>
        <w:rPr>
          <w:rFonts w:eastAsiaTheme="minorEastAsia" w:cs="Times New Roman"/>
          <w:vertAlign w:val="subscript"/>
          <w:lang w:val="en-US"/>
        </w:rPr>
        <w:t>2</w:t>
      </w:r>
      <w:r>
        <w:rPr>
          <w:rFonts w:eastAsiaTheme="minorEastAsia" w:cs="Times New Roman"/>
          <w:lang w:val="en-US"/>
        </w:rPr>
        <w:t>+H) were calculated using the Gaussian software. The difference between these two free energies was then taken to be</w:t>
      </w:r>
      <w:r>
        <w:rPr>
          <w:rFonts w:cs="Times New Roman"/>
          <w:lang w:val="en-US"/>
        </w:rPr>
        <w:t xml:space="preserve"> </w:t>
      </w:r>
      <m:oMath>
        <m:r>
          <m:rPr>
            <m:sty m:val="p"/>
          </m:rPr>
          <w:rPr>
            <w:rFonts w:ascii="Cambria Math" w:hAnsi="Cambria Math" w:cs="Times New Roman"/>
            <w:lang w:val="en-US"/>
          </w:rPr>
          <m:t>Δ</m:t>
        </m:r>
        <m:sSup>
          <m:sSupPr>
            <m:ctrlPr>
              <w:rPr>
                <w:rFonts w:ascii="Cambria Math" w:hAnsi="Cambria Math" w:cs="Times New Roman"/>
                <w:lang w:val="en-US"/>
              </w:rPr>
            </m:ctrlPr>
          </m:sSupPr>
          <m:e>
            <m:r>
              <m:rPr>
                <m:sty m:val="p"/>
              </m:rPr>
              <w:rPr>
                <w:rFonts w:ascii="Cambria Math" w:hAnsi="Cambria Math" w:cs="Times New Roman"/>
                <w:lang w:val="en-US"/>
              </w:rPr>
              <m:t>G</m:t>
            </m:r>
          </m:e>
          <m:sup>
            <m:r>
              <m:rPr>
                <m:sty m:val="p"/>
              </m:rPr>
              <w:rPr>
                <w:rFonts w:ascii="Cambria Math" w:hAnsi="Cambria Math" w:cs="Times New Roman"/>
                <w:lang w:val="en-US"/>
              </w:rPr>
              <m:t>‡</m:t>
            </m:r>
          </m:sup>
        </m:sSup>
      </m:oMath>
      <w:r>
        <w:rPr>
          <w:rFonts w:eastAsiaTheme="minorEastAsia" w:cs="Times New Roman"/>
          <w:lang w:val="en-US"/>
        </w:rPr>
        <w:t xml:space="preserve">, as the initial dehydrogenation step is often considered the rate determining step of the reaction. The transmission coefficient </w:t>
      </w:r>
      <m:oMath>
        <m:r>
          <w:rPr>
            <w:rFonts w:ascii="Cambria Math" w:hAnsi="Cambria Math" w:cs="Times New Roman"/>
            <w:lang w:val="en-US"/>
          </w:rPr>
          <m:t>κ</m:t>
        </m:r>
      </m:oMath>
      <w:r>
        <w:rPr>
          <w:rFonts w:eastAsiaTheme="minorEastAsia" w:cs="Times New Roman"/>
          <w:lang w:val="en-US"/>
        </w:rPr>
        <w:t xml:space="preserve"> was assumed to be unity, meaning that the entire flux proceeds to the product and does not recross into the transition state. Regardless, even if </w:t>
      </w:r>
      <m:oMath>
        <m:r>
          <w:rPr>
            <w:rFonts w:ascii="Cambria Math" w:hAnsi="Cambria Math" w:cs="Times New Roman"/>
            <w:lang w:val="en-US"/>
          </w:rPr>
          <m:t>κ</m:t>
        </m:r>
      </m:oMath>
      <w:r>
        <w:rPr>
          <w:rFonts w:eastAsiaTheme="minorEastAsia" w:cs="Times New Roman"/>
          <w:lang w:val="en-US"/>
        </w:rPr>
        <w:t xml:space="preserve"> is assumed to be other values such as 0.5 or 0.25, the rate constants are not significantly changed (Fig S9). </w:t>
      </w:r>
    </w:p>
    <w:p w14:paraId="3337EEF2" w14:textId="77777777" w:rsidR="00092E5F" w:rsidRDefault="00000000">
      <w:pPr>
        <w:spacing w:line="360" w:lineRule="auto"/>
        <w:jc w:val="both"/>
        <w:rPr>
          <w:rFonts w:eastAsiaTheme="minorEastAsia"/>
          <w:lang w:val="en-US"/>
        </w:rPr>
      </w:pPr>
      <w:r>
        <w:rPr>
          <w:rFonts w:eastAsiaTheme="minorEastAsia"/>
          <w:lang w:val="en-US"/>
        </w:rPr>
        <w:tab/>
        <w:t>Rate constants for the commercial Ru/Al</w:t>
      </w:r>
      <w:r>
        <w:rPr>
          <w:rFonts w:eastAsiaTheme="minorEastAsia"/>
          <w:vertAlign w:val="subscript"/>
          <w:lang w:val="en-US"/>
        </w:rPr>
        <w:t>2</w:t>
      </w:r>
      <w:r>
        <w:rPr>
          <w:rFonts w:eastAsiaTheme="minorEastAsia"/>
          <w:lang w:val="en-US"/>
        </w:rPr>
        <w:t>O</w:t>
      </w:r>
      <w:r>
        <w:rPr>
          <w:rFonts w:eastAsiaTheme="minorEastAsia"/>
          <w:vertAlign w:val="subscript"/>
          <w:lang w:val="en-US"/>
        </w:rPr>
        <w:t>3</w:t>
      </w:r>
      <w:r>
        <w:rPr>
          <w:rFonts w:eastAsiaTheme="minorEastAsia"/>
          <w:lang w:val="en-US"/>
        </w:rPr>
        <w:t xml:space="preserve"> catalyst in Fig S9 is based on the microkinetic model of Prasad et al.</w:t>
      </w:r>
      <w:r>
        <w:rPr>
          <w:rFonts w:eastAsiaTheme="minorEastAsia"/>
          <w:lang w:val="en-US"/>
        </w:rPr>
        <w:fldChar w:fldCharType="begin"/>
      </w:r>
      <w:r>
        <w:rPr>
          <w:rFonts w:eastAsiaTheme="minorEastAsia"/>
          <w:lang w:val="en-US"/>
        </w:rPr>
        <w:instrText xml:space="preserve"> ADDIN EN.CITE &lt;EndNote&gt;&lt;Cite&gt;&lt;Author&gt;Prasad&lt;/Author&gt;&lt;Year&gt;2009&lt;/Year&gt;&lt;RecNum&gt;487&lt;/RecNum&gt;&lt;DisplayText&gt;&lt;style face="superscript"&gt;2&lt;/style&gt;&lt;/DisplayText&gt;&lt;record&gt;&lt;rec-number&gt;487&lt;/rec-number&gt;&lt;foreign-keys&gt;&lt;key app="EN" db-id="s5z2zsz04waeexe29v3pzvfl2x5z0s5f0vvs" timestamp="1715936589"&gt;487&lt;/key&gt;&lt;/foreign-keys&gt;&lt;ref-type name="Journal Article"&gt;17&lt;/ref-type&gt;&lt;contributors&gt;&lt;authors&gt;&lt;author&gt;Prasad, V.&lt;/author&gt;&lt;author&gt;Karim, A. M.&lt;/author&gt;&lt;author&gt;Arya, A.&lt;/author&gt;&lt;author&gt;Vlachos, D. G.&lt;/author&gt;&lt;/authors&gt;&lt;/contributors&gt;&lt;titles&gt;&lt;title&gt;Assessment of Overall Rate Expressions and Multiscale, Microkinetic Model Uniqueness via Experimental Data Injection: Ammonia Decomposition on Ru/γ-Al2O3 for Hydrogen Production&lt;/title&gt;&lt;secondary-title&gt;Industrial &amp;amp; Engineering Chemistry Research&lt;/secondary-title&gt;&lt;/titles&gt;&lt;periodical&gt;&lt;full-title&gt;Industrial &amp;amp; Engineering Chemistry Research&lt;/full-title&gt;&lt;/periodical&gt;&lt;pages&gt;5255-5265&lt;/pages&gt;&lt;volume&gt;48&lt;/volume&gt;&lt;number&gt;11&lt;/number&gt;&lt;dates&gt;&lt;year&gt;2009&lt;/year&gt;&lt;pub-dates&gt;&lt;date&gt;2009/06/03&lt;/date&gt;&lt;/pub-dates&gt;&lt;/dates&gt;&lt;publisher&gt;American Chemical Society&lt;/publisher&gt;&lt;isbn&gt;0888-5885&lt;/isbn&gt;&lt;urls&gt;&lt;related-urls&gt;&lt;url&gt;https://doi.org/10.1021/ie900144x&lt;/url&gt;&lt;/related-urls&gt;&lt;/urls&gt;&lt;electronic-resource-num&gt;10.1021/ie900144x&lt;/electronic-resource-num&gt;&lt;/record&gt;&lt;/Cite&gt;&lt;/EndNote&gt;</w:instrText>
      </w:r>
      <w:r>
        <w:rPr>
          <w:rFonts w:eastAsiaTheme="minorEastAsia"/>
          <w:lang w:val="en-US"/>
        </w:rPr>
        <w:fldChar w:fldCharType="separate"/>
      </w:r>
      <w:r>
        <w:rPr>
          <w:rFonts w:eastAsiaTheme="minorEastAsia"/>
          <w:vertAlign w:val="superscript"/>
          <w:lang w:val="en-US"/>
        </w:rPr>
        <w:t>2</w:t>
      </w:r>
      <w:r>
        <w:rPr>
          <w:rFonts w:eastAsiaTheme="minorEastAsia"/>
          <w:lang w:val="en-US"/>
        </w:rPr>
        <w:fldChar w:fldCharType="end"/>
      </w:r>
      <w:r>
        <w:rPr>
          <w:rFonts w:eastAsiaTheme="minorEastAsia"/>
          <w:lang w:val="en-US"/>
        </w:rPr>
        <w:t xml:space="preserve">, where </w:t>
      </w:r>
      <w:proofErr w:type="spellStart"/>
      <w:r>
        <w:rPr>
          <w:rFonts w:eastAsiaTheme="minorEastAsia"/>
          <w:i/>
          <w:iCs/>
          <w:lang w:val="en-US"/>
        </w:rPr>
        <w:t>E</w:t>
      </w:r>
      <w:r>
        <w:rPr>
          <w:rFonts w:eastAsiaTheme="minorEastAsia"/>
          <w:i/>
          <w:iCs/>
          <w:vertAlign w:val="subscript"/>
          <w:lang w:val="en-US"/>
        </w:rPr>
        <w:t>app</w:t>
      </w:r>
      <w:proofErr w:type="spellEnd"/>
      <w:r>
        <w:rPr>
          <w:rFonts w:eastAsiaTheme="minorEastAsia"/>
          <w:lang w:val="en-US"/>
        </w:rPr>
        <w:t xml:space="preserve"> is 117 kJ mol</w:t>
      </w:r>
      <w:r>
        <w:rPr>
          <w:rFonts w:eastAsiaTheme="minorEastAsia"/>
          <w:vertAlign w:val="superscript"/>
          <w:lang w:val="en-US"/>
        </w:rPr>
        <w:t>-1</w:t>
      </w:r>
      <w:r>
        <w:rPr>
          <w:rFonts w:eastAsiaTheme="minorEastAsia"/>
          <w:lang w:val="en-US"/>
        </w:rPr>
        <w:t xml:space="preserve"> and </w:t>
      </w:r>
      <w:r>
        <w:rPr>
          <w:rFonts w:eastAsiaTheme="minorEastAsia"/>
          <w:i/>
          <w:iCs/>
          <w:lang w:val="en-US"/>
        </w:rPr>
        <w:t>k</w:t>
      </w:r>
      <w:r>
        <w:rPr>
          <w:rFonts w:eastAsiaTheme="minorEastAsia"/>
          <w:i/>
          <w:iCs/>
          <w:vertAlign w:val="subscript"/>
          <w:lang w:val="en-US"/>
        </w:rPr>
        <w:t>0</w:t>
      </w:r>
      <w:r>
        <w:rPr>
          <w:rFonts w:eastAsiaTheme="minorEastAsia"/>
          <w:i/>
          <w:iCs/>
          <w:lang w:val="en-US"/>
        </w:rPr>
        <w:t xml:space="preserve"> </w:t>
      </w:r>
      <w:r>
        <w:rPr>
          <w:rFonts w:eastAsiaTheme="minorEastAsia"/>
          <w:lang w:val="en-US"/>
        </w:rPr>
        <w:t>is 6E8 s</w:t>
      </w:r>
      <w:r>
        <w:rPr>
          <w:rFonts w:eastAsiaTheme="minorEastAsia"/>
          <w:vertAlign w:val="superscript"/>
          <w:lang w:val="en-US"/>
        </w:rPr>
        <w:t>-1</w:t>
      </w:r>
      <w:r>
        <w:rPr>
          <w:rFonts w:eastAsiaTheme="minorEastAsia"/>
          <w:lang w:val="en-US"/>
        </w:rPr>
        <w:t>:</w:t>
      </w:r>
    </w:p>
    <w:p w14:paraId="03D69063" w14:textId="77777777" w:rsidR="00092E5F" w:rsidRDefault="00000000">
      <w:pPr>
        <w:spacing w:line="360" w:lineRule="auto"/>
        <w:jc w:val="both"/>
        <w:rPr>
          <w:rFonts w:eastAsiaTheme="minorEastAsia"/>
          <w:lang w:val="en-US"/>
        </w:rPr>
      </w:pPr>
      <m:oMathPara>
        <m:oMath>
          <m:r>
            <w:rPr>
              <w:rFonts w:ascii="Cambria Math" w:eastAsiaTheme="minorEastAsia" w:hAnsi="Cambria Math"/>
              <w:lang w:val="en-US"/>
            </w:rPr>
            <m:t>k=</m:t>
          </m:r>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e</m:t>
              </m:r>
            </m:e>
            <m:sup>
              <m:r>
                <w:rPr>
                  <w:rFonts w:ascii="Cambria Math" w:eastAsiaTheme="minorEastAsia" w:hAnsi="Cambria Math"/>
                  <w:lang w:val="en-US"/>
                </w:rPr>
                <m:t>-</m:t>
              </m:r>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r>
                        <w:rPr>
                          <w:rFonts w:ascii="Cambria Math" w:eastAsiaTheme="minorEastAsia" w:hAnsi="Cambria Math"/>
                          <w:lang w:val="en-US"/>
                        </w:rPr>
                        <m:t>E</m:t>
                      </m:r>
                    </m:e>
                    <m:sub>
                      <m:r>
                        <w:rPr>
                          <w:rFonts w:ascii="Cambria Math" w:eastAsiaTheme="minorEastAsia" w:hAnsi="Cambria Math"/>
                          <w:lang w:val="en-US"/>
                        </w:rPr>
                        <m:t>app</m:t>
                      </m:r>
                    </m:sub>
                  </m:sSub>
                </m:num>
                <m:den>
                  <m:r>
                    <w:rPr>
                      <w:rFonts w:ascii="Cambria Math" w:eastAsiaTheme="minorEastAsia" w:hAnsi="Cambria Math"/>
                      <w:lang w:val="en-US"/>
                    </w:rPr>
                    <m:t>RT</m:t>
                  </m:r>
                </m:den>
              </m:f>
            </m:sup>
          </m:sSup>
        </m:oMath>
      </m:oMathPara>
    </w:p>
    <w:p w14:paraId="596DCA9B" w14:textId="77777777" w:rsidR="00092E5F" w:rsidRDefault="00000000">
      <w:pPr>
        <w:spacing w:line="360" w:lineRule="auto"/>
        <w:ind w:firstLine="720"/>
        <w:jc w:val="both"/>
        <w:rPr>
          <w:rFonts w:eastAsiaTheme="minorEastAsia"/>
          <w:lang w:val="en-US"/>
        </w:rPr>
      </w:pPr>
      <w:r>
        <w:rPr>
          <w:rFonts w:eastAsiaTheme="minorEastAsia"/>
          <w:lang w:val="en-US"/>
        </w:rPr>
        <w:t xml:space="preserve">Rate constants of other ADR systems in literature were calculated from the mass balance of an ideal isothermal plug flow reactor, assuming steady-state and first-order kinetics: </w:t>
      </w:r>
    </w:p>
    <w:p w14:paraId="64026F54" w14:textId="77777777" w:rsidR="00092E5F" w:rsidRDefault="00000000">
      <w:pPr>
        <w:spacing w:line="360" w:lineRule="auto"/>
        <w:jc w:val="both"/>
        <w:rPr>
          <w:rFonts w:eastAsiaTheme="minorEastAsia"/>
          <w:lang w:val="en-US"/>
        </w:rPr>
      </w:pPr>
      <m:oMathPara>
        <m:oMath>
          <m:f>
            <m:fPr>
              <m:ctrlPr>
                <w:rPr>
                  <w:rFonts w:ascii="Cambria Math" w:eastAsiaTheme="minorEastAsia" w:hAnsi="Cambria Math"/>
                  <w:i/>
                  <w:lang w:val="en-US"/>
                </w:rPr>
              </m:ctrlPr>
            </m:fPr>
            <m:num>
              <m:r>
                <w:rPr>
                  <w:rFonts w:ascii="Cambria Math" w:eastAsiaTheme="minorEastAsia" w:hAnsi="Cambria Math"/>
                  <w:lang w:val="en-US"/>
                </w:rPr>
                <m:t>d</m:t>
              </m:r>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sub>
              </m:sSub>
            </m:num>
            <m:den>
              <m:r>
                <w:rPr>
                  <w:rFonts w:ascii="Cambria Math" w:eastAsiaTheme="minorEastAsia" w:hAnsi="Cambria Math"/>
                  <w:lang w:val="en-US"/>
                </w:rPr>
                <m:t>dτ</m:t>
              </m:r>
            </m:den>
          </m:f>
          <m:r>
            <w:rPr>
              <w:rFonts w:ascii="Cambria Math" w:eastAsiaTheme="minorEastAsia" w:hAnsi="Cambria Math"/>
              <w:lang w:val="en-US"/>
            </w:rPr>
            <m:t>=rate=-k</m:t>
          </m:r>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sub>
          </m:sSub>
        </m:oMath>
      </m:oMathPara>
    </w:p>
    <w:p w14:paraId="4C75CD3F" w14:textId="77777777" w:rsidR="00092E5F" w:rsidRDefault="00000000">
      <w:pPr>
        <w:spacing w:line="360" w:lineRule="auto"/>
        <w:jc w:val="both"/>
        <w:rPr>
          <w:rFonts w:eastAsiaTheme="minorEastAsia"/>
          <w:lang w:val="en-US"/>
        </w:rPr>
      </w:pPr>
      <w:r>
        <w:rPr>
          <w:rFonts w:eastAsiaTheme="minorEastAsia"/>
          <w:lang w:val="en-US"/>
        </w:rPr>
        <w:t>This is integrated into:</w:t>
      </w:r>
    </w:p>
    <w:p w14:paraId="5E4FBAA8" w14:textId="77777777" w:rsidR="00092E5F" w:rsidRDefault="00000000">
      <w:pPr>
        <w:spacing w:line="360" w:lineRule="auto"/>
        <w:jc w:val="both"/>
        <w:rPr>
          <w:rFonts w:eastAsiaTheme="minorEastAsia"/>
          <w:lang w:val="en-US"/>
        </w:rPr>
      </w:pPr>
      <m:oMathPara>
        <m:oMath>
          <m:nary>
            <m:naryPr>
              <m:limLoc m:val="subSup"/>
              <m:ctrlPr>
                <w:rPr>
                  <w:rFonts w:ascii="Cambria Math" w:eastAsiaTheme="minorEastAsia" w:hAnsi="Cambria Math"/>
                  <w:i/>
                  <w:lang w:val="en-US"/>
                </w:rPr>
              </m:ctrlPr>
            </m:naryPr>
            <m:sub>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r>
                    <w:rPr>
                      <w:rFonts w:ascii="Cambria Math" w:eastAsiaTheme="minorEastAsia" w:hAnsi="Cambria Math"/>
                      <w:lang w:val="en-US"/>
                    </w:rPr>
                    <m:t>,0</m:t>
                  </m:r>
                </m:sub>
              </m:sSub>
            </m:sub>
            <m:sup>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sub>
              </m:sSub>
            </m:sup>
            <m:e>
              <m:f>
                <m:fPr>
                  <m:ctrlPr>
                    <w:rPr>
                      <w:rFonts w:ascii="Cambria Math" w:eastAsiaTheme="minorEastAsia" w:hAnsi="Cambria Math"/>
                      <w:i/>
                      <w:lang w:val="en-US"/>
                    </w:rPr>
                  </m:ctrlPr>
                </m:fPr>
                <m:num>
                  <m:r>
                    <w:rPr>
                      <w:rFonts w:ascii="Cambria Math" w:eastAsiaTheme="minorEastAsia" w:hAnsi="Cambria Math"/>
                      <w:lang w:val="en-US"/>
                    </w:rPr>
                    <m:t>d</m:t>
                  </m:r>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sub>
                  </m:sSub>
                </m:num>
                <m:den>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sub>
                  </m:sSub>
                </m:den>
              </m:f>
            </m:e>
          </m:nary>
          <m:r>
            <w:rPr>
              <w:rFonts w:ascii="Cambria Math" w:eastAsiaTheme="minorEastAsia" w:hAnsi="Cambria Math"/>
              <w:lang w:val="en-US"/>
            </w:rPr>
            <m:t>=</m:t>
          </m:r>
          <m:nary>
            <m:naryPr>
              <m:limLoc m:val="subSup"/>
              <m:ctrlPr>
                <w:rPr>
                  <w:rFonts w:ascii="Cambria Math" w:eastAsiaTheme="minorEastAsia" w:hAnsi="Cambria Math"/>
                  <w:i/>
                  <w:lang w:val="en-US"/>
                </w:rPr>
              </m:ctrlPr>
            </m:naryPr>
            <m:sub>
              <m:r>
                <w:rPr>
                  <w:rFonts w:ascii="Cambria Math" w:eastAsiaTheme="minorEastAsia" w:hAnsi="Cambria Math"/>
                  <w:lang w:val="en-US"/>
                </w:rPr>
                <m:t>0</m:t>
              </m:r>
            </m:sub>
            <m:sup>
              <m:r>
                <w:rPr>
                  <w:rFonts w:ascii="Cambria Math" w:eastAsiaTheme="minorEastAsia" w:hAnsi="Cambria Math"/>
                  <w:lang w:val="en-US"/>
                </w:rPr>
                <m:t>τ</m:t>
              </m:r>
            </m:sup>
            <m:e>
              <m:r>
                <w:rPr>
                  <w:rFonts w:ascii="Cambria Math" w:eastAsiaTheme="minorEastAsia" w:hAnsi="Cambria Math"/>
                  <w:lang w:val="en-US"/>
                </w:rPr>
                <m:t>k dτ</m:t>
              </m:r>
            </m:e>
          </m:nary>
          <m:r>
            <m:rPr>
              <m:sty m:val="p"/>
            </m:rPr>
            <w:rPr>
              <w:rFonts w:ascii="Cambria Math" w:eastAsiaTheme="minorEastAsia" w:hAnsi="Cambria Math"/>
              <w:lang w:val="en-US"/>
            </w:rPr>
            <w:br/>
          </m:r>
        </m:oMath>
        <m:oMath>
          <m:r>
            <w:rPr>
              <w:rFonts w:ascii="Cambria Math" w:eastAsiaTheme="minorEastAsia" w:hAnsi="Cambria Math"/>
              <w:lang w:val="en-US"/>
            </w:rPr>
            <m:t>kτ=</m:t>
          </m:r>
          <m:func>
            <m:funcPr>
              <m:ctrlPr>
                <w:rPr>
                  <w:rFonts w:ascii="Cambria Math" w:eastAsiaTheme="minorEastAsia" w:hAnsi="Cambria Math"/>
                  <w:i/>
                  <w:lang w:val="en-US"/>
                </w:rPr>
              </m:ctrlPr>
            </m:funcPr>
            <m:fName>
              <m:r>
                <m:rPr>
                  <m:sty m:val="p"/>
                </m:rPr>
                <w:rPr>
                  <w:rFonts w:ascii="Cambria Math" w:eastAsiaTheme="minorEastAsia" w:hAnsi="Cambria Math"/>
                  <w:lang w:val="en-US"/>
                </w:rPr>
                <m:t>ln</m:t>
              </m:r>
            </m:fName>
            <m:e>
              <m:d>
                <m:dPr>
                  <m:ctrlPr>
                    <w:rPr>
                      <w:rFonts w:ascii="Cambria Math" w:eastAsiaTheme="minorEastAsia" w:hAnsi="Cambria Math"/>
                      <w:i/>
                      <w:lang w:val="en-US"/>
                    </w:rPr>
                  </m:ctrlPr>
                </m:dPr>
                <m:e>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r>
                            <w:rPr>
                              <w:rFonts w:ascii="Cambria Math" w:eastAsiaTheme="minorEastAsia" w:hAnsi="Cambria Math"/>
                              <w:lang w:val="en-US"/>
                            </w:rPr>
                            <m:t>,0</m:t>
                          </m:r>
                        </m:sub>
                      </m:sSub>
                    </m:num>
                    <m:den>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sub>
                      </m:sSub>
                    </m:den>
                  </m:f>
                </m:e>
              </m:d>
            </m:e>
          </m:func>
        </m:oMath>
      </m:oMathPara>
    </w:p>
    <w:p w14:paraId="33B8B7E4" w14:textId="77777777" w:rsidR="00092E5F" w:rsidRDefault="00000000">
      <w:pPr>
        <w:spacing w:line="360" w:lineRule="auto"/>
        <w:jc w:val="both"/>
        <w:rPr>
          <w:rFonts w:eastAsiaTheme="minorEastAsia"/>
          <w:lang w:val="en-US"/>
        </w:rPr>
      </w:pPr>
      <w:r>
        <w:rPr>
          <w:rFonts w:eastAsiaTheme="minorEastAsia"/>
          <w:lang w:val="en-US"/>
        </w:rPr>
        <w:t xml:space="preserve">Where residence time </w:t>
      </w:r>
      <m:oMath>
        <m:r>
          <w:rPr>
            <w:rFonts w:ascii="Cambria Math" w:eastAsiaTheme="minorEastAsia" w:hAnsi="Cambria Math"/>
            <w:lang w:val="en-US"/>
          </w:rPr>
          <m:t>τ</m:t>
        </m:r>
      </m:oMath>
      <w:r>
        <w:rPr>
          <w:rFonts w:eastAsiaTheme="minorEastAsia"/>
          <w:lang w:val="en-US"/>
        </w:rPr>
        <w:t xml:space="preserve"> is </w:t>
      </w:r>
    </w:p>
    <w:p w14:paraId="50737F24" w14:textId="77777777" w:rsidR="00092E5F" w:rsidRDefault="00000000">
      <w:pPr>
        <w:spacing w:line="360" w:lineRule="auto"/>
        <w:jc w:val="both"/>
        <w:rPr>
          <w:rFonts w:eastAsiaTheme="minorEastAsia"/>
          <w:lang w:val="en-US"/>
        </w:rPr>
      </w:pPr>
      <m:oMathPara>
        <m:oMath>
          <m:r>
            <w:rPr>
              <w:rFonts w:ascii="Cambria Math" w:eastAsiaTheme="minorEastAsia" w:hAnsi="Cambria Math"/>
              <w:lang w:val="en-US"/>
            </w:rPr>
            <m:t>τ=</m:t>
          </m:r>
          <m:f>
            <m:fPr>
              <m:ctrlPr>
                <w:rPr>
                  <w:rFonts w:ascii="Cambria Math" w:eastAsiaTheme="minorEastAsia" w:hAnsi="Cambria Math"/>
                  <w:i/>
                  <w:lang w:val="en-US"/>
                </w:rPr>
              </m:ctrlPr>
            </m:fPr>
            <m:num>
              <m:r>
                <w:rPr>
                  <w:rFonts w:ascii="Cambria Math" w:eastAsiaTheme="minorEastAsia" w:hAnsi="Cambria Math"/>
                  <w:lang w:val="en-US"/>
                </w:rPr>
                <m:t>V</m:t>
              </m:r>
            </m:num>
            <m:den>
              <m:sSub>
                <m:sSubPr>
                  <m:ctrlPr>
                    <w:rPr>
                      <w:rFonts w:ascii="Cambria Math" w:eastAsiaTheme="minorEastAsia" w:hAnsi="Cambria Math"/>
                      <w:i/>
                      <w:lang w:val="en-US"/>
                    </w:rPr>
                  </m:ctrlPr>
                </m:sSubPr>
                <m:e>
                  <m:r>
                    <w:rPr>
                      <w:rFonts w:ascii="Cambria Math" w:eastAsiaTheme="minorEastAsia" w:hAnsi="Cambria Math"/>
                      <w:lang w:val="en-US"/>
                    </w:rPr>
                    <m:t>F</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sub>
              </m:sSub>
            </m:den>
          </m:f>
        </m:oMath>
      </m:oMathPara>
    </w:p>
    <w:p w14:paraId="79E175B2" w14:textId="77777777" w:rsidR="00092E5F" w:rsidRDefault="00000000">
      <w:pPr>
        <w:spacing w:line="360" w:lineRule="auto"/>
        <w:jc w:val="both"/>
        <w:rPr>
          <w:rFonts w:eastAsiaTheme="minorEastAsia"/>
          <w:i/>
          <w:iCs/>
          <w:lang w:val="en-US"/>
        </w:rPr>
      </w:pPr>
      <w:r>
        <w:rPr>
          <w:rFonts w:eastAsiaTheme="minorEastAsia"/>
          <w:lang w:val="en-US"/>
        </w:rPr>
        <w:t xml:space="preserve">The volumetric flow rate </w:t>
      </w:r>
      <m:oMath>
        <m:sSub>
          <m:sSubPr>
            <m:ctrlPr>
              <w:rPr>
                <w:rFonts w:ascii="Cambria Math" w:eastAsiaTheme="minorEastAsia" w:hAnsi="Cambria Math"/>
                <w:i/>
                <w:lang w:val="en-US"/>
              </w:rPr>
            </m:ctrlPr>
          </m:sSubPr>
          <m:e>
            <m:r>
              <w:rPr>
                <w:rFonts w:ascii="Cambria Math" w:eastAsiaTheme="minorEastAsia" w:hAnsi="Cambria Math"/>
                <w:lang w:val="en-US"/>
              </w:rPr>
              <m:t>F</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sub>
        </m:sSub>
      </m:oMath>
      <w:r>
        <w:rPr>
          <w:rFonts w:eastAsiaTheme="minorEastAsia"/>
          <w:lang w:val="en-US"/>
        </w:rPr>
        <w:t xml:space="preserve"> is known while if reactor volume </w:t>
      </w:r>
      <w:r>
        <w:rPr>
          <w:rFonts w:eastAsiaTheme="minorEastAsia"/>
          <w:i/>
          <w:iCs/>
          <w:lang w:val="en-US"/>
        </w:rPr>
        <w:t xml:space="preserve">V </w:t>
      </w:r>
      <w:r>
        <w:rPr>
          <w:rFonts w:eastAsiaTheme="minorEastAsia"/>
          <w:lang w:val="en-US"/>
        </w:rPr>
        <w:t xml:space="preserve">is not reported, it is calculated based on the catalyst weight and density. If the density of the catalyst is not known, it is assumed to be the same as the density of the support material. Then by defining the final concentration </w:t>
      </w:r>
      <m:oMath>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sub>
        </m:sSub>
      </m:oMath>
      <w:r>
        <w:rPr>
          <w:rFonts w:eastAsiaTheme="minorEastAsia"/>
          <w:lang w:val="en-US"/>
        </w:rPr>
        <w:t xml:space="preserve"> in terms of the initial concentration </w:t>
      </w:r>
      <m:oMath>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r>
              <w:rPr>
                <w:rFonts w:ascii="Cambria Math" w:eastAsiaTheme="minorEastAsia" w:hAnsi="Cambria Math"/>
                <w:lang w:val="en-US"/>
              </w:rPr>
              <m:t>,0</m:t>
            </m:r>
          </m:sub>
        </m:sSub>
      </m:oMath>
      <w:r>
        <w:rPr>
          <w:rFonts w:eastAsiaTheme="minorEastAsia"/>
          <w:lang w:val="en-US"/>
        </w:rPr>
        <w:t xml:space="preserve"> and conversion </w:t>
      </w:r>
      <w:r>
        <w:rPr>
          <w:rFonts w:eastAsiaTheme="minorEastAsia"/>
          <w:i/>
          <w:iCs/>
          <w:lang w:val="en-US"/>
        </w:rPr>
        <w:t>X</w:t>
      </w:r>
    </w:p>
    <w:p w14:paraId="596D23E6" w14:textId="77777777" w:rsidR="00092E5F" w:rsidRDefault="00000000">
      <w:pPr>
        <w:spacing w:line="360" w:lineRule="auto"/>
        <w:jc w:val="both"/>
        <w:rPr>
          <w:rFonts w:eastAsiaTheme="minorEastAsia"/>
          <w:lang w:val="en-US"/>
        </w:rPr>
      </w:pPr>
      <m:oMathPara>
        <m:oMath>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3,0</m:t>
                  </m:r>
                </m:sub>
              </m:sSub>
            </m:sub>
          </m:sSub>
          <m:r>
            <w:rPr>
              <w:rFonts w:ascii="Cambria Math" w:eastAsiaTheme="minorEastAsia" w:hAnsi="Cambria Math"/>
              <w:lang w:val="en-US"/>
            </w:rPr>
            <m:t>(1-X)</m:t>
          </m:r>
        </m:oMath>
      </m:oMathPara>
    </w:p>
    <w:p w14:paraId="4B072085" w14:textId="77777777" w:rsidR="00092E5F" w:rsidRDefault="00000000">
      <w:pPr>
        <w:spacing w:line="360" w:lineRule="auto"/>
        <w:jc w:val="both"/>
        <w:rPr>
          <w:rFonts w:eastAsiaTheme="minorEastAsia"/>
          <w:lang w:val="en-US"/>
        </w:rPr>
      </w:pPr>
      <w:r>
        <w:rPr>
          <w:rFonts w:eastAsiaTheme="minorEastAsia"/>
          <w:lang w:val="en-US"/>
        </w:rPr>
        <w:lastRenderedPageBreak/>
        <w:t>The following equation is obtained, and rate constant can be calculated from the reported experimental conditions:</w:t>
      </w:r>
    </w:p>
    <w:p w14:paraId="6B7772B8" w14:textId="77777777" w:rsidR="00092E5F" w:rsidRDefault="00000000">
      <w:pPr>
        <w:spacing w:line="360" w:lineRule="auto"/>
        <w:jc w:val="both"/>
        <w:rPr>
          <w:rFonts w:eastAsiaTheme="minorEastAsia"/>
          <w:lang w:val="en-US"/>
        </w:rPr>
      </w:pPr>
      <m:oMathPara>
        <m:oMath>
          <m:r>
            <w:rPr>
              <w:rFonts w:ascii="Cambria Math" w:eastAsiaTheme="minorEastAsia" w:hAnsi="Cambria Math"/>
              <w:lang w:val="en-US"/>
            </w:rPr>
            <m:t>k=</m:t>
          </m:r>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r>
                    <w:rPr>
                      <w:rFonts w:ascii="Cambria Math" w:eastAsiaTheme="minorEastAsia" w:hAnsi="Cambria Math"/>
                      <w:lang w:val="en-US"/>
                    </w:rPr>
                    <m:t>F</m:t>
                  </m:r>
                </m:e>
                <m:sub>
                  <m:r>
                    <w:rPr>
                      <w:rFonts w:ascii="Cambria Math" w:eastAsiaTheme="minorEastAsia" w:hAnsi="Cambria Math"/>
                      <w:lang w:val="en-US"/>
                    </w:rPr>
                    <m:t>N</m:t>
                  </m:r>
                  <m:sSub>
                    <m:sSubPr>
                      <m:ctrlPr>
                        <w:rPr>
                          <w:rFonts w:ascii="Cambria Math" w:eastAsiaTheme="minorEastAsia" w:hAnsi="Cambria Math"/>
                          <w:i/>
                          <w:lang w:val="en-US"/>
                        </w:rPr>
                      </m:ctrlPr>
                    </m:sSubPr>
                    <m:e>
                      <m:r>
                        <w:rPr>
                          <w:rFonts w:ascii="Cambria Math" w:eastAsiaTheme="minorEastAsia" w:hAnsi="Cambria Math"/>
                          <w:lang w:val="en-US"/>
                        </w:rPr>
                        <m:t>H</m:t>
                      </m:r>
                    </m:e>
                    <m:sub>
                      <m:r>
                        <w:rPr>
                          <w:rFonts w:ascii="Cambria Math" w:eastAsiaTheme="minorEastAsia" w:hAnsi="Cambria Math"/>
                          <w:lang w:val="en-US"/>
                        </w:rPr>
                        <m:t>3</m:t>
                      </m:r>
                    </m:sub>
                  </m:sSub>
                </m:sub>
              </m:sSub>
            </m:num>
            <m:den>
              <m:r>
                <w:rPr>
                  <w:rFonts w:ascii="Cambria Math" w:eastAsiaTheme="minorEastAsia" w:hAnsi="Cambria Math"/>
                  <w:lang w:val="en-US"/>
                </w:rPr>
                <m:t>V</m:t>
              </m:r>
            </m:den>
          </m:f>
          <m:func>
            <m:funcPr>
              <m:ctrlPr>
                <w:rPr>
                  <w:rFonts w:ascii="Cambria Math" w:eastAsiaTheme="minorEastAsia" w:hAnsi="Cambria Math"/>
                  <w:i/>
                  <w:lang w:val="en-US"/>
                </w:rPr>
              </m:ctrlPr>
            </m:funcPr>
            <m:fName>
              <m:r>
                <m:rPr>
                  <m:sty m:val="p"/>
                </m:rPr>
                <w:rPr>
                  <w:rFonts w:ascii="Cambria Math" w:eastAsiaTheme="minorEastAsia" w:hAnsi="Cambria Math"/>
                  <w:lang w:val="en-US"/>
                </w:rPr>
                <m:t>ln</m:t>
              </m:r>
            </m:fName>
            <m:e>
              <m:d>
                <m:dPr>
                  <m:ctrlPr>
                    <w:rPr>
                      <w:rFonts w:ascii="Cambria Math" w:eastAsiaTheme="minorEastAsia" w:hAnsi="Cambria Math"/>
                      <w:i/>
                      <w:lang w:val="en-US"/>
                    </w:rPr>
                  </m:ctrlPr>
                </m:dPr>
                <m:e>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1-X</m:t>
                      </m:r>
                    </m:den>
                  </m:f>
                  <m:r>
                    <w:rPr>
                      <w:rFonts w:ascii="Cambria Math" w:eastAsiaTheme="minorEastAsia" w:hAnsi="Cambria Math"/>
                      <w:lang w:val="en-US"/>
                    </w:rPr>
                    <m:t xml:space="preserve"> </m:t>
                  </m:r>
                </m:e>
              </m:d>
            </m:e>
          </m:func>
        </m:oMath>
      </m:oMathPara>
    </w:p>
    <w:p w14:paraId="6078E5F7" w14:textId="77777777" w:rsidR="00092E5F" w:rsidRDefault="00000000">
      <w:pPr>
        <w:spacing w:line="360" w:lineRule="auto"/>
        <w:jc w:val="both"/>
        <w:rPr>
          <w:rFonts w:cs="Times New Roman"/>
          <w:lang w:val="en-US"/>
        </w:rPr>
      </w:pPr>
      <w:r>
        <w:rPr>
          <w:rFonts w:cs="Times New Roman"/>
          <w:lang w:val="en-US"/>
        </w:rPr>
        <w:t>For our TWL system, rate constants were calculated using the Arrhenius equation and experimentally estimated kinetic parameters and tungsten wire temperature.</w:t>
      </w:r>
    </w:p>
    <w:p w14:paraId="388843BD" w14:textId="77777777" w:rsidR="00092E5F" w:rsidRDefault="00092E5F">
      <w:pPr>
        <w:spacing w:line="360" w:lineRule="auto"/>
        <w:jc w:val="both"/>
        <w:rPr>
          <w:rFonts w:cs="Times New Roman"/>
          <w:lang w:val="en-US"/>
        </w:rPr>
      </w:pPr>
    </w:p>
    <w:p w14:paraId="191B2EF1" w14:textId="77777777" w:rsidR="00092E5F" w:rsidRDefault="00000000">
      <w:pPr>
        <w:pStyle w:val="Heading3"/>
        <w:rPr>
          <w:lang w:val="en-US"/>
        </w:rPr>
      </w:pPr>
      <w:bookmarkStart w:id="3" w:name="_Toc182485377"/>
      <w:r>
        <w:rPr>
          <w:lang w:val="en-US"/>
        </w:rPr>
        <w:t>Text S2: Theoretical tungsten wire temperature estimation</w:t>
      </w:r>
      <w:bookmarkEnd w:id="3"/>
      <w:r>
        <w:rPr>
          <w:lang w:val="en-US"/>
        </w:rPr>
        <w:t xml:space="preserve"> </w:t>
      </w:r>
    </w:p>
    <w:p w14:paraId="42E490D8" w14:textId="77777777" w:rsidR="00092E5F" w:rsidRDefault="00000000">
      <w:pPr>
        <w:spacing w:line="360" w:lineRule="auto"/>
        <w:ind w:firstLine="720"/>
        <w:jc w:val="both"/>
        <w:rPr>
          <w:rFonts w:cs="Times New Roman"/>
          <w:lang w:val="en-US"/>
        </w:rPr>
      </w:pPr>
      <w:r>
        <w:rPr>
          <w:rFonts w:cs="Times New Roman"/>
          <w:lang w:val="en-US"/>
        </w:rPr>
        <w:t>The tungsten wire temperature can be estimated based on the relation between resistivity and temperature</w:t>
      </w:r>
      <w:r>
        <w:rPr>
          <w:rFonts w:cs="Times New Roman"/>
          <w:lang w:val="en-US"/>
        </w:rPr>
        <w:fldChar w:fldCharType="begin"/>
      </w:r>
      <w:r>
        <w:rPr>
          <w:rFonts w:cs="Times New Roman"/>
          <w:lang w:val="en-US"/>
        </w:rPr>
        <w:instrText xml:space="preserve"> ADDIN EN.CITE &lt;EndNote&gt;&lt;Cite&gt;&lt;Author&gt;Logerais&lt;/Author&gt;&lt;Year&gt;2008&lt;/Year&gt;&lt;RecNum&gt;484&lt;/RecNum&gt;&lt;DisplayText&gt;&lt;style face="superscript"&gt;3&lt;/style&gt;&lt;/DisplayText&gt;&lt;record&gt;&lt;rec-number&gt;484&lt;/rec-number&gt;&lt;foreign-keys&gt;&lt;key app="EN" db-id="s5z2zsz04waeexe29v3pzvfl2x5z0s5f0vvs" timestamp="1715928339"&gt;484&lt;/key&gt;&lt;/foreign-keys&gt;&lt;ref-type name="Journal Article"&gt;17&lt;/ref-type&gt;&lt;contributors&gt;&lt;authors&gt;&lt;author&gt;Logerais, P. O.&lt;/author&gt;&lt;author&gt;Chapron, D.&lt;/author&gt;&lt;author&gt;Garnier, J.&lt;/author&gt;&lt;author&gt;Bouteville, A.&lt;/author&gt;&lt;/authors&gt;&lt;/contributors&gt;&lt;titles&gt;&lt;title&gt;Validation of a Rapid Thermal Processing model in steady-state&lt;/title&gt;&lt;secondary-title&gt;Microelectronic Engineering&lt;/secondary-title&gt;&lt;/titles&gt;&lt;periodical&gt;&lt;full-title&gt;Microelectronic Engineering&lt;/full-title&gt;&lt;abbr-1&gt;Microelectron. Eng.&lt;/abbr-1&gt;&lt;abbr-2&gt;Microelectron Eng&lt;/abbr-2&gt;&lt;/periodical&gt;&lt;pages&gt;2282-2289&lt;/pages&gt;&lt;volume&gt;85&lt;/volume&gt;&lt;number&gt;11&lt;/number&gt;&lt;section&gt;2282&lt;/section&gt;&lt;dates&gt;&lt;year&gt;2008&lt;/year&gt;&lt;/dates&gt;&lt;isbn&gt;01679317&lt;/isbn&gt;&lt;urls&gt;&lt;/urls&gt;&lt;electronic-resource-num&gt;10.1016/j.mee.2008.07.012&lt;/electronic-resource-num&gt;&lt;/record&gt;&lt;/Cite&gt;&lt;/EndNote&gt;</w:instrText>
      </w:r>
      <w:r>
        <w:rPr>
          <w:rFonts w:cs="Times New Roman"/>
          <w:lang w:val="en-US"/>
        </w:rPr>
        <w:fldChar w:fldCharType="separate"/>
      </w:r>
      <w:r>
        <w:rPr>
          <w:rFonts w:cs="Times New Roman"/>
          <w:vertAlign w:val="superscript"/>
          <w:lang w:val="en-US"/>
        </w:rPr>
        <w:t>3</w:t>
      </w:r>
      <w:r>
        <w:rPr>
          <w:rFonts w:cs="Times New Roman"/>
          <w:lang w:val="en-US"/>
        </w:rPr>
        <w:fldChar w:fldCharType="end"/>
      </w:r>
      <w:r>
        <w:rPr>
          <w:rFonts w:cs="Times New Roman"/>
          <w:lang w:val="en-US"/>
        </w:rPr>
        <w:t xml:space="preserve">. Resistivity </w:t>
      </w:r>
      <m:oMath>
        <m:r>
          <w:rPr>
            <w:rFonts w:ascii="Cambria Math" w:hAnsi="Cambria Math" w:cs="Times New Roman"/>
            <w:lang w:val="en-US"/>
          </w:rPr>
          <m:t>ρ</m:t>
        </m:r>
      </m:oMath>
      <w:r>
        <w:rPr>
          <w:rFonts w:eastAsiaTheme="minorEastAsia" w:cs="Times New Roman"/>
          <w:lang w:val="en-US"/>
        </w:rPr>
        <w:t xml:space="preserve"> </w:t>
      </w:r>
      <w:r>
        <w:rPr>
          <w:rFonts w:cs="Times New Roman"/>
          <w:lang w:val="en-US"/>
        </w:rPr>
        <w:t>of tungsten at a given temperature can be calculated by:</w:t>
      </w:r>
    </w:p>
    <w:p w14:paraId="55957846" w14:textId="77777777" w:rsidR="00092E5F" w:rsidRDefault="00000000">
      <w:pPr>
        <w:spacing w:line="360" w:lineRule="auto"/>
        <w:ind w:firstLine="720"/>
        <w:jc w:val="both"/>
        <w:rPr>
          <w:rFonts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ρ=ρ</m:t>
              </m:r>
            </m:e>
            <m:sub>
              <m:r>
                <w:rPr>
                  <w:rFonts w:ascii="Cambria Math" w:hAnsi="Cambria Math" w:cs="Times New Roman"/>
                  <w:lang w:val="en-US"/>
                </w:rPr>
                <m:t>0</m:t>
              </m:r>
            </m:sub>
          </m:sSub>
          <m:d>
            <m:dPr>
              <m:ctrlPr>
                <w:rPr>
                  <w:rFonts w:ascii="Cambria Math" w:hAnsi="Cambria Math" w:cs="Times New Roman"/>
                  <w:i/>
                  <w:lang w:val="en-US"/>
                </w:rPr>
              </m:ctrlPr>
            </m:dPr>
            <m:e>
              <m:r>
                <w:rPr>
                  <w:rFonts w:ascii="Cambria Math" w:hAnsi="Cambria Math" w:cs="Times New Roman"/>
                  <w:lang w:val="en-US"/>
                </w:rPr>
                <m:t>1+α</m:t>
              </m:r>
              <m:d>
                <m:dPr>
                  <m:ctrlPr>
                    <w:rPr>
                      <w:rFonts w:ascii="Cambria Math" w:hAnsi="Cambria Math" w:cs="Times New Roman"/>
                      <w:i/>
                      <w:lang w:val="en-US"/>
                    </w:rPr>
                  </m:ctrlPr>
                </m:dPr>
                <m:e>
                  <m:r>
                    <w:rPr>
                      <w:rFonts w:ascii="Cambria Math" w:hAnsi="Cambria Math" w:cs="Times New Roman"/>
                      <w:lang w:val="en-US"/>
                    </w:rPr>
                    <m:t>T-</m:t>
                  </m:r>
                  <m:sSub>
                    <m:sSubPr>
                      <m:ctrlPr>
                        <w:rPr>
                          <w:rFonts w:ascii="Cambria Math" w:hAnsi="Cambria Math" w:cs="Times New Roman"/>
                          <w:i/>
                          <w:lang w:val="en-US"/>
                        </w:rPr>
                      </m:ctrlPr>
                    </m:sSubPr>
                    <m:e>
                      <m:r>
                        <w:rPr>
                          <w:rFonts w:ascii="Cambria Math" w:hAnsi="Cambria Math" w:cs="Times New Roman"/>
                          <w:lang w:val="en-US"/>
                        </w:rPr>
                        <m:t>T</m:t>
                      </m:r>
                    </m:e>
                    <m:sub>
                      <m:r>
                        <w:rPr>
                          <w:rFonts w:ascii="Cambria Math" w:hAnsi="Cambria Math" w:cs="Times New Roman"/>
                          <w:lang w:val="en-US"/>
                        </w:rPr>
                        <m:t>ref</m:t>
                      </m:r>
                    </m:sub>
                  </m:sSub>
                </m:e>
              </m:d>
            </m:e>
          </m:d>
        </m:oMath>
      </m:oMathPara>
    </w:p>
    <w:p w14:paraId="6233EC0C" w14:textId="77777777" w:rsidR="00092E5F" w:rsidRDefault="00000000">
      <w:pPr>
        <w:spacing w:line="360" w:lineRule="auto"/>
        <w:jc w:val="both"/>
        <w:rPr>
          <w:rFonts w:eastAsiaTheme="minorEastAsia" w:cs="Times New Roman"/>
          <w:lang w:val="en-US"/>
        </w:rPr>
      </w:pPr>
      <w:r>
        <w:rPr>
          <w:rFonts w:eastAsiaTheme="minorEastAsia" w:cs="Times New Roman"/>
          <w:lang w:val="en-US"/>
        </w:rPr>
        <w:t xml:space="preserve">The reference resistivity of tungsten </w:t>
      </w:r>
      <m:oMath>
        <m:sSub>
          <m:sSubPr>
            <m:ctrlPr>
              <w:rPr>
                <w:rFonts w:ascii="Cambria Math" w:hAnsi="Cambria Math" w:cs="Times New Roman"/>
                <w:i/>
                <w:lang w:val="en-US"/>
              </w:rPr>
            </m:ctrlPr>
          </m:sSubPr>
          <m:e>
            <m:r>
              <w:rPr>
                <w:rFonts w:ascii="Cambria Math" w:hAnsi="Cambria Math" w:cs="Times New Roman"/>
                <w:lang w:val="en-US"/>
              </w:rPr>
              <m:t>ρ</m:t>
            </m:r>
          </m:e>
          <m:sub>
            <m:r>
              <w:rPr>
                <w:rFonts w:ascii="Cambria Math" w:hAnsi="Cambria Math" w:cs="Times New Roman"/>
                <w:lang w:val="en-US"/>
              </w:rPr>
              <m:t>0</m:t>
            </m:r>
          </m:sub>
        </m:sSub>
      </m:oMath>
      <w:r>
        <w:rPr>
          <w:rFonts w:eastAsiaTheme="minorEastAsia" w:cs="Times New Roman"/>
          <w:lang w:val="en-US"/>
        </w:rPr>
        <w:t xml:space="preserve"> at the reference temperature of 293 K is </w:t>
      </w:r>
      <m:oMath>
        <m:r>
          <w:rPr>
            <w:rFonts w:ascii="Cambria Math" w:hAnsi="Cambria Math" w:cs="Times New Roman"/>
            <w:lang w:val="en-US"/>
          </w:rPr>
          <m:t>5.6×</m:t>
        </m:r>
        <m:sSup>
          <m:sSupPr>
            <m:ctrlPr>
              <w:rPr>
                <w:rFonts w:ascii="Cambria Math" w:hAnsi="Cambria Math" w:cs="Times New Roman"/>
                <w:i/>
                <w:lang w:val="en-US"/>
              </w:rPr>
            </m:ctrlPr>
          </m:sSupPr>
          <m:e>
            <m:r>
              <w:rPr>
                <w:rFonts w:ascii="Cambria Math" w:hAnsi="Cambria Math" w:cs="Times New Roman"/>
                <w:lang w:val="en-US"/>
              </w:rPr>
              <m:t>10</m:t>
            </m:r>
          </m:e>
          <m:sup>
            <m:r>
              <w:rPr>
                <w:rFonts w:ascii="Cambria Math" w:hAnsi="Cambria Math" w:cs="Times New Roman"/>
                <w:lang w:val="en-US"/>
              </w:rPr>
              <m:t>-8</m:t>
            </m:r>
          </m:sup>
        </m:sSup>
        <m:r>
          <w:rPr>
            <w:rFonts w:ascii="Cambria Math" w:eastAsiaTheme="minorEastAsia" w:hAnsi="Cambria Math" w:cs="Times New Roman"/>
            <w:lang w:val="en-US"/>
          </w:rPr>
          <m:t xml:space="preserve"> </m:t>
        </m:r>
        <m:r>
          <m:rPr>
            <m:sty m:val="p"/>
          </m:rPr>
          <w:rPr>
            <w:rFonts w:ascii="Cambria Math" w:eastAsiaTheme="minorEastAsia" w:hAnsi="Cambria Math" w:cs="Times New Roman"/>
            <w:lang w:val="en-US"/>
          </w:rPr>
          <m:t>Ω</m:t>
        </m:r>
        <m:r>
          <w:rPr>
            <w:rFonts w:ascii="Cambria Math" w:eastAsiaTheme="minorEastAsia" w:hAnsi="Cambria Math" w:cs="Times New Roman"/>
            <w:lang w:val="en-US"/>
          </w:rPr>
          <m:t xml:space="preserve"> m</m:t>
        </m:r>
      </m:oMath>
      <w:r>
        <w:rPr>
          <w:rFonts w:eastAsiaTheme="minorEastAsia" w:cs="Times New Roman"/>
          <w:lang w:val="en-US"/>
        </w:rPr>
        <w:t xml:space="preserve">, and the temperature coefficient </w:t>
      </w:r>
      <m:oMath>
        <m:r>
          <w:rPr>
            <w:rFonts w:ascii="Cambria Math" w:hAnsi="Cambria Math" w:cs="Times New Roman"/>
            <w:lang w:val="en-US"/>
          </w:rPr>
          <m:t>α</m:t>
        </m:r>
      </m:oMath>
      <w:r>
        <w:rPr>
          <w:rFonts w:eastAsiaTheme="minorEastAsia" w:cs="Times New Roman"/>
          <w:lang w:val="en-US"/>
        </w:rPr>
        <w:t xml:space="preserve"> is 0.0045 K</w:t>
      </w:r>
      <w:r>
        <w:rPr>
          <w:rFonts w:eastAsiaTheme="minorEastAsia" w:cs="Times New Roman"/>
          <w:vertAlign w:val="superscript"/>
          <w:lang w:val="en-US"/>
        </w:rPr>
        <w:t>-1</w:t>
      </w:r>
      <w:r>
        <w:rPr>
          <w:rFonts w:eastAsiaTheme="minorEastAsia" w:cs="Times New Roman"/>
          <w:lang w:val="en-US"/>
        </w:rPr>
        <w:t xml:space="preserve">. A relation between resistivity and temperature can then be obtained: </w:t>
      </w:r>
    </w:p>
    <w:p w14:paraId="7CF3614C" w14:textId="77777777" w:rsidR="00092E5F" w:rsidRDefault="00000000">
      <w:pPr>
        <w:spacing w:line="360" w:lineRule="auto"/>
        <w:ind w:firstLine="720"/>
        <w:jc w:val="both"/>
        <w:rPr>
          <w:rFonts w:cs="Times New Roman"/>
          <w:lang w:val="en-US"/>
        </w:rPr>
      </w:pPr>
      <w:r>
        <w:rPr>
          <w:rFonts w:cs="Times New Roman"/>
          <w:noProof/>
          <w:lang w:val="en-US"/>
        </w:rPr>
        <w:drawing>
          <wp:inline distT="0" distB="0" distL="0" distR="0" wp14:anchorId="7EF03FAA" wp14:editId="61C75AC9">
            <wp:extent cx="5027930" cy="2152650"/>
            <wp:effectExtent l="0" t="0" r="1270" b="6350"/>
            <wp:docPr id="505294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29421" name="Picture 2"/>
                    <pic:cNvPicPr>
                      <a:picLocks noChangeAspect="1"/>
                    </pic:cNvPicPr>
                  </pic:nvPicPr>
                  <pic:blipFill>
                    <a:blip r:embed="rId8" cstate="print">
                      <a:extLst>
                        <a:ext uri="{28A0092B-C50C-407E-A947-70E740481C1C}">
                          <a14:useLocalDpi xmlns:a14="http://schemas.microsoft.com/office/drawing/2010/main" val="0"/>
                        </a:ext>
                      </a:extLst>
                    </a:blip>
                    <a:srcRect t="9138" b="3916"/>
                    <a:stretch>
                      <a:fillRect/>
                    </a:stretch>
                  </pic:blipFill>
                  <pic:spPr>
                    <a:xfrm>
                      <a:off x="0" y="0"/>
                      <a:ext cx="5029200" cy="2153207"/>
                    </a:xfrm>
                    <a:prstGeom prst="rect">
                      <a:avLst/>
                    </a:prstGeom>
                    <a:ln>
                      <a:noFill/>
                    </a:ln>
                  </pic:spPr>
                </pic:pic>
              </a:graphicData>
            </a:graphic>
          </wp:inline>
        </w:drawing>
      </w:r>
    </w:p>
    <w:p w14:paraId="1FE891C1" w14:textId="77777777" w:rsidR="00092E5F" w:rsidRDefault="00000000">
      <w:pPr>
        <w:spacing w:line="360" w:lineRule="auto"/>
        <w:jc w:val="both"/>
        <w:rPr>
          <w:rFonts w:cs="Times New Roman"/>
          <w:lang w:val="en-US"/>
        </w:rPr>
      </w:pPr>
      <w:r>
        <w:rPr>
          <w:rFonts w:cs="Times New Roman"/>
          <w:lang w:val="en-US"/>
        </w:rPr>
        <w:t xml:space="preserve">Resistance can be obtained through Ohm’s Law: </w:t>
      </w:r>
    </w:p>
    <w:p w14:paraId="382C573B" w14:textId="77777777" w:rsidR="00092E5F" w:rsidRDefault="00000000">
      <w:pPr>
        <w:spacing w:line="360" w:lineRule="auto"/>
        <w:jc w:val="both"/>
        <w:rPr>
          <w:rFonts w:cs="Times New Roman"/>
          <w:lang w:val="en-US"/>
        </w:rPr>
      </w:pPr>
      <m:oMathPara>
        <m:oMath>
          <m:r>
            <w:rPr>
              <w:rFonts w:ascii="Cambria Math" w:hAnsi="Cambria Math" w:cs="Times New Roman"/>
              <w:lang w:val="en-US"/>
            </w:rPr>
            <m:t>R=</m:t>
          </m:r>
          <m:f>
            <m:fPr>
              <m:ctrlPr>
                <w:rPr>
                  <w:rFonts w:ascii="Cambria Math" w:hAnsi="Cambria Math" w:cs="Times New Roman"/>
                  <w:i/>
                  <w:lang w:val="en-US"/>
                </w:rPr>
              </m:ctrlPr>
            </m:fPr>
            <m:num>
              <m:r>
                <w:rPr>
                  <w:rFonts w:ascii="Cambria Math" w:hAnsi="Cambria Math" w:cs="Times New Roman"/>
                  <w:lang w:val="en-US"/>
                </w:rPr>
                <m:t>V</m:t>
              </m:r>
            </m:num>
            <m:den>
              <m:r>
                <w:rPr>
                  <w:rFonts w:ascii="Cambria Math" w:hAnsi="Cambria Math" w:cs="Times New Roman"/>
                  <w:lang w:val="en-US"/>
                </w:rPr>
                <m:t>I</m:t>
              </m:r>
            </m:den>
          </m:f>
        </m:oMath>
      </m:oMathPara>
    </w:p>
    <w:p w14:paraId="181B3C2A" w14:textId="77777777" w:rsidR="00092E5F" w:rsidRDefault="00000000">
      <w:pPr>
        <w:spacing w:line="360" w:lineRule="auto"/>
        <w:jc w:val="both"/>
        <w:rPr>
          <w:rFonts w:cs="Times New Roman"/>
          <w:lang w:val="en-US"/>
        </w:rPr>
      </w:pPr>
      <w:r>
        <w:rPr>
          <w:rFonts w:cs="Times New Roman"/>
          <w:lang w:val="en-US"/>
        </w:rPr>
        <w:t xml:space="preserve">And, through a relation with resistivity and wire length </w:t>
      </w:r>
      <w:r>
        <w:rPr>
          <w:rFonts w:cs="Times New Roman"/>
          <w:i/>
          <w:iCs/>
          <w:lang w:val="en-US"/>
        </w:rPr>
        <w:t xml:space="preserve">L </w:t>
      </w:r>
      <w:r>
        <w:rPr>
          <w:rFonts w:cs="Times New Roman"/>
          <w:lang w:val="en-US"/>
        </w:rPr>
        <w:t xml:space="preserve">and cross-sectional area </w:t>
      </w:r>
      <w:r>
        <w:rPr>
          <w:rFonts w:cs="Times New Roman"/>
          <w:i/>
          <w:iCs/>
          <w:lang w:val="en-US"/>
        </w:rPr>
        <w:t>A</w:t>
      </w:r>
      <w:r>
        <w:rPr>
          <w:rFonts w:cs="Times New Roman"/>
          <w:lang w:val="en-US"/>
        </w:rPr>
        <w:t xml:space="preserve">: </w:t>
      </w:r>
    </w:p>
    <w:p w14:paraId="67DFE6E8" w14:textId="77777777" w:rsidR="00092E5F" w:rsidRDefault="00000000">
      <w:pPr>
        <w:spacing w:line="360" w:lineRule="auto"/>
        <w:jc w:val="both"/>
        <w:rPr>
          <w:rFonts w:cs="Times New Roman"/>
          <w:lang w:val="en-US"/>
        </w:rPr>
      </w:pPr>
      <m:oMathPara>
        <m:oMath>
          <m:r>
            <w:rPr>
              <w:rFonts w:ascii="Cambria Math" w:hAnsi="Cambria Math" w:cs="Times New Roman"/>
              <w:lang w:val="en-US"/>
            </w:rPr>
            <m:t>R=</m:t>
          </m:r>
          <m:f>
            <m:fPr>
              <m:ctrlPr>
                <w:rPr>
                  <w:rFonts w:ascii="Cambria Math" w:hAnsi="Cambria Math" w:cs="Times New Roman"/>
                  <w:i/>
                  <w:lang w:val="en-US"/>
                </w:rPr>
              </m:ctrlPr>
            </m:fPr>
            <m:num>
              <m:r>
                <w:rPr>
                  <w:rFonts w:ascii="Cambria Math" w:hAnsi="Cambria Math" w:cs="Times New Roman"/>
                  <w:lang w:val="en-US"/>
                </w:rPr>
                <m:t>ρL</m:t>
              </m:r>
            </m:num>
            <m:den>
              <m:r>
                <w:rPr>
                  <w:rFonts w:ascii="Cambria Math" w:hAnsi="Cambria Math" w:cs="Times New Roman"/>
                  <w:lang w:val="en-US"/>
                </w:rPr>
                <m:t>A</m:t>
              </m:r>
            </m:den>
          </m:f>
        </m:oMath>
      </m:oMathPara>
    </w:p>
    <w:p w14:paraId="13AA2F58" w14:textId="77777777" w:rsidR="00092E5F" w:rsidRDefault="00000000">
      <w:pPr>
        <w:spacing w:line="360" w:lineRule="auto"/>
        <w:jc w:val="both"/>
        <w:rPr>
          <w:rFonts w:cs="Times New Roman"/>
          <w:lang w:val="en-US"/>
        </w:rPr>
      </w:pPr>
      <w:r>
        <w:rPr>
          <w:rFonts w:cs="Times New Roman"/>
          <w:lang w:val="en-US"/>
        </w:rPr>
        <w:t xml:space="preserve">Combining these two equations with the relation between tungsten resistivity and temperature then gives the following expression for temperature: </w:t>
      </w:r>
    </w:p>
    <w:commentRangeStart w:id="4"/>
    <w:p w14:paraId="02E70D60" w14:textId="77777777" w:rsidR="00092E5F" w:rsidRDefault="00000000">
      <w:pPr>
        <w:spacing w:line="360" w:lineRule="auto"/>
        <w:jc w:val="center"/>
        <w:rPr>
          <w:rFonts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T</m:t>
              </m:r>
            </m:e>
            <m:sub>
              <m:r>
                <w:rPr>
                  <w:rFonts w:ascii="Cambria Math" w:hAnsi="Cambria Math" w:cs="Times New Roman"/>
                  <w:lang w:val="en-US"/>
                </w:rPr>
                <m:t>W</m:t>
              </m:r>
            </m:sub>
          </m:sSub>
          <m:r>
            <w:rPr>
              <w:rFonts w:ascii="Cambria Math" w:hAnsi="Cambria Math" w:cs="Times New Roman"/>
              <w:lang w:val="en-US"/>
            </w:rPr>
            <m:t>=</m:t>
          </m:r>
          <m:sSup>
            <m:sSupPr>
              <m:ctrlPr>
                <w:rPr>
                  <w:rFonts w:ascii="Cambria Math" w:hAnsi="Cambria Math" w:cs="Times New Roman"/>
                  <w:i/>
                  <w:lang w:val="en-US"/>
                </w:rPr>
              </m:ctrlPr>
            </m:sSupPr>
            <m:e>
              <m:d>
                <m:dPr>
                  <m:ctrlPr>
                    <w:rPr>
                      <w:rFonts w:ascii="Cambria Math" w:hAnsi="Cambria Math" w:cs="Times New Roman"/>
                      <w:i/>
                      <w:lang w:val="en-US"/>
                    </w:rPr>
                  </m:ctrlPr>
                </m:dPr>
                <m:e>
                  <m:f>
                    <m:fPr>
                      <m:ctrlPr>
                        <w:rPr>
                          <w:rFonts w:ascii="Cambria Math" w:hAnsi="Cambria Math" w:cs="Times New Roman"/>
                          <w:i/>
                          <w:lang w:val="en-US"/>
                        </w:rPr>
                      </m:ctrlPr>
                    </m:fPr>
                    <m:num>
                      <m:r>
                        <w:rPr>
                          <w:rFonts w:ascii="Cambria Math" w:hAnsi="Cambria Math" w:cs="Times New Roman"/>
                          <w:lang w:val="en-US"/>
                        </w:rPr>
                        <m:t>V×A</m:t>
                      </m:r>
                    </m:num>
                    <m:den>
                      <m:r>
                        <w:rPr>
                          <w:rFonts w:ascii="Cambria Math" w:hAnsi="Cambria Math" w:cs="Times New Roman"/>
                          <w:lang w:val="en-US"/>
                        </w:rPr>
                        <m:t>1.74×</m:t>
                      </m:r>
                      <m:sSup>
                        <m:sSupPr>
                          <m:ctrlPr>
                            <w:rPr>
                              <w:rFonts w:ascii="Cambria Math" w:hAnsi="Cambria Math" w:cs="Times New Roman"/>
                              <w:i/>
                              <w:lang w:val="en-US"/>
                            </w:rPr>
                          </m:ctrlPr>
                        </m:sSupPr>
                        <m:e>
                          <m:r>
                            <w:rPr>
                              <w:rFonts w:ascii="Cambria Math" w:hAnsi="Cambria Math" w:cs="Times New Roman"/>
                              <w:lang w:val="en-US"/>
                            </w:rPr>
                            <m:t>10</m:t>
                          </m:r>
                        </m:e>
                        <m:sup>
                          <m:r>
                            <w:rPr>
                              <w:rFonts w:ascii="Cambria Math" w:hAnsi="Cambria Math" w:cs="Times New Roman"/>
                              <w:lang w:val="en-US"/>
                            </w:rPr>
                            <m:t>-10</m:t>
                          </m:r>
                        </m:sup>
                      </m:sSup>
                      <m:r>
                        <w:rPr>
                          <w:rFonts w:ascii="Cambria Math" w:hAnsi="Cambria Math" w:cs="Times New Roman"/>
                          <w:lang w:val="en-US"/>
                        </w:rPr>
                        <m:t>×I×L</m:t>
                      </m:r>
                    </m:den>
                  </m:f>
                </m:e>
              </m:d>
            </m:e>
            <m:sup>
              <m:f>
                <m:fPr>
                  <m:ctrlPr>
                    <w:rPr>
                      <w:rFonts w:ascii="Cambria Math" w:hAnsi="Cambria Math" w:cs="Times New Roman"/>
                      <w:i/>
                      <w:lang w:val="en-US"/>
                    </w:rPr>
                  </m:ctrlPr>
                </m:fPr>
                <m:num>
                  <m:r>
                    <w:rPr>
                      <w:rFonts w:ascii="Cambria Math" w:hAnsi="Cambria Math" w:cs="Times New Roman"/>
                      <w:lang w:val="en-US"/>
                    </w:rPr>
                    <m:t>1</m:t>
                  </m:r>
                </m:num>
                <m:den>
                  <m:r>
                    <w:rPr>
                      <w:rFonts w:ascii="Cambria Math" w:hAnsi="Cambria Math" w:cs="Times New Roman"/>
                      <w:lang w:val="en-US"/>
                    </w:rPr>
                    <m:t>1.044</m:t>
                  </m:r>
                </m:den>
              </m:f>
            </m:sup>
          </m:sSup>
          <w:commentRangeEnd w:id="4"/>
          <m:r>
            <m:rPr>
              <m:sty m:val="p"/>
            </m:rPr>
            <w:rPr>
              <w:rStyle w:val="CommentReference"/>
              <w:rFonts w:asciiTheme="minorHAnsi" w:eastAsiaTheme="minorEastAsia" w:hAnsiTheme="minorHAnsi"/>
            </w:rPr>
            <w:commentReference w:id="4"/>
          </m:r>
        </m:oMath>
      </m:oMathPara>
    </w:p>
    <w:p w14:paraId="74F8DD82" w14:textId="77777777" w:rsidR="00092E5F" w:rsidRDefault="00092E5F">
      <w:pPr>
        <w:spacing w:line="360" w:lineRule="auto"/>
        <w:rPr>
          <w:lang w:val="en-US"/>
        </w:rPr>
      </w:pPr>
    </w:p>
    <w:p w14:paraId="0A56C8EE" w14:textId="77777777" w:rsidR="00092E5F" w:rsidRDefault="00000000">
      <w:pPr>
        <w:pStyle w:val="Heading3"/>
        <w:rPr>
          <w:lang w:val="en-US"/>
        </w:rPr>
      </w:pPr>
      <w:bookmarkStart w:id="5" w:name="_Toc182485378"/>
      <w:r>
        <w:rPr>
          <w:lang w:val="en-US"/>
        </w:rPr>
        <w:lastRenderedPageBreak/>
        <w:t>Text S3: Calculations of energy efficiency</w:t>
      </w:r>
      <w:bookmarkEnd w:id="5"/>
      <w:r>
        <w:rPr>
          <w:lang w:val="en-US"/>
        </w:rPr>
        <w:t xml:space="preserve"> </w:t>
      </w:r>
    </w:p>
    <w:p w14:paraId="3E6710E0" w14:textId="77777777" w:rsidR="00092E5F" w:rsidRDefault="00000000">
      <w:pPr>
        <w:spacing w:line="360" w:lineRule="auto"/>
        <w:ind w:firstLine="720"/>
        <w:jc w:val="both"/>
        <w:textAlignment w:val="baseline"/>
        <w:rPr>
          <w:rFonts w:eastAsia="Times New Roman" w:cs="Times New Roman"/>
          <w:kern w:val="0"/>
          <w:lang w:eastAsia="en-GB"/>
          <w14:ligatures w14:val="none"/>
        </w:rPr>
      </w:pPr>
      <w:r>
        <w:rPr>
          <w:rFonts w:eastAsia="Times New Roman" w:cs="Times New Roman"/>
          <w:kern w:val="0"/>
          <w:lang w:val="en-US" w:eastAsia="en-GB"/>
          <w14:ligatures w14:val="none"/>
        </w:rPr>
        <w:t>Hydrogen production rate can be calculated from the conversion and flow rate:</w:t>
      </w:r>
      <w:r>
        <w:rPr>
          <w:rFonts w:eastAsia="Times New Roman" w:cs="Times New Roman"/>
          <w:kern w:val="0"/>
          <w:lang w:eastAsia="en-GB"/>
          <w14:ligatures w14:val="none"/>
        </w:rPr>
        <w:t> </w:t>
      </w:r>
    </w:p>
    <w:p w14:paraId="12FF46FB" w14:textId="77777777" w:rsidR="00092E5F" w:rsidRDefault="00000000">
      <w:pPr>
        <w:spacing w:line="360" w:lineRule="auto"/>
        <w:ind w:firstLine="720"/>
        <w:jc w:val="both"/>
        <w:textAlignment w:val="baseline"/>
        <w:rPr>
          <w:rFonts w:ascii="Segoe UI" w:eastAsia="Times New Roman" w:hAnsi="Segoe UI" w:cs="Segoe UI"/>
          <w:kern w:val="0"/>
          <w:lang w:eastAsia="en-GB"/>
          <w14:ligatures w14:val="none"/>
        </w:rPr>
      </w:pPr>
      <m:oMathPara>
        <m:oMath>
          <m:sSub>
            <m:sSubPr>
              <m:ctrlPr>
                <w:rPr>
                  <w:rFonts w:ascii="Cambria Math" w:eastAsia="Times New Roman" w:hAnsi="Cambria Math" w:cs="Segoe UI"/>
                  <w:i/>
                  <w:kern w:val="0"/>
                  <w:lang w:eastAsia="en-GB"/>
                  <w14:ligatures w14:val="none"/>
                </w:rPr>
              </m:ctrlPr>
            </m:sSubPr>
            <m:e>
              <m:r>
                <w:rPr>
                  <w:rFonts w:ascii="Cambria Math" w:eastAsia="Times New Roman" w:hAnsi="Cambria Math" w:cs="Segoe UI"/>
                  <w:kern w:val="0"/>
                  <w:lang w:eastAsia="en-GB"/>
                  <w14:ligatures w14:val="none"/>
                </w:rPr>
                <m:t>H</m:t>
              </m:r>
            </m:e>
            <m:sub>
              <m:r>
                <w:rPr>
                  <w:rFonts w:ascii="Cambria Math" w:eastAsia="Times New Roman" w:hAnsi="Cambria Math" w:cs="Segoe UI"/>
                  <w:kern w:val="0"/>
                  <w:lang w:eastAsia="en-GB"/>
                  <w14:ligatures w14:val="none"/>
                </w:rPr>
                <m:t>2</m:t>
              </m:r>
            </m:sub>
          </m:sSub>
          <m:r>
            <w:rPr>
              <w:rFonts w:ascii="Cambria Math" w:eastAsia="Times New Roman" w:hAnsi="Cambria Math" w:cs="Segoe UI"/>
              <w:kern w:val="0"/>
              <w:lang w:eastAsia="en-GB"/>
              <w14:ligatures w14:val="none"/>
            </w:rPr>
            <m:t xml:space="preserve"> production rate (mo</m:t>
          </m:r>
          <m:sSub>
            <m:sSubPr>
              <m:ctrlPr>
                <w:rPr>
                  <w:rFonts w:ascii="Cambria Math" w:eastAsia="Times New Roman" w:hAnsi="Cambria Math" w:cs="Segoe UI"/>
                  <w:i/>
                  <w:kern w:val="0"/>
                  <w:lang w:eastAsia="en-GB"/>
                  <w14:ligatures w14:val="none"/>
                </w:rPr>
              </m:ctrlPr>
            </m:sSubPr>
            <m:e>
              <m:r>
                <w:rPr>
                  <w:rFonts w:ascii="Cambria Math" w:eastAsia="Times New Roman" w:hAnsi="Cambria Math" w:cs="Segoe UI"/>
                  <w:kern w:val="0"/>
                  <w:lang w:eastAsia="en-GB"/>
                  <w14:ligatures w14:val="none"/>
                </w:rPr>
                <m:t>l</m:t>
              </m:r>
            </m:e>
            <m:sub>
              <m:sSub>
                <m:sSubPr>
                  <m:ctrlPr>
                    <w:rPr>
                      <w:rFonts w:ascii="Cambria Math" w:eastAsia="Times New Roman" w:hAnsi="Cambria Math" w:cs="Segoe UI"/>
                      <w:i/>
                      <w:kern w:val="0"/>
                      <w:lang w:eastAsia="en-GB"/>
                      <w14:ligatures w14:val="none"/>
                    </w:rPr>
                  </m:ctrlPr>
                </m:sSubPr>
                <m:e>
                  <m:r>
                    <w:rPr>
                      <w:rFonts w:ascii="Cambria Math" w:eastAsia="Times New Roman" w:hAnsi="Cambria Math" w:cs="Segoe UI"/>
                      <w:kern w:val="0"/>
                      <w:lang w:eastAsia="en-GB"/>
                      <w14:ligatures w14:val="none"/>
                    </w:rPr>
                    <m:t>H</m:t>
                  </m:r>
                </m:e>
                <m:sub>
                  <m:r>
                    <w:rPr>
                      <w:rFonts w:ascii="Cambria Math" w:eastAsia="Times New Roman" w:hAnsi="Cambria Math" w:cs="Segoe UI"/>
                      <w:kern w:val="0"/>
                      <w:lang w:eastAsia="en-GB"/>
                      <w14:ligatures w14:val="none"/>
                    </w:rPr>
                    <m:t>2</m:t>
                  </m:r>
                </m:sub>
              </m:sSub>
            </m:sub>
          </m:sSub>
          <m:sSubSup>
            <m:sSubSupPr>
              <m:ctrlPr>
                <w:rPr>
                  <w:rFonts w:ascii="Cambria Math" w:eastAsia="Times New Roman" w:hAnsi="Cambria Math" w:cs="Segoe UI"/>
                  <w:i/>
                  <w:kern w:val="0"/>
                  <w:lang w:eastAsia="en-GB"/>
                  <w14:ligatures w14:val="none"/>
                </w:rPr>
              </m:ctrlPr>
            </m:sSubSupPr>
            <m:e>
              <m:r>
                <w:rPr>
                  <w:rFonts w:ascii="Cambria Math" w:eastAsia="Times New Roman" w:hAnsi="Cambria Math" w:cs="Segoe UI"/>
                  <w:kern w:val="0"/>
                  <w:lang w:eastAsia="en-GB"/>
                  <w14:ligatures w14:val="none"/>
                </w:rPr>
                <m:t>g</m:t>
              </m:r>
            </m:e>
            <m:sub>
              <m:r>
                <w:rPr>
                  <w:rFonts w:ascii="Cambria Math" w:eastAsia="Times New Roman" w:hAnsi="Cambria Math" w:cs="Segoe UI"/>
                  <w:kern w:val="0"/>
                  <w:lang w:eastAsia="en-GB"/>
                  <w14:ligatures w14:val="none"/>
                </w:rPr>
                <m:t>cat</m:t>
              </m:r>
            </m:sub>
            <m:sup>
              <m:r>
                <w:rPr>
                  <w:rFonts w:ascii="Cambria Math" w:eastAsia="Times New Roman" w:hAnsi="Cambria Math" w:cs="Segoe UI"/>
                  <w:kern w:val="0"/>
                  <w:lang w:eastAsia="en-GB"/>
                  <w14:ligatures w14:val="none"/>
                </w:rPr>
                <m:t>-1</m:t>
              </m:r>
            </m:sup>
          </m:sSubSup>
          <m:sSup>
            <m:sSupPr>
              <m:ctrlPr>
                <w:rPr>
                  <w:rFonts w:ascii="Cambria Math" w:eastAsia="Times New Roman" w:hAnsi="Cambria Math" w:cs="Segoe UI"/>
                  <w:i/>
                  <w:kern w:val="0"/>
                  <w:lang w:eastAsia="en-GB"/>
                  <w14:ligatures w14:val="none"/>
                </w:rPr>
              </m:ctrlPr>
            </m:sSupPr>
            <m:e>
              <m:r>
                <w:rPr>
                  <w:rFonts w:ascii="Cambria Math" w:eastAsia="Times New Roman" w:hAnsi="Cambria Math" w:cs="Segoe UI"/>
                  <w:kern w:val="0"/>
                  <w:lang w:eastAsia="en-GB"/>
                  <w14:ligatures w14:val="none"/>
                </w:rPr>
                <m:t>h</m:t>
              </m:r>
            </m:e>
            <m:sup>
              <m:r>
                <w:rPr>
                  <w:rFonts w:ascii="Cambria Math" w:eastAsia="Times New Roman" w:hAnsi="Cambria Math" w:cs="Segoe UI"/>
                  <w:kern w:val="0"/>
                  <w:lang w:eastAsia="en-GB"/>
                  <w14:ligatures w14:val="none"/>
                </w:rPr>
                <m:t>-1</m:t>
              </m:r>
            </m:sup>
          </m:sSup>
          <m:r>
            <w:rPr>
              <w:rFonts w:ascii="Cambria Math" w:eastAsia="Times New Roman" w:hAnsi="Cambria Math" w:cs="Segoe UI"/>
              <w:kern w:val="0"/>
              <w:lang w:eastAsia="en-GB"/>
              <w14:ligatures w14:val="none"/>
            </w:rPr>
            <m:t>)=</m:t>
          </m:r>
          <m:f>
            <m:fPr>
              <m:ctrlPr>
                <w:rPr>
                  <w:rFonts w:ascii="Cambria Math" w:eastAsia="Times New Roman" w:hAnsi="Cambria Math" w:cs="Segoe UI"/>
                  <w:i/>
                  <w:kern w:val="0"/>
                  <w:lang w:eastAsia="en-GB"/>
                  <w14:ligatures w14:val="none"/>
                </w:rPr>
              </m:ctrlPr>
            </m:fPr>
            <m:num>
              <m:r>
                <w:rPr>
                  <w:rFonts w:ascii="Cambria Math" w:eastAsia="Times New Roman" w:hAnsi="Cambria Math" w:cs="Segoe UI"/>
                  <w:kern w:val="0"/>
                  <w:lang w:eastAsia="en-GB"/>
                  <w14:ligatures w14:val="none"/>
                </w:rPr>
                <m:t xml:space="preserve">X </m:t>
              </m:r>
              <m:d>
                <m:dPr>
                  <m:ctrlPr>
                    <w:rPr>
                      <w:rFonts w:ascii="Cambria Math" w:eastAsia="Times New Roman" w:hAnsi="Cambria Math" w:cs="Segoe UI"/>
                      <w:i/>
                      <w:kern w:val="0"/>
                      <w:lang w:eastAsia="en-GB"/>
                      <w14:ligatures w14:val="none"/>
                    </w:rPr>
                  </m:ctrlPr>
                </m:dPr>
                <m:e>
                  <m:r>
                    <w:rPr>
                      <w:rFonts w:ascii="Cambria Math" w:eastAsia="Times New Roman" w:hAnsi="Cambria Math" w:cs="Segoe UI"/>
                      <w:kern w:val="0"/>
                      <w:lang w:eastAsia="en-GB"/>
                      <w14:ligatures w14:val="none"/>
                    </w:rPr>
                    <m:t>%</m:t>
                  </m:r>
                </m:e>
              </m:d>
              <m:r>
                <w:rPr>
                  <w:rFonts w:ascii="Cambria Math" w:eastAsia="Times New Roman" w:hAnsi="Cambria Math" w:cs="Segoe UI"/>
                  <w:kern w:val="0"/>
                  <w:lang w:eastAsia="en-GB"/>
                  <w14:ligatures w14:val="none"/>
                </w:rPr>
                <m:t>×</m:t>
              </m:r>
              <m:sSub>
                <m:sSubPr>
                  <m:ctrlPr>
                    <w:rPr>
                      <w:rFonts w:ascii="Cambria Math" w:eastAsia="Times New Roman" w:hAnsi="Cambria Math" w:cs="Segoe UI"/>
                      <w:i/>
                      <w:kern w:val="0"/>
                      <w:lang w:eastAsia="en-GB"/>
                      <w14:ligatures w14:val="none"/>
                    </w:rPr>
                  </m:ctrlPr>
                </m:sSubPr>
                <m:e>
                  <m:r>
                    <w:rPr>
                      <w:rFonts w:ascii="Cambria Math" w:eastAsia="Times New Roman" w:hAnsi="Cambria Math" w:cs="Segoe UI"/>
                      <w:kern w:val="0"/>
                      <w:lang w:eastAsia="en-GB"/>
                      <w14:ligatures w14:val="none"/>
                    </w:rPr>
                    <m:t>F</m:t>
                  </m:r>
                </m:e>
                <m:sub>
                  <m:r>
                    <w:rPr>
                      <w:rFonts w:ascii="Cambria Math" w:eastAsia="Times New Roman" w:hAnsi="Cambria Math" w:cs="Segoe UI"/>
                      <w:kern w:val="0"/>
                      <w:lang w:eastAsia="en-GB"/>
                      <w14:ligatures w14:val="none"/>
                    </w:rPr>
                    <m:t>N</m:t>
                  </m:r>
                  <m:sSub>
                    <m:sSubPr>
                      <m:ctrlPr>
                        <w:rPr>
                          <w:rFonts w:ascii="Cambria Math" w:eastAsia="Times New Roman" w:hAnsi="Cambria Math" w:cs="Segoe UI"/>
                          <w:i/>
                          <w:kern w:val="0"/>
                          <w:lang w:eastAsia="en-GB"/>
                          <w14:ligatures w14:val="none"/>
                        </w:rPr>
                      </m:ctrlPr>
                    </m:sSubPr>
                    <m:e>
                      <m:r>
                        <w:rPr>
                          <w:rFonts w:ascii="Cambria Math" w:eastAsia="Times New Roman" w:hAnsi="Cambria Math" w:cs="Segoe UI"/>
                          <w:kern w:val="0"/>
                          <w:lang w:eastAsia="en-GB"/>
                          <w14:ligatures w14:val="none"/>
                        </w:rPr>
                        <m:t>H</m:t>
                      </m:r>
                    </m:e>
                    <m:sub>
                      <m:r>
                        <w:rPr>
                          <w:rFonts w:ascii="Cambria Math" w:eastAsia="Times New Roman" w:hAnsi="Cambria Math" w:cs="Segoe UI"/>
                          <w:kern w:val="0"/>
                          <w:lang w:eastAsia="en-GB"/>
                          <w14:ligatures w14:val="none"/>
                        </w:rPr>
                        <m:t>3</m:t>
                      </m:r>
                    </m:sub>
                  </m:sSub>
                </m:sub>
              </m:sSub>
              <m:r>
                <w:rPr>
                  <w:rFonts w:ascii="Cambria Math" w:eastAsia="Times New Roman" w:hAnsi="Cambria Math" w:cs="Segoe UI"/>
                  <w:kern w:val="0"/>
                  <w:lang w:eastAsia="en-GB"/>
                  <w14:ligatures w14:val="none"/>
                </w:rPr>
                <m:t>(mL</m:t>
              </m:r>
              <m:r>
                <m:rPr>
                  <m:sty m:val="p"/>
                </m:rPr>
                <w:rPr>
                  <w:rFonts w:ascii="Cambria Math" w:eastAsia="Times New Roman" w:hAnsi="Cambria Math" w:cs="Segoe UI"/>
                  <w:kern w:val="0"/>
                  <w:lang w:eastAsia="en-GB"/>
                  <w14:ligatures w14:val="none"/>
                </w:rPr>
                <m:t xml:space="preserve"> </m:t>
              </m:r>
              <m:sSup>
                <m:sSupPr>
                  <m:ctrlPr>
                    <w:rPr>
                      <w:rFonts w:ascii="Cambria Math" w:eastAsia="Times New Roman" w:hAnsi="Cambria Math" w:cs="Segoe UI"/>
                      <w:kern w:val="0"/>
                      <w:lang w:eastAsia="en-GB"/>
                      <w14:ligatures w14:val="none"/>
                    </w:rPr>
                  </m:ctrlPr>
                </m:sSupPr>
                <m:e>
                  <m:r>
                    <m:rPr>
                      <m:sty m:val="p"/>
                    </m:rPr>
                    <w:rPr>
                      <w:rFonts w:ascii="Cambria Math" w:eastAsia="Times New Roman" w:hAnsi="Cambria Math" w:cs="Segoe UI"/>
                      <w:kern w:val="0"/>
                      <w:lang w:eastAsia="en-GB"/>
                      <w14:ligatures w14:val="none"/>
                    </w:rPr>
                    <m:t>h</m:t>
                  </m:r>
                </m:e>
                <m:sup>
                  <m:r>
                    <m:rPr>
                      <m:sty m:val="p"/>
                    </m:rPr>
                    <w:rPr>
                      <w:rFonts w:ascii="Cambria Math" w:eastAsia="Times New Roman" w:hAnsi="Cambria Math" w:cs="Segoe UI"/>
                      <w:kern w:val="0"/>
                      <w:lang w:eastAsia="en-GB"/>
                      <w14:ligatures w14:val="none"/>
                    </w:rPr>
                    <m:t>-1</m:t>
                  </m:r>
                </m:sup>
              </m:sSup>
              <m:r>
                <w:rPr>
                  <w:rFonts w:ascii="Cambria Math" w:eastAsia="Times New Roman" w:hAnsi="Cambria Math" w:cs="Segoe UI"/>
                  <w:kern w:val="0"/>
                  <w:lang w:eastAsia="en-GB"/>
                  <w14:ligatures w14:val="none"/>
                </w:rPr>
                <m:t>)×1.5</m:t>
              </m:r>
            </m:num>
            <m:den>
              <m:sSub>
                <m:sSubPr>
                  <m:ctrlPr>
                    <w:rPr>
                      <w:rFonts w:ascii="Cambria Math" w:eastAsia="Times New Roman" w:hAnsi="Cambria Math" w:cs="Segoe UI"/>
                      <w:i/>
                      <w:kern w:val="0"/>
                      <w:lang w:eastAsia="en-GB"/>
                      <w14:ligatures w14:val="none"/>
                    </w:rPr>
                  </m:ctrlPr>
                </m:sSubPr>
                <m:e>
                  <m:r>
                    <w:rPr>
                      <w:rFonts w:ascii="Cambria Math" w:eastAsia="Times New Roman" w:hAnsi="Cambria Math" w:cs="Segoe UI"/>
                      <w:kern w:val="0"/>
                      <w:lang w:eastAsia="en-GB"/>
                      <w14:ligatures w14:val="none"/>
                    </w:rPr>
                    <m:t>g</m:t>
                  </m:r>
                </m:e>
                <m:sub>
                  <m:r>
                    <w:rPr>
                      <w:rFonts w:ascii="Cambria Math" w:eastAsia="Times New Roman" w:hAnsi="Cambria Math" w:cs="Segoe UI"/>
                      <w:kern w:val="0"/>
                      <w:lang w:eastAsia="en-GB"/>
                      <w14:ligatures w14:val="none"/>
                    </w:rPr>
                    <m:t>cat</m:t>
                  </m:r>
                </m:sub>
              </m:sSub>
              <m:r>
                <w:rPr>
                  <w:rFonts w:ascii="Cambria Math" w:eastAsia="Times New Roman" w:hAnsi="Cambria Math" w:cs="Segoe UI"/>
                  <w:kern w:val="0"/>
                  <w:lang w:eastAsia="en-GB"/>
                  <w14:ligatures w14:val="none"/>
                </w:rPr>
                <m:t>×22,400 mL mo</m:t>
              </m:r>
              <m:sSup>
                <m:sSupPr>
                  <m:ctrlPr>
                    <w:rPr>
                      <w:rFonts w:ascii="Cambria Math" w:eastAsia="Times New Roman" w:hAnsi="Cambria Math" w:cs="Segoe UI"/>
                      <w:i/>
                      <w:kern w:val="0"/>
                      <w:lang w:eastAsia="en-GB"/>
                      <w14:ligatures w14:val="none"/>
                    </w:rPr>
                  </m:ctrlPr>
                </m:sSupPr>
                <m:e>
                  <m:r>
                    <w:rPr>
                      <w:rFonts w:ascii="Cambria Math" w:eastAsia="Times New Roman" w:hAnsi="Cambria Math" w:cs="Segoe UI"/>
                      <w:kern w:val="0"/>
                      <w:lang w:eastAsia="en-GB"/>
                      <w14:ligatures w14:val="none"/>
                    </w:rPr>
                    <m:t>l</m:t>
                  </m:r>
                </m:e>
                <m:sup>
                  <m:r>
                    <w:rPr>
                      <w:rFonts w:ascii="Cambria Math" w:eastAsia="Times New Roman" w:hAnsi="Cambria Math" w:cs="Segoe UI"/>
                      <w:kern w:val="0"/>
                      <w:lang w:eastAsia="en-GB"/>
                      <w14:ligatures w14:val="none"/>
                    </w:rPr>
                    <m:t>-1</m:t>
                  </m:r>
                </m:sup>
              </m:sSup>
            </m:den>
          </m:f>
        </m:oMath>
      </m:oMathPara>
    </w:p>
    <w:p w14:paraId="6652CA59" w14:textId="77777777" w:rsidR="00092E5F" w:rsidRDefault="00000000">
      <w:pPr>
        <w:spacing w:line="360" w:lineRule="auto"/>
        <w:textAlignment w:val="baseline"/>
        <w:rPr>
          <w:rFonts w:eastAsia="Times New Roman" w:cs="Times New Roman"/>
          <w:kern w:val="0"/>
          <w:lang w:eastAsia="en-GB"/>
          <w14:ligatures w14:val="none"/>
        </w:rPr>
      </w:pPr>
      <w:r>
        <w:rPr>
          <w:rFonts w:eastAsia="Times New Roman" w:cs="Times New Roman"/>
          <w:kern w:val="0"/>
          <w:lang w:val="en-US" w:eastAsia="en-GB"/>
          <w14:ligatures w14:val="none"/>
        </w:rPr>
        <w:t>Energy efficiency is calculated based on the power input and the lower heating values of the hydrogen and ammonia flows:</w:t>
      </w:r>
      <w:r>
        <w:rPr>
          <w:rFonts w:eastAsia="Times New Roman" w:cs="Times New Roman"/>
          <w:kern w:val="0"/>
          <w:lang w:eastAsia="en-GB"/>
          <w14:ligatures w14:val="none"/>
        </w:rPr>
        <w:t> </w:t>
      </w:r>
    </w:p>
    <w:p w14:paraId="112996E5" w14:textId="77777777" w:rsidR="00092E5F" w:rsidRDefault="00000000">
      <w:pPr>
        <w:textAlignment w:val="baseline"/>
        <w:rPr>
          <w:rFonts w:ascii="Segoe UI" w:eastAsia="Times New Roman" w:hAnsi="Segoe UI" w:cs="Segoe UI"/>
          <w:lang w:val="en-US"/>
        </w:rPr>
      </w:pPr>
      <m:oMathPara>
        <m:oMath>
          <m:r>
            <w:rPr>
              <w:rFonts w:ascii="Cambria Math" w:hAnsi="Cambria Math" w:cs="Times New Roman"/>
              <w:lang w:val="en-US"/>
            </w:rPr>
            <m:t xml:space="preserve">EE </m:t>
          </m:r>
          <m:d>
            <m:dPr>
              <m:ctrlPr>
                <w:rPr>
                  <w:rFonts w:ascii="Cambria Math" w:hAnsi="Cambria Math" w:cs="Times New Roman"/>
                  <w:i/>
                  <w:lang w:val="en-US"/>
                </w:rPr>
              </m:ctrlPr>
            </m:dPr>
            <m:e>
              <m:r>
                <w:rPr>
                  <w:rFonts w:ascii="Cambria Math" w:hAnsi="Cambria Math" w:cs="Times New Roman"/>
                  <w:lang w:val="en-US"/>
                </w:rPr>
                <m:t>%</m:t>
              </m:r>
            </m:e>
          </m:d>
          <m:r>
            <w:rPr>
              <w:rFonts w:ascii="Cambria Math" w:hAnsi="Cambria Math" w:cs="Times New Roman"/>
              <w:lang w:val="en-US"/>
            </w:rPr>
            <m:t>=</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H</m:t>
                  </m:r>
                </m:e>
                <m:sub>
                  <m:r>
                    <w:rPr>
                      <w:rFonts w:ascii="Cambria Math" w:hAnsi="Cambria Math" w:cs="Times New Roman"/>
                      <w:lang w:val="en-US"/>
                    </w:rPr>
                    <m:t>2</m:t>
                  </m:r>
                </m:sub>
              </m:sSub>
              <m:r>
                <w:rPr>
                  <w:rFonts w:ascii="Cambria Math" w:hAnsi="Cambria Math" w:cs="Times New Roman"/>
                  <w:lang w:val="en-US"/>
                </w:rPr>
                <m:t xml:space="preserve"> Out </m:t>
              </m:r>
              <m:d>
                <m:dPr>
                  <m:ctrlPr>
                    <w:rPr>
                      <w:rFonts w:ascii="Cambria Math" w:hAnsi="Cambria Math" w:cs="Times New Roman"/>
                      <w:i/>
                      <w:lang w:val="en-US"/>
                    </w:rPr>
                  </m:ctrlPr>
                </m:dPr>
                <m:e>
                  <m:r>
                    <w:rPr>
                      <w:rFonts w:ascii="Cambria Math" w:hAnsi="Cambria Math" w:cs="Times New Roman"/>
                      <w:lang w:val="en-US"/>
                    </w:rPr>
                    <m:t xml:space="preserve">g </m:t>
                  </m:r>
                  <m:sSup>
                    <m:sSupPr>
                      <m:ctrlPr>
                        <w:rPr>
                          <w:rFonts w:ascii="Cambria Math" w:hAnsi="Cambria Math" w:cs="Times New Roman"/>
                          <w:i/>
                          <w:lang w:val="en-US"/>
                        </w:rPr>
                      </m:ctrlPr>
                    </m:sSupPr>
                    <m:e>
                      <m:r>
                        <w:rPr>
                          <w:rFonts w:ascii="Cambria Math" w:hAnsi="Cambria Math" w:cs="Times New Roman"/>
                          <w:lang w:val="en-US"/>
                        </w:rPr>
                        <m:t>s</m:t>
                      </m:r>
                    </m:e>
                    <m:sup>
                      <m:r>
                        <w:rPr>
                          <w:rFonts w:ascii="Cambria Math" w:hAnsi="Cambria Math" w:cs="Times New Roman"/>
                          <w:lang w:val="en-US"/>
                        </w:rPr>
                        <m:t>-1</m:t>
                      </m:r>
                    </m:sup>
                  </m:sSup>
                </m:e>
              </m:d>
              <m:r>
                <w:rPr>
                  <w:rFonts w:ascii="Cambria Math" w:hAnsi="Cambria Math" w:cs="Times New Roman"/>
                  <w:lang w:val="en-US"/>
                </w:rPr>
                <m:t>×LH</m:t>
              </m:r>
              <m:sSub>
                <m:sSubPr>
                  <m:ctrlPr>
                    <w:rPr>
                      <w:rFonts w:ascii="Cambria Math" w:hAnsi="Cambria Math" w:cs="Times New Roman"/>
                      <w:i/>
                      <w:lang w:val="en-US"/>
                    </w:rPr>
                  </m:ctrlPr>
                </m:sSubPr>
                <m:e>
                  <m:r>
                    <w:rPr>
                      <w:rFonts w:ascii="Cambria Math" w:hAnsi="Cambria Math" w:cs="Times New Roman"/>
                      <w:lang w:val="en-US"/>
                    </w:rPr>
                    <m:t>V</m:t>
                  </m:r>
                </m:e>
                <m:sub>
                  <m:sSub>
                    <m:sSubPr>
                      <m:ctrlPr>
                        <w:rPr>
                          <w:rFonts w:ascii="Cambria Math" w:hAnsi="Cambria Math" w:cs="Times New Roman"/>
                          <w:i/>
                          <w:lang w:val="en-US"/>
                        </w:rPr>
                      </m:ctrlPr>
                    </m:sSubPr>
                    <m:e>
                      <m:r>
                        <w:rPr>
                          <w:rFonts w:ascii="Cambria Math" w:hAnsi="Cambria Math" w:cs="Times New Roman"/>
                          <w:lang w:val="en-US"/>
                        </w:rPr>
                        <m:t>H</m:t>
                      </m:r>
                    </m:e>
                    <m:sub>
                      <m:r>
                        <w:rPr>
                          <w:rFonts w:ascii="Cambria Math" w:hAnsi="Cambria Math" w:cs="Times New Roman"/>
                          <w:lang w:val="en-US"/>
                        </w:rPr>
                        <m:t>2</m:t>
                      </m:r>
                    </m:sub>
                  </m:sSub>
                </m:sub>
              </m:sSub>
              <m:d>
                <m:dPr>
                  <m:ctrlPr>
                    <w:rPr>
                      <w:rFonts w:ascii="Cambria Math" w:hAnsi="Cambria Math" w:cs="Times New Roman"/>
                      <w:i/>
                      <w:lang w:val="en-US"/>
                    </w:rPr>
                  </m:ctrlPr>
                </m:dPr>
                <m:e>
                  <m:r>
                    <w:rPr>
                      <w:rFonts w:ascii="Cambria Math" w:hAnsi="Cambria Math" w:cs="Times New Roman"/>
                      <w:lang w:val="en-US"/>
                    </w:rPr>
                    <m:t xml:space="preserve">J </m:t>
                  </m:r>
                  <m:sSup>
                    <m:sSupPr>
                      <m:ctrlPr>
                        <w:rPr>
                          <w:rFonts w:ascii="Cambria Math" w:hAnsi="Cambria Math" w:cs="Times New Roman"/>
                          <w:i/>
                          <w:lang w:val="en-US"/>
                        </w:rPr>
                      </m:ctrlPr>
                    </m:sSupPr>
                    <m:e>
                      <m:r>
                        <w:rPr>
                          <w:rFonts w:ascii="Cambria Math" w:hAnsi="Cambria Math" w:cs="Times New Roman"/>
                          <w:lang w:val="en-US"/>
                        </w:rPr>
                        <m:t>g</m:t>
                      </m:r>
                    </m:e>
                    <m:sup>
                      <m:r>
                        <w:rPr>
                          <w:rFonts w:ascii="Cambria Math" w:hAnsi="Cambria Math" w:cs="Times New Roman"/>
                          <w:lang w:val="en-US"/>
                        </w:rPr>
                        <m:t>-1</m:t>
                      </m:r>
                    </m:sup>
                  </m:sSup>
                </m:e>
              </m:d>
            </m:num>
            <m:den>
              <m:r>
                <w:rPr>
                  <w:rFonts w:ascii="Cambria Math" w:hAnsi="Cambria Math" w:cs="Times New Roman"/>
                  <w:lang w:val="en-US"/>
                </w:rPr>
                <m:t xml:space="preserve">Power In </m:t>
              </m:r>
              <m:d>
                <m:dPr>
                  <m:ctrlPr>
                    <w:rPr>
                      <w:rFonts w:ascii="Cambria Math" w:hAnsi="Cambria Math" w:cs="Times New Roman"/>
                      <w:i/>
                      <w:lang w:val="en-US"/>
                    </w:rPr>
                  </m:ctrlPr>
                </m:dPr>
                <m:e>
                  <m:r>
                    <w:rPr>
                      <w:rFonts w:ascii="Cambria Math" w:hAnsi="Cambria Math" w:cs="Times New Roman"/>
                      <w:lang w:val="en-US"/>
                    </w:rPr>
                    <m:t>W</m:t>
                  </m:r>
                </m:e>
              </m:d>
              <m:r>
                <w:rPr>
                  <w:rFonts w:ascii="Cambria Math" w:hAnsi="Cambria Math" w:cs="Times New Roman"/>
                  <w:lang w:val="en-US"/>
                </w:rPr>
                <m:t>+N</m:t>
              </m:r>
              <m:sSub>
                <m:sSubPr>
                  <m:ctrlPr>
                    <w:rPr>
                      <w:rFonts w:ascii="Cambria Math" w:hAnsi="Cambria Math" w:cs="Times New Roman"/>
                      <w:i/>
                      <w:lang w:val="en-US"/>
                    </w:rPr>
                  </m:ctrlPr>
                </m:sSubPr>
                <m:e>
                  <m:r>
                    <w:rPr>
                      <w:rFonts w:ascii="Cambria Math" w:hAnsi="Cambria Math" w:cs="Times New Roman"/>
                      <w:lang w:val="en-US"/>
                    </w:rPr>
                    <m:t>H</m:t>
                  </m:r>
                </m:e>
                <m:sub>
                  <m:r>
                    <w:rPr>
                      <w:rFonts w:ascii="Cambria Math" w:hAnsi="Cambria Math" w:cs="Times New Roman"/>
                      <w:lang w:val="en-US"/>
                    </w:rPr>
                    <m:t>3</m:t>
                  </m:r>
                </m:sub>
              </m:sSub>
              <m:r>
                <w:rPr>
                  <w:rFonts w:ascii="Cambria Math" w:hAnsi="Cambria Math" w:cs="Times New Roman"/>
                  <w:lang w:val="en-US"/>
                </w:rPr>
                <m:t xml:space="preserve"> Consumed </m:t>
              </m:r>
              <m:d>
                <m:dPr>
                  <m:ctrlPr>
                    <w:rPr>
                      <w:rFonts w:ascii="Cambria Math" w:hAnsi="Cambria Math" w:cs="Times New Roman"/>
                      <w:i/>
                      <w:lang w:val="en-US"/>
                    </w:rPr>
                  </m:ctrlPr>
                </m:dPr>
                <m:e>
                  <m:r>
                    <w:rPr>
                      <w:rFonts w:ascii="Cambria Math" w:hAnsi="Cambria Math" w:cs="Times New Roman"/>
                      <w:lang w:val="en-US"/>
                    </w:rPr>
                    <m:t xml:space="preserve">g </m:t>
                  </m:r>
                  <m:sSup>
                    <m:sSupPr>
                      <m:ctrlPr>
                        <w:rPr>
                          <w:rFonts w:ascii="Cambria Math" w:hAnsi="Cambria Math" w:cs="Times New Roman"/>
                          <w:i/>
                          <w:lang w:val="en-US"/>
                        </w:rPr>
                      </m:ctrlPr>
                    </m:sSupPr>
                    <m:e>
                      <m:r>
                        <w:rPr>
                          <w:rFonts w:ascii="Cambria Math" w:hAnsi="Cambria Math" w:cs="Times New Roman"/>
                          <w:lang w:val="en-US"/>
                        </w:rPr>
                        <m:t>s</m:t>
                      </m:r>
                    </m:e>
                    <m:sup>
                      <m:r>
                        <w:rPr>
                          <w:rFonts w:ascii="Cambria Math" w:hAnsi="Cambria Math" w:cs="Times New Roman"/>
                          <w:lang w:val="en-US"/>
                        </w:rPr>
                        <m:t>-1</m:t>
                      </m:r>
                    </m:sup>
                  </m:sSup>
                </m:e>
              </m:d>
              <m:r>
                <w:rPr>
                  <w:rFonts w:ascii="Cambria Math" w:hAnsi="Cambria Math" w:cs="Times New Roman"/>
                  <w:lang w:val="en-US"/>
                </w:rPr>
                <m:t>×LH</m:t>
              </m:r>
              <m:sSub>
                <m:sSubPr>
                  <m:ctrlPr>
                    <w:rPr>
                      <w:rFonts w:ascii="Cambria Math" w:hAnsi="Cambria Math" w:cs="Times New Roman"/>
                      <w:i/>
                      <w:lang w:val="en-US"/>
                    </w:rPr>
                  </m:ctrlPr>
                </m:sSubPr>
                <m:e>
                  <m:r>
                    <w:rPr>
                      <w:rFonts w:ascii="Cambria Math" w:hAnsi="Cambria Math" w:cs="Times New Roman"/>
                      <w:lang w:val="en-US"/>
                    </w:rPr>
                    <m:t>V</m:t>
                  </m:r>
                </m:e>
                <m:sub>
                  <m:r>
                    <w:rPr>
                      <w:rFonts w:ascii="Cambria Math" w:hAnsi="Cambria Math" w:cs="Times New Roman"/>
                      <w:lang w:val="en-US"/>
                    </w:rPr>
                    <m:t>N</m:t>
                  </m:r>
                  <m:sSub>
                    <m:sSubPr>
                      <m:ctrlPr>
                        <w:rPr>
                          <w:rFonts w:ascii="Cambria Math" w:hAnsi="Cambria Math" w:cs="Times New Roman"/>
                          <w:i/>
                          <w:lang w:val="en-US"/>
                        </w:rPr>
                      </m:ctrlPr>
                    </m:sSubPr>
                    <m:e>
                      <m:r>
                        <w:rPr>
                          <w:rFonts w:ascii="Cambria Math" w:hAnsi="Cambria Math" w:cs="Times New Roman"/>
                          <w:lang w:val="en-US"/>
                        </w:rPr>
                        <m:t>H</m:t>
                      </m:r>
                    </m:e>
                    <m:sub>
                      <m:r>
                        <w:rPr>
                          <w:rFonts w:ascii="Cambria Math" w:hAnsi="Cambria Math" w:cs="Times New Roman"/>
                          <w:lang w:val="en-US"/>
                        </w:rPr>
                        <m:t>3</m:t>
                      </m:r>
                    </m:sub>
                  </m:sSub>
                </m:sub>
              </m:sSub>
              <m:d>
                <m:dPr>
                  <m:ctrlPr>
                    <w:rPr>
                      <w:rFonts w:ascii="Cambria Math" w:hAnsi="Cambria Math" w:cs="Times New Roman"/>
                      <w:i/>
                      <w:lang w:val="en-US"/>
                    </w:rPr>
                  </m:ctrlPr>
                </m:dPr>
                <m:e>
                  <m:r>
                    <w:rPr>
                      <w:rFonts w:ascii="Cambria Math" w:hAnsi="Cambria Math" w:cs="Times New Roman"/>
                      <w:lang w:val="en-US"/>
                    </w:rPr>
                    <m:t xml:space="preserve">J </m:t>
                  </m:r>
                  <m:sSup>
                    <m:sSupPr>
                      <m:ctrlPr>
                        <w:rPr>
                          <w:rFonts w:ascii="Cambria Math" w:hAnsi="Cambria Math" w:cs="Times New Roman"/>
                          <w:i/>
                          <w:lang w:val="en-US"/>
                        </w:rPr>
                      </m:ctrlPr>
                    </m:sSupPr>
                    <m:e>
                      <m:r>
                        <w:rPr>
                          <w:rFonts w:ascii="Cambria Math" w:hAnsi="Cambria Math" w:cs="Times New Roman"/>
                          <w:lang w:val="en-US"/>
                        </w:rPr>
                        <m:t>g</m:t>
                      </m:r>
                    </m:e>
                    <m:sup>
                      <m:r>
                        <w:rPr>
                          <w:rFonts w:ascii="Cambria Math" w:hAnsi="Cambria Math" w:cs="Times New Roman"/>
                          <w:lang w:val="en-US"/>
                        </w:rPr>
                        <m:t>-1</m:t>
                      </m:r>
                    </m:sup>
                  </m:sSup>
                </m:e>
              </m:d>
            </m:den>
          </m:f>
          <m:r>
            <w:rPr>
              <w:rFonts w:ascii="Cambria Math" w:hAnsi="Cambria Math" w:cs="Times New Roman"/>
              <w:lang w:val="en-US"/>
            </w:rPr>
            <m:t xml:space="preserve">        </m:t>
          </m:r>
        </m:oMath>
      </m:oMathPara>
    </w:p>
    <w:p w14:paraId="038E8B83" w14:textId="77777777" w:rsidR="00092E5F" w:rsidRDefault="00000000">
      <w:pPr>
        <w:textAlignment w:val="baseline"/>
        <w:rPr>
          <w:rFonts w:eastAsia="Times New Roman" w:cs="Times New Roman"/>
          <w:lang w:val="en-US"/>
        </w:rPr>
      </w:pPr>
      <w:r>
        <w:rPr>
          <w:rFonts w:eastAsia="Times New Roman" w:cs="Times New Roman"/>
          <w:lang w:val="en-US"/>
        </w:rPr>
        <w:t xml:space="preserve">Where  </w:t>
      </w:r>
      <m:oMath>
        <m:r>
          <w:rPr>
            <w:rFonts w:ascii="Cambria Math" w:hAnsi="Cambria Math" w:cs="Times New Roman"/>
            <w:lang w:val="en-US"/>
          </w:rPr>
          <m:t>LH</m:t>
        </m:r>
        <m:sSub>
          <m:sSubPr>
            <m:ctrlPr>
              <w:rPr>
                <w:rFonts w:ascii="Cambria Math" w:hAnsi="Cambria Math" w:cs="Times New Roman"/>
                <w:i/>
                <w:lang w:val="en-US"/>
              </w:rPr>
            </m:ctrlPr>
          </m:sSubPr>
          <m:e>
            <m:r>
              <w:rPr>
                <w:rFonts w:ascii="Cambria Math" w:hAnsi="Cambria Math" w:cs="Times New Roman"/>
                <w:lang w:val="en-US"/>
              </w:rPr>
              <m:t>V</m:t>
            </m:r>
          </m:e>
          <m:sub>
            <m:sSub>
              <m:sSubPr>
                <m:ctrlPr>
                  <w:rPr>
                    <w:rFonts w:ascii="Cambria Math" w:hAnsi="Cambria Math" w:cs="Times New Roman"/>
                    <w:i/>
                    <w:lang w:val="en-US"/>
                  </w:rPr>
                </m:ctrlPr>
              </m:sSubPr>
              <m:e>
                <m:r>
                  <w:rPr>
                    <w:rFonts w:ascii="Cambria Math" w:hAnsi="Cambria Math" w:cs="Times New Roman"/>
                    <w:lang w:val="en-US"/>
                  </w:rPr>
                  <m:t>H</m:t>
                </m:r>
              </m:e>
              <m:sub>
                <m:r>
                  <w:rPr>
                    <w:rFonts w:ascii="Cambria Math" w:hAnsi="Cambria Math" w:cs="Times New Roman"/>
                    <w:lang w:val="en-US"/>
                  </w:rPr>
                  <m:t>2</m:t>
                </m:r>
              </m:sub>
            </m:sSub>
          </m:sub>
        </m:sSub>
      </m:oMath>
      <w:r>
        <w:rPr>
          <w:rFonts w:eastAsia="Times New Roman" w:cs="Times New Roman"/>
          <w:lang w:val="en-US"/>
        </w:rPr>
        <w:t xml:space="preserve"> is 119,960 J g</w:t>
      </w:r>
      <w:r>
        <w:rPr>
          <w:rFonts w:eastAsia="Times New Roman" w:cs="Times New Roman"/>
          <w:vertAlign w:val="superscript"/>
          <w:lang w:val="en-US"/>
        </w:rPr>
        <w:t>-1</w:t>
      </w:r>
      <w:r>
        <w:rPr>
          <w:rFonts w:eastAsia="Times New Roman" w:cs="Times New Roman"/>
          <w:lang w:val="en-US"/>
        </w:rPr>
        <w:t xml:space="preserve"> and </w:t>
      </w:r>
      <m:oMath>
        <m:r>
          <w:rPr>
            <w:rFonts w:ascii="Cambria Math" w:hAnsi="Cambria Math" w:cs="Times New Roman"/>
            <w:lang w:val="en-US"/>
          </w:rPr>
          <m:t>LH</m:t>
        </m:r>
        <m:sSub>
          <m:sSubPr>
            <m:ctrlPr>
              <w:rPr>
                <w:rFonts w:ascii="Cambria Math" w:hAnsi="Cambria Math" w:cs="Times New Roman"/>
                <w:i/>
                <w:lang w:val="en-US"/>
              </w:rPr>
            </m:ctrlPr>
          </m:sSubPr>
          <m:e>
            <m:r>
              <w:rPr>
                <w:rFonts w:ascii="Cambria Math" w:hAnsi="Cambria Math" w:cs="Times New Roman"/>
                <w:lang w:val="en-US"/>
              </w:rPr>
              <m:t>V</m:t>
            </m:r>
          </m:e>
          <m:sub>
            <m:r>
              <w:rPr>
                <w:rFonts w:ascii="Cambria Math" w:hAnsi="Cambria Math" w:cs="Times New Roman"/>
                <w:lang w:val="en-US"/>
              </w:rPr>
              <m:t>N</m:t>
            </m:r>
            <m:sSub>
              <m:sSubPr>
                <m:ctrlPr>
                  <w:rPr>
                    <w:rFonts w:ascii="Cambria Math" w:hAnsi="Cambria Math" w:cs="Times New Roman"/>
                    <w:i/>
                    <w:lang w:val="en-US"/>
                  </w:rPr>
                </m:ctrlPr>
              </m:sSubPr>
              <m:e>
                <m:r>
                  <w:rPr>
                    <w:rFonts w:ascii="Cambria Math" w:hAnsi="Cambria Math" w:cs="Times New Roman"/>
                    <w:lang w:val="en-US"/>
                  </w:rPr>
                  <m:t>H</m:t>
                </m:r>
              </m:e>
              <m:sub>
                <m:r>
                  <w:rPr>
                    <w:rFonts w:ascii="Cambria Math" w:hAnsi="Cambria Math" w:cs="Times New Roman"/>
                    <w:lang w:val="en-US"/>
                  </w:rPr>
                  <m:t>3</m:t>
                </m:r>
              </m:sub>
            </m:sSub>
          </m:sub>
        </m:sSub>
      </m:oMath>
      <w:r>
        <w:rPr>
          <w:rFonts w:eastAsia="Times New Roman" w:cs="Times New Roman"/>
          <w:lang w:val="en-US"/>
        </w:rPr>
        <w:t xml:space="preserve"> is 18,650 J g</w:t>
      </w:r>
      <w:r>
        <w:rPr>
          <w:rFonts w:eastAsia="Times New Roman" w:cs="Times New Roman"/>
          <w:vertAlign w:val="superscript"/>
          <w:lang w:val="en-US"/>
        </w:rPr>
        <w:t>-1</w:t>
      </w:r>
      <w:r>
        <w:rPr>
          <w:rFonts w:eastAsia="Times New Roman" w:cs="Times New Roman"/>
          <w:lang w:val="en-US"/>
        </w:rPr>
        <w:t>.</w:t>
      </w:r>
      <w:r>
        <w:rPr>
          <w:rFonts w:eastAsia="Times New Roman" w:cs="Times New Roman"/>
          <w:kern w:val="0"/>
          <w:lang w:eastAsia="en-GB"/>
          <w14:ligatures w14:val="none"/>
        </w:rPr>
        <w:t> </w:t>
      </w:r>
    </w:p>
    <w:p w14:paraId="3C1FFCD7" w14:textId="77777777" w:rsidR="00092E5F" w:rsidRDefault="00092E5F">
      <w:pPr>
        <w:spacing w:line="360" w:lineRule="auto"/>
        <w:rPr>
          <w:b/>
          <w:bCs/>
          <w:lang w:val="en-US"/>
        </w:rPr>
      </w:pPr>
    </w:p>
    <w:p w14:paraId="323399C0" w14:textId="77777777" w:rsidR="00092E5F" w:rsidRDefault="00000000">
      <w:pPr>
        <w:pStyle w:val="Heading3"/>
        <w:rPr>
          <w:lang w:val="en-US"/>
        </w:rPr>
      </w:pPr>
      <w:bookmarkStart w:id="6" w:name="_Toc182485379"/>
      <w:r>
        <w:rPr>
          <w:lang w:val="en-US"/>
        </w:rPr>
        <w:t>Text S4: Energy balance calculations</w:t>
      </w:r>
      <w:bookmarkEnd w:id="6"/>
      <w:r>
        <w:rPr>
          <w:lang w:val="en-US"/>
        </w:rPr>
        <w:t xml:space="preserve"> </w:t>
      </w:r>
    </w:p>
    <w:p w14:paraId="4237AF18" w14:textId="77777777" w:rsidR="00092E5F" w:rsidRDefault="00000000">
      <w:pPr>
        <w:jc w:val="center"/>
        <w:rPr>
          <w:lang w:val="en-US"/>
        </w:rPr>
      </w:pPr>
      <w:r>
        <w:rPr>
          <w:noProof/>
          <w:lang w:val="en-US"/>
          <w14:ligatures w14:val="none"/>
        </w:rPr>
        <w:drawing>
          <wp:inline distT="0" distB="0" distL="0" distR="0" wp14:anchorId="37F2BEF1" wp14:editId="64CC4939">
            <wp:extent cx="2686050" cy="1686560"/>
            <wp:effectExtent l="0" t="0" r="0" b="0"/>
            <wp:docPr id="245673448" name="Picture 1" descr="A long line of pipes and val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673448" name="Picture 1" descr="A long line of pipes and valves&#10;&#10;Description automatically generated with medium confidence"/>
                    <pic:cNvPicPr>
                      <a:picLocks noChangeAspect="1"/>
                    </pic:cNvPicPr>
                  </pic:nvPicPr>
                  <pic:blipFill>
                    <a:blip r:embed="rId12" cstate="print">
                      <a:extLst>
                        <a:ext uri="{28A0092B-C50C-407E-A947-70E740481C1C}">
                          <a14:useLocalDpi xmlns:a14="http://schemas.microsoft.com/office/drawing/2010/main" val="0"/>
                        </a:ext>
                      </a:extLst>
                    </a:blip>
                    <a:srcRect t="10128" b="14160"/>
                    <a:stretch>
                      <a:fillRect/>
                    </a:stretch>
                  </pic:blipFill>
                  <pic:spPr>
                    <a:xfrm>
                      <a:off x="0" y="0"/>
                      <a:ext cx="2713864" cy="1704219"/>
                    </a:xfrm>
                    <a:prstGeom prst="rect">
                      <a:avLst/>
                    </a:prstGeom>
                    <a:ln>
                      <a:noFill/>
                    </a:ln>
                  </pic:spPr>
                </pic:pic>
              </a:graphicData>
            </a:graphic>
          </wp:inline>
        </w:drawing>
      </w:r>
    </w:p>
    <w:p w14:paraId="009E25D5" w14:textId="77777777" w:rsidR="00092E5F" w:rsidRDefault="00000000">
      <w:pPr>
        <w:spacing w:line="360" w:lineRule="auto"/>
        <w:jc w:val="both"/>
        <w:rPr>
          <w:rFonts w:cs="Times New Roman"/>
          <w:lang w:val="en-US"/>
        </w:rPr>
      </w:pPr>
      <w:r>
        <w:rPr>
          <w:rFonts w:cs="Times New Roman"/>
          <w:lang w:val="en-US"/>
        </w:rPr>
        <w:tab/>
        <w:t xml:space="preserve">The overall energy balance in the system is estimated </w:t>
      </w:r>
      <w:proofErr w:type="gramStart"/>
      <w:r>
        <w:rPr>
          <w:rFonts w:cs="Times New Roman"/>
          <w:lang w:val="en-US"/>
        </w:rPr>
        <w:t>assuming</w:t>
      </w:r>
      <w:proofErr w:type="gramEnd"/>
      <w:r>
        <w:rPr>
          <w:rFonts w:cs="Times New Roman"/>
          <w:lang w:val="en-US"/>
        </w:rPr>
        <w:t xml:space="preserve"> boundary conditions as depicted above with the red dashed lines. Energy of NH</w:t>
      </w:r>
      <w:r>
        <w:rPr>
          <w:rFonts w:cs="Times New Roman"/>
          <w:vertAlign w:val="subscript"/>
          <w:lang w:val="en-US"/>
        </w:rPr>
        <w:t>3</w:t>
      </w:r>
      <w:r>
        <w:rPr>
          <w:rFonts w:cs="Times New Roman"/>
          <w:lang w:val="en-US"/>
        </w:rPr>
        <w:t xml:space="preserve"> in, H</w:t>
      </w:r>
      <w:r>
        <w:rPr>
          <w:rFonts w:cs="Times New Roman"/>
          <w:vertAlign w:val="subscript"/>
          <w:lang w:val="en-US"/>
        </w:rPr>
        <w:t>2</w:t>
      </w:r>
      <w:r>
        <w:rPr>
          <w:rFonts w:cs="Times New Roman"/>
          <w:lang w:val="en-US"/>
        </w:rPr>
        <w:t xml:space="preserve"> out </w:t>
      </w:r>
      <w:r>
        <w:rPr>
          <w:rFonts w:cs="Times New Roman"/>
        </w:rPr>
        <w:t>(</w:t>
      </w:r>
      <m:oMath>
        <m:sSub>
          <m:sSubPr>
            <m:ctrlPr>
              <w:rPr>
                <w:rFonts w:ascii="Cambria Math" w:hAnsi="Cambria Math" w:cs="Times New Roman"/>
                <w:i/>
              </w:rPr>
            </m:ctrlPr>
          </m:sSubPr>
          <m:e>
            <m:r>
              <w:rPr>
                <w:rFonts w:ascii="Cambria Math" w:hAnsi="Cambria Math" w:cs="Times New Roman"/>
              </w:rPr>
              <m:t>P</m:t>
            </m:r>
          </m:e>
          <m:sub>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sub>
        </m:sSub>
        <m:r>
          <w:rPr>
            <w:rFonts w:ascii="Cambria Math" w:hAnsi="Cambria Math" w:cs="Times New Roman"/>
          </w:rPr>
          <m:t>)</m:t>
        </m:r>
      </m:oMath>
      <w:r>
        <w:rPr>
          <w:rFonts w:cs="Times New Roman"/>
          <w:lang w:val="en-US"/>
        </w:rPr>
        <w:t>, and unreacted NH</w:t>
      </w:r>
      <w:r>
        <w:rPr>
          <w:rFonts w:cs="Times New Roman"/>
          <w:vertAlign w:val="subscript"/>
          <w:lang w:val="en-US"/>
        </w:rPr>
        <w:t>3</w:t>
      </w:r>
      <w:r>
        <w:rPr>
          <w:rFonts w:cs="Times New Roman"/>
          <w:lang w:val="en-US"/>
        </w:rPr>
        <w:t xml:space="preserve">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N</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3</m:t>
                </m:r>
              </m:sub>
            </m:sSub>
          </m:sub>
        </m:sSub>
      </m:oMath>
      <w:r>
        <w:rPr>
          <w:rFonts w:cs="Times New Roman"/>
        </w:rPr>
        <w:t xml:space="preserve">) </w:t>
      </w:r>
      <w:r>
        <w:rPr>
          <w:rFonts w:cs="Times New Roman"/>
          <w:lang w:val="en-US"/>
        </w:rPr>
        <w:t>is based on the lower heating values of each species. Convective heat loss at the outside of the reactor was calculated using the Churchill and Chu correlation for natural convection adjacent to a vertical plane to calculate the convective heat transfer coefficient</w:t>
      </w:r>
      <w:r>
        <w:rPr>
          <w:rFonts w:eastAsiaTheme="minorEastAsia" w:cs="Times New Roman"/>
          <w:lang w:val="en-US"/>
        </w:rPr>
        <w:t>:</w:t>
      </w:r>
    </w:p>
    <w:p w14:paraId="4E1E1001" w14:textId="77777777" w:rsidR="00092E5F" w:rsidRDefault="00000000">
      <w:pPr>
        <w:spacing w:line="360" w:lineRule="auto"/>
        <w:jc w:val="both"/>
        <w:rPr>
          <w:rFonts w:eastAsiaTheme="minorEastAsia" w:cs="Times New Roman"/>
        </w:rPr>
      </w:pPr>
      <m:oMathPara>
        <m:oMath>
          <m:r>
            <w:rPr>
              <w:rFonts w:ascii="Cambria Math" w:hAnsi="Cambria Math" w:cs="Times New Roman"/>
              <w:lang w:val="en-US"/>
            </w:rPr>
            <m:t>h=</m:t>
          </m:r>
          <m:f>
            <m:fPr>
              <m:ctrlPr>
                <w:rPr>
                  <w:rFonts w:ascii="Cambria Math" w:hAnsi="Cambria Math" w:cs="Times New Roman"/>
                  <w:i/>
                  <w:lang w:val="en-US"/>
                </w:rPr>
              </m:ctrlPr>
            </m:fPr>
            <m:num>
              <m:r>
                <w:rPr>
                  <w:rFonts w:ascii="Cambria Math" w:hAnsi="Cambria Math" w:cs="Times New Roman"/>
                  <w:lang w:val="en-US"/>
                </w:rPr>
                <m:t>k</m:t>
              </m:r>
            </m:num>
            <m:den>
              <m:r>
                <w:rPr>
                  <w:rFonts w:ascii="Cambria Math" w:hAnsi="Cambria Math" w:cs="Times New Roman"/>
                  <w:lang w:val="en-US"/>
                </w:rPr>
                <m:t>L</m:t>
              </m:r>
            </m:den>
          </m:f>
          <m:sSup>
            <m:sSupPr>
              <m:ctrlPr>
                <w:rPr>
                  <w:rFonts w:ascii="Cambria Math" w:hAnsi="Cambria Math"/>
                  <w:i/>
                </w:rPr>
              </m:ctrlPr>
            </m:sSupPr>
            <m:e>
              <m:d>
                <m:dPr>
                  <m:ctrlPr>
                    <w:rPr>
                      <w:rFonts w:ascii="Cambria Math" w:hAnsi="Cambria Math" w:cs="Times New Roman"/>
                      <w:i/>
                      <w:lang w:val="en-US"/>
                    </w:rPr>
                  </m:ctrlPr>
                </m:dPr>
                <m:e>
                  <m:r>
                    <w:rPr>
                      <w:rFonts w:ascii="Cambria Math" w:hAnsi="Cambria Math" w:cs="Times New Roman"/>
                      <w:lang w:val="en-US"/>
                    </w:rPr>
                    <m:t>0.825+</m:t>
                  </m:r>
                  <m:f>
                    <m:fPr>
                      <m:ctrlPr>
                        <w:rPr>
                          <w:rFonts w:ascii="Cambria Math" w:hAnsi="Cambria Math"/>
                          <w:i/>
                        </w:rPr>
                      </m:ctrlPr>
                    </m:fPr>
                    <m:num>
                      <m:r>
                        <w:rPr>
                          <w:rFonts w:ascii="Cambria Math" w:hAnsi="Cambria Math"/>
                        </w:rPr>
                        <m:t>0.387</m:t>
                      </m:r>
                      <m:sSup>
                        <m:sSupPr>
                          <m:ctrlPr>
                            <w:rPr>
                              <w:rFonts w:ascii="Cambria Math" w:hAnsi="Cambria Math"/>
                              <w:i/>
                            </w:rPr>
                          </m:ctrlPr>
                        </m:sSupPr>
                        <m:e>
                          <m:r>
                            <w:rPr>
                              <w:rFonts w:ascii="Cambria Math" w:hAnsi="Cambria Math"/>
                            </w:rPr>
                            <m:t>Ra</m:t>
                          </m:r>
                        </m:e>
                        <m:sup>
                          <m:f>
                            <m:fPr>
                              <m:ctrlPr>
                                <w:rPr>
                                  <w:rFonts w:ascii="Cambria Math" w:hAnsi="Cambria Math"/>
                                  <w:i/>
                                </w:rPr>
                              </m:ctrlPr>
                            </m:fPr>
                            <m:num>
                              <m:r>
                                <w:rPr>
                                  <w:rFonts w:ascii="Cambria Math" w:hAnsi="Cambria Math"/>
                                </w:rPr>
                                <m:t>1</m:t>
                              </m:r>
                            </m:num>
                            <m:den>
                              <m:r>
                                <w:rPr>
                                  <w:rFonts w:ascii="Cambria Math" w:hAnsi="Cambria Math"/>
                                </w:rPr>
                                <m:t>6</m:t>
                              </m:r>
                            </m:den>
                          </m:f>
                        </m:sup>
                      </m:sSup>
                    </m:num>
                    <m:den>
                      <m:sSup>
                        <m:sSupPr>
                          <m:ctrlPr>
                            <w:rPr>
                              <w:rFonts w:ascii="Cambria Math" w:hAnsi="Cambria Math"/>
                              <w:i/>
                            </w:rPr>
                          </m:ctrlPr>
                        </m:sSupPr>
                        <m:e>
                          <m:d>
                            <m:dPr>
                              <m:begChr m:val="["/>
                              <m:endChr m:val="]"/>
                              <m:ctrlPr>
                                <w:rPr>
                                  <w:rFonts w:ascii="Cambria Math" w:hAnsi="Cambria Math"/>
                                  <w:i/>
                                </w:rPr>
                              </m:ctrlPr>
                            </m:dPr>
                            <m:e>
                              <m:r>
                                <w:rPr>
                                  <w:rFonts w:ascii="Cambria Math" w:hAnsi="Cambria Math"/>
                                </w:rPr>
                                <m:t>1+</m:t>
                              </m:r>
                              <m:sSup>
                                <m:sSupPr>
                                  <m:ctrlPr>
                                    <w:rPr>
                                      <w:rFonts w:ascii="Cambria Math" w:hAnsi="Cambria Math"/>
                                      <w:i/>
                                    </w:rPr>
                                  </m:ctrlPr>
                                </m:sSupPr>
                                <m:e>
                                  <m:d>
                                    <m:dPr>
                                      <m:ctrlPr>
                                        <w:rPr>
                                          <w:rFonts w:ascii="Cambria Math" w:hAnsi="Cambria Math"/>
                                          <w:i/>
                                        </w:rPr>
                                      </m:ctrlPr>
                                    </m:dPr>
                                    <m:e>
                                      <m:r>
                                        <w:rPr>
                                          <w:rFonts w:ascii="Cambria Math" w:hAnsi="Cambria Math"/>
                                        </w:rPr>
                                        <m:t>0.492/Pr</m:t>
                                      </m:r>
                                    </m:e>
                                  </m:d>
                                </m:e>
                                <m:sup>
                                  <m:f>
                                    <m:fPr>
                                      <m:ctrlPr>
                                        <w:rPr>
                                          <w:rFonts w:ascii="Cambria Math" w:hAnsi="Cambria Math"/>
                                          <w:i/>
                                        </w:rPr>
                                      </m:ctrlPr>
                                    </m:fPr>
                                    <m:num>
                                      <m:r>
                                        <w:rPr>
                                          <w:rFonts w:ascii="Cambria Math" w:hAnsi="Cambria Math"/>
                                        </w:rPr>
                                        <m:t>9</m:t>
                                      </m:r>
                                    </m:num>
                                    <m:den>
                                      <m:r>
                                        <w:rPr>
                                          <w:rFonts w:ascii="Cambria Math" w:hAnsi="Cambria Math"/>
                                        </w:rPr>
                                        <m:t>16</m:t>
                                      </m:r>
                                    </m:den>
                                  </m:f>
                                </m:sup>
                              </m:sSup>
                            </m:e>
                          </m:d>
                        </m:e>
                        <m:sup>
                          <m:f>
                            <m:fPr>
                              <m:ctrlPr>
                                <w:rPr>
                                  <w:rFonts w:ascii="Cambria Math" w:hAnsi="Cambria Math"/>
                                  <w:i/>
                                </w:rPr>
                              </m:ctrlPr>
                            </m:fPr>
                            <m:num>
                              <m:r>
                                <w:rPr>
                                  <w:rFonts w:ascii="Cambria Math" w:hAnsi="Cambria Math"/>
                                </w:rPr>
                                <m:t>4</m:t>
                              </m:r>
                            </m:num>
                            <m:den>
                              <m:r>
                                <w:rPr>
                                  <w:rFonts w:ascii="Cambria Math" w:hAnsi="Cambria Math"/>
                                </w:rPr>
                                <m:t>9</m:t>
                              </m:r>
                            </m:den>
                          </m:f>
                        </m:sup>
                      </m:sSup>
                    </m:den>
                  </m:f>
                  <m:ctrlPr>
                    <w:rPr>
                      <w:rFonts w:ascii="Cambria Math" w:hAnsi="Cambria Math"/>
                      <w:i/>
                    </w:rPr>
                  </m:ctrlPr>
                </m:e>
              </m:d>
            </m:e>
            <m:sup>
              <m:r>
                <w:rPr>
                  <w:rFonts w:ascii="Cambria Math" w:hAnsi="Cambria Math"/>
                </w:rPr>
                <m:t>2</m:t>
              </m:r>
            </m:sup>
          </m:sSup>
        </m:oMath>
      </m:oMathPara>
    </w:p>
    <w:p w14:paraId="7D011512" w14:textId="77777777" w:rsidR="00092E5F" w:rsidRDefault="00000000">
      <w:pPr>
        <w:spacing w:line="360" w:lineRule="auto"/>
        <w:jc w:val="both"/>
        <w:rPr>
          <w:rFonts w:eastAsiaTheme="minorEastAsia" w:cs="Times New Roman"/>
          <w:i/>
          <w:iCs/>
        </w:rPr>
      </w:pPr>
      <w:r>
        <w:rPr>
          <w:rFonts w:eastAsiaTheme="minorEastAsia" w:cs="Times New Roman"/>
        </w:rPr>
        <w:t xml:space="preserve">The Rayleigh number </w:t>
      </w:r>
      <w:r>
        <w:rPr>
          <w:rFonts w:eastAsiaTheme="minorEastAsia" w:cs="Times New Roman"/>
          <w:i/>
          <w:iCs/>
        </w:rPr>
        <w:t xml:space="preserve">Ra </w:t>
      </w:r>
      <w:r>
        <w:rPr>
          <w:rFonts w:eastAsiaTheme="minorEastAsia" w:cs="Times New Roman"/>
        </w:rPr>
        <w:t xml:space="preserve">is a product of the </w:t>
      </w:r>
      <w:proofErr w:type="spellStart"/>
      <w:r>
        <w:rPr>
          <w:rFonts w:eastAsiaTheme="minorEastAsia" w:cs="Times New Roman"/>
        </w:rPr>
        <w:t>Grashof</w:t>
      </w:r>
      <w:proofErr w:type="spellEnd"/>
      <w:r>
        <w:rPr>
          <w:rFonts w:eastAsiaTheme="minorEastAsia" w:cs="Times New Roman"/>
        </w:rPr>
        <w:t xml:space="preserve"> number </w:t>
      </w:r>
      <w:r>
        <w:rPr>
          <w:rFonts w:eastAsiaTheme="minorEastAsia" w:cs="Times New Roman"/>
          <w:i/>
          <w:iCs/>
        </w:rPr>
        <w:t xml:space="preserve">Gr </w:t>
      </w:r>
      <w:r>
        <w:rPr>
          <w:rFonts w:eastAsiaTheme="minorEastAsia" w:cs="Times New Roman"/>
        </w:rPr>
        <w:t xml:space="preserve">and Prandtl number </w:t>
      </w:r>
      <w:proofErr w:type="spellStart"/>
      <w:r>
        <w:rPr>
          <w:rFonts w:eastAsiaTheme="minorEastAsia" w:cs="Times New Roman"/>
          <w:i/>
          <w:iCs/>
        </w:rPr>
        <w:t>Pr</w:t>
      </w:r>
      <w:proofErr w:type="spellEnd"/>
      <w:r>
        <w:rPr>
          <w:rFonts w:eastAsiaTheme="minorEastAsia" w:cs="Times New Roman"/>
          <w:i/>
          <w:iCs/>
        </w:rPr>
        <w:t>:</w:t>
      </w:r>
    </w:p>
    <w:p w14:paraId="13DE8052" w14:textId="77777777" w:rsidR="00092E5F" w:rsidRDefault="00000000">
      <m:oMathPara>
        <m:oMath>
          <m:r>
            <w:rPr>
              <w:rFonts w:ascii="Cambria Math" w:hAnsi="Cambria Math"/>
            </w:rPr>
            <m:t>Gr=</m:t>
          </m:r>
          <m:f>
            <m:fPr>
              <m:ctrlPr>
                <w:rPr>
                  <w:rFonts w:ascii="Cambria Math" w:hAnsi="Cambria Math"/>
                  <w:i/>
                </w:rPr>
              </m:ctrlPr>
            </m:fPr>
            <m:num>
              <m:r>
                <w:rPr>
                  <w:rFonts w:ascii="Cambria Math" w:hAnsi="Cambria Math"/>
                </w:rPr>
                <m:t>gβ</m:t>
              </m:r>
              <m:d>
                <m:dPr>
                  <m:ctrlPr>
                    <w:rPr>
                      <w:rFonts w:ascii="Cambria Math" w:hAnsi="Cambria Math"/>
                      <w:i/>
                    </w:rPr>
                  </m:ctrlPr>
                </m:dPr>
                <m:e>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s</m:t>
                          </m:r>
                        </m:sub>
                      </m:sSub>
                      <m:r>
                        <w:rPr>
                          <w:rFonts w:ascii="Cambria Math" w:hAnsi="Cambria Math"/>
                        </w:rPr>
                        <m:t>-T</m:t>
                      </m:r>
                    </m:e>
                    <m:sub>
                      <m:r>
                        <w:rPr>
                          <w:rFonts w:ascii="Cambria Math" w:hAnsi="Cambria Math"/>
                        </w:rPr>
                        <m:t>∞</m:t>
                      </m:r>
                    </m:sub>
                  </m:sSub>
                </m:e>
              </m:d>
              <m:sSup>
                <m:sSupPr>
                  <m:ctrlPr>
                    <w:rPr>
                      <w:rFonts w:ascii="Cambria Math" w:hAnsi="Cambria Math"/>
                      <w:i/>
                    </w:rPr>
                  </m:ctrlPr>
                </m:sSupPr>
                <m:e>
                  <m:r>
                    <w:rPr>
                      <w:rFonts w:ascii="Cambria Math" w:hAnsi="Cambria Math"/>
                    </w:rPr>
                    <m:t>L</m:t>
                  </m:r>
                </m:e>
                <m:sup>
                  <m:r>
                    <w:rPr>
                      <w:rFonts w:ascii="Cambria Math" w:hAnsi="Cambria Math"/>
                    </w:rPr>
                    <m:t>3</m:t>
                  </m:r>
                </m:sup>
              </m:sSup>
            </m:num>
            <m:den>
              <m:sSup>
                <m:sSupPr>
                  <m:ctrlPr>
                    <w:rPr>
                      <w:rFonts w:ascii="Cambria Math" w:hAnsi="Cambria Math"/>
                      <w:i/>
                    </w:rPr>
                  </m:ctrlPr>
                </m:sSupPr>
                <m:e>
                  <m:r>
                    <w:rPr>
                      <w:rFonts w:ascii="Cambria Math" w:hAnsi="Cambria Math"/>
                    </w:rPr>
                    <m:t>v</m:t>
                  </m:r>
                </m:e>
                <m:sup>
                  <m:r>
                    <w:rPr>
                      <w:rFonts w:ascii="Cambria Math" w:hAnsi="Cambria Math"/>
                    </w:rPr>
                    <m:t>2</m:t>
                  </m:r>
                </m:sup>
              </m:sSup>
            </m:den>
          </m:f>
        </m:oMath>
      </m:oMathPara>
    </w:p>
    <w:p w14:paraId="14061E22" w14:textId="77777777" w:rsidR="00092E5F" w:rsidRDefault="00000000">
      <m:oMathPara>
        <m:oMath>
          <m:r>
            <w:rPr>
              <w:rFonts w:ascii="Cambria Math" w:hAnsi="Cambria Math"/>
            </w:rPr>
            <m:t>Pr=</m:t>
          </m:r>
          <m:f>
            <m:fPr>
              <m:ctrlPr>
                <w:rPr>
                  <w:rFonts w:ascii="Cambria Math" w:hAnsi="Cambria Math"/>
                  <w:i/>
                </w:rPr>
              </m:ctrlPr>
            </m:fPr>
            <m:num>
              <m:r>
                <w:rPr>
                  <w:rFonts w:ascii="Cambria Math" w:hAnsi="Cambria Math"/>
                </w:rPr>
                <m:t>k</m:t>
              </m:r>
              <m:sSub>
                <m:sSubPr>
                  <m:ctrlPr>
                    <w:rPr>
                      <w:rFonts w:ascii="Cambria Math" w:hAnsi="Cambria Math"/>
                      <w:i/>
                    </w:rPr>
                  </m:ctrlPr>
                </m:sSubPr>
                <m:e>
                  <m:r>
                    <w:rPr>
                      <w:rFonts w:ascii="Cambria Math" w:hAnsi="Cambria Math"/>
                    </w:rPr>
                    <m:t>C</m:t>
                  </m:r>
                </m:e>
                <m:sub>
                  <m:r>
                    <w:rPr>
                      <w:rFonts w:ascii="Cambria Math" w:hAnsi="Cambria Math"/>
                    </w:rPr>
                    <m:t>p</m:t>
                  </m:r>
                </m:sub>
              </m:sSub>
            </m:num>
            <m:den>
              <m:r>
                <w:rPr>
                  <w:rFonts w:ascii="Cambria Math" w:hAnsi="Cambria Math"/>
                </w:rPr>
                <m:t>v</m:t>
              </m:r>
            </m:den>
          </m:f>
        </m:oMath>
      </m:oMathPara>
    </w:p>
    <w:p w14:paraId="7258D5F8" w14:textId="77777777" w:rsidR="00092E5F" w:rsidRDefault="00000000">
      <w:pPr>
        <w:spacing w:line="360" w:lineRule="auto"/>
        <w:jc w:val="both"/>
        <w:rPr>
          <w:rFonts w:eastAsiaTheme="minorEastAsia" w:cs="Times New Roman"/>
        </w:rPr>
      </w:pPr>
      <w:r>
        <w:rPr>
          <w:rFonts w:eastAsiaTheme="minorEastAsia" w:cs="Times New Roman"/>
        </w:rPr>
        <w:t xml:space="preserve">Where </w:t>
      </w:r>
      <m:oMath>
        <m:r>
          <w:rPr>
            <w:rFonts w:ascii="Cambria Math" w:hAnsi="Cambria Math"/>
          </w:rPr>
          <m:t>β</m:t>
        </m:r>
      </m:oMath>
      <w:r>
        <w:rPr>
          <w:rFonts w:eastAsiaTheme="minorEastAsia" w:cs="Times New Roman"/>
        </w:rPr>
        <w:t xml:space="preserve"> is the coefficient of volume expansion (equivalent to 1/T for ideal gases), </w:t>
      </w:r>
      <m:oMath>
        <m:sSub>
          <m:sSubPr>
            <m:ctrlPr>
              <w:rPr>
                <w:rFonts w:ascii="Cambria Math" w:hAnsi="Cambria Math"/>
                <w:i/>
              </w:rPr>
            </m:ctrlPr>
          </m:sSubPr>
          <m:e>
            <m:r>
              <w:rPr>
                <w:rFonts w:ascii="Cambria Math" w:hAnsi="Cambria Math"/>
              </w:rPr>
              <m:t>T</m:t>
            </m:r>
          </m:e>
          <m:sub>
            <m:r>
              <w:rPr>
                <w:rFonts w:ascii="Cambria Math" w:hAnsi="Cambria Math"/>
              </w:rPr>
              <m:t>s</m:t>
            </m:r>
          </m:sub>
        </m:sSub>
      </m:oMath>
      <w:r>
        <w:rPr>
          <w:rFonts w:eastAsiaTheme="minorEastAsia" w:cs="Times New Roman"/>
        </w:rPr>
        <w:t xml:space="preserve"> the reactor wall temperature, </w:t>
      </w:r>
      <m:oMath>
        <m:sSub>
          <m:sSubPr>
            <m:ctrlPr>
              <w:rPr>
                <w:rFonts w:ascii="Cambria Math" w:hAnsi="Cambria Math"/>
                <w:i/>
              </w:rPr>
            </m:ctrlPr>
          </m:sSubPr>
          <m:e>
            <m:r>
              <w:rPr>
                <w:rFonts w:ascii="Cambria Math" w:hAnsi="Cambria Math"/>
              </w:rPr>
              <m:t>T</m:t>
            </m:r>
          </m:e>
          <m:sub>
            <m:r>
              <w:rPr>
                <w:rFonts w:ascii="Cambria Math" w:hAnsi="Cambria Math"/>
              </w:rPr>
              <m:t>∞</m:t>
            </m:r>
          </m:sub>
        </m:sSub>
      </m:oMath>
      <w:r>
        <w:rPr>
          <w:rFonts w:eastAsiaTheme="minorEastAsia" w:cs="Times New Roman"/>
        </w:rPr>
        <w:t xml:space="preserve"> the ambient temperature, </w:t>
      </w:r>
      <w:r>
        <w:rPr>
          <w:rFonts w:eastAsiaTheme="minorEastAsia" w:cs="Times New Roman"/>
          <w:i/>
          <w:iCs/>
        </w:rPr>
        <w:t xml:space="preserve">L </w:t>
      </w:r>
      <w:r>
        <w:rPr>
          <w:rFonts w:eastAsiaTheme="minorEastAsia" w:cs="Times New Roman"/>
        </w:rPr>
        <w:t xml:space="preserve">the characteristic length or reactor length, </w:t>
      </w:r>
      <w:r>
        <w:rPr>
          <w:rFonts w:eastAsiaTheme="minorEastAsia" w:cs="Times New Roman"/>
          <w:i/>
          <w:iCs/>
        </w:rPr>
        <w:t xml:space="preserve">v </w:t>
      </w:r>
      <w:r>
        <w:rPr>
          <w:rFonts w:eastAsiaTheme="minorEastAsia" w:cs="Times New Roman"/>
        </w:rPr>
        <w:t xml:space="preserve">the kinematic viscosity of air, </w:t>
      </w:r>
      <w:r>
        <w:rPr>
          <w:rFonts w:eastAsiaTheme="minorEastAsia" w:cs="Times New Roman"/>
          <w:i/>
          <w:iCs/>
        </w:rPr>
        <w:t xml:space="preserve">k </w:t>
      </w:r>
      <w:r>
        <w:rPr>
          <w:rFonts w:eastAsiaTheme="minorEastAsia" w:cs="Times New Roman"/>
        </w:rPr>
        <w:t xml:space="preserve">the conductivity of air, and </w:t>
      </w:r>
      <m:oMath>
        <m:sSub>
          <m:sSubPr>
            <m:ctrlPr>
              <w:rPr>
                <w:rFonts w:ascii="Cambria Math" w:hAnsi="Cambria Math"/>
                <w:i/>
              </w:rPr>
            </m:ctrlPr>
          </m:sSubPr>
          <m:e>
            <m:r>
              <w:rPr>
                <w:rFonts w:ascii="Cambria Math" w:hAnsi="Cambria Math"/>
              </w:rPr>
              <m:t>C</m:t>
            </m:r>
          </m:e>
          <m:sub>
            <m:r>
              <w:rPr>
                <w:rFonts w:ascii="Cambria Math" w:hAnsi="Cambria Math"/>
              </w:rPr>
              <m:t>p</m:t>
            </m:r>
          </m:sub>
        </m:sSub>
      </m:oMath>
      <w:r>
        <w:rPr>
          <w:rFonts w:eastAsiaTheme="minorEastAsia" w:cs="Times New Roman"/>
        </w:rPr>
        <w:t xml:space="preserve"> the heat capacity of air. Wall temperature is calculated by the CFD model. </w:t>
      </w:r>
      <w:r>
        <w:rPr>
          <w:rFonts w:cs="Times New Roman"/>
          <w:lang w:val="en-US"/>
        </w:rPr>
        <w:t>Energy absorbed by the gas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vertAlign w:val="subscript"/>
              </w:rPr>
              <m:t>gas</m:t>
            </m:r>
          </m:sub>
        </m:sSub>
        <m:r>
          <w:rPr>
            <w:rFonts w:ascii="Cambria Math" w:hAnsi="Cambria Math" w:cs="Times New Roman"/>
          </w:rPr>
          <m:t>)</m:t>
        </m:r>
      </m:oMath>
      <w:r>
        <w:rPr>
          <w:rFonts w:eastAsiaTheme="minorEastAsia" w:cs="Times New Roman"/>
        </w:rPr>
        <w:t xml:space="preserve"> is </w:t>
      </w:r>
      <w:r>
        <w:rPr>
          <w:rFonts w:eastAsiaTheme="minorEastAsia" w:cs="Times New Roman"/>
        </w:rPr>
        <w:lastRenderedPageBreak/>
        <w:t xml:space="preserve">calculated based on the specific heat capacity of ammonia at the reactor’s temperature. </w:t>
      </w:r>
      <w:r>
        <w:rPr>
          <w:rFonts w:cs="Times New Roman"/>
          <w:lang w:val="en-US"/>
        </w:rPr>
        <w:t>Thermal radiation is calculated based on the Stefan-Boltzmann law:</w:t>
      </w:r>
    </w:p>
    <w:p w14:paraId="55158E11" w14:textId="77777777" w:rsidR="00092E5F" w:rsidRDefault="00000000">
      <w:pPr>
        <w:spacing w:line="360" w:lineRule="auto"/>
        <w:jc w:val="both"/>
        <w:rPr>
          <w:rFonts w:eastAsiaTheme="minorEastAsia"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rad</m:t>
              </m:r>
            </m:sub>
          </m:sSub>
          <m:r>
            <w:rPr>
              <w:rFonts w:ascii="Cambria Math" w:hAnsi="Cambria Math" w:cs="Times New Roman"/>
              <w:lang w:val="en-US"/>
            </w:rPr>
            <m:t>=A</m:t>
          </m:r>
          <m:sSub>
            <m:sSubPr>
              <m:ctrlPr>
                <w:rPr>
                  <w:rFonts w:ascii="Cambria Math" w:hAnsi="Cambria Math" w:cs="Times New Roman"/>
                  <w:i/>
                  <w:lang w:val="en-US"/>
                </w:rPr>
              </m:ctrlPr>
            </m:sSubPr>
            <m:e>
              <m:r>
                <w:rPr>
                  <w:rFonts w:ascii="Cambria Math" w:hAnsi="Cambria Math" w:cs="Times New Roman"/>
                  <w:lang w:val="en-US"/>
                </w:rPr>
                <m:t>ε</m:t>
              </m:r>
            </m:e>
            <m:sub>
              <m:r>
                <w:rPr>
                  <w:rFonts w:ascii="Cambria Math" w:hAnsi="Cambria Math" w:cs="Times New Roman"/>
                  <w:lang w:val="en-US"/>
                </w:rPr>
                <m:t>W</m:t>
              </m:r>
            </m:sub>
          </m:sSub>
          <m:r>
            <w:rPr>
              <w:rFonts w:ascii="Cambria Math" w:hAnsi="Cambria Math" w:cs="Times New Roman"/>
              <w:lang w:val="en-US"/>
            </w:rPr>
            <m:t>σ</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4</m:t>
              </m:r>
            </m:sup>
          </m:sSup>
        </m:oMath>
      </m:oMathPara>
    </w:p>
    <w:p w14:paraId="36F80F7F" w14:textId="77777777" w:rsidR="00092E5F" w:rsidRDefault="00000000">
      <w:pPr>
        <w:spacing w:line="360" w:lineRule="auto"/>
        <w:jc w:val="both"/>
        <w:rPr>
          <w:rFonts w:eastAsiaTheme="minorEastAsia" w:cs="Times New Roman"/>
        </w:rPr>
      </w:pPr>
      <w:r>
        <w:rPr>
          <w:rFonts w:eastAsiaTheme="minorEastAsia" w:cs="Times New Roman"/>
          <w:lang w:val="en-US"/>
        </w:rPr>
        <w:t xml:space="preserve">Where </w:t>
      </w:r>
      <w:r>
        <w:rPr>
          <w:rFonts w:eastAsiaTheme="minorEastAsia" w:cs="Times New Roman"/>
          <w:i/>
          <w:iCs/>
          <w:lang w:val="en-US"/>
        </w:rPr>
        <w:t xml:space="preserve">A </w:t>
      </w:r>
      <w:r>
        <w:rPr>
          <w:rFonts w:eastAsiaTheme="minorEastAsia" w:cs="Times New Roman"/>
          <w:lang w:val="en-US"/>
        </w:rPr>
        <w:t xml:space="preserve">is the surface area, </w:t>
      </w:r>
      <m:oMath>
        <m:sSub>
          <m:sSubPr>
            <m:ctrlPr>
              <w:rPr>
                <w:rFonts w:ascii="Cambria Math" w:hAnsi="Cambria Math" w:cs="Times New Roman"/>
                <w:i/>
                <w:lang w:val="en-US"/>
              </w:rPr>
            </m:ctrlPr>
          </m:sSubPr>
          <m:e>
            <m:r>
              <w:rPr>
                <w:rFonts w:ascii="Cambria Math" w:hAnsi="Cambria Math" w:cs="Times New Roman"/>
                <w:lang w:val="en-US"/>
              </w:rPr>
              <m:t>ε</m:t>
            </m:r>
          </m:e>
          <m:sub>
            <m:r>
              <w:rPr>
                <w:rFonts w:ascii="Cambria Math" w:hAnsi="Cambria Math" w:cs="Times New Roman"/>
                <w:lang w:val="en-US"/>
              </w:rPr>
              <m:t>W</m:t>
            </m:r>
          </m:sub>
        </m:sSub>
      </m:oMath>
      <w:r>
        <w:rPr>
          <w:rFonts w:eastAsiaTheme="minorEastAsia" w:cs="Times New Roman"/>
          <w:lang w:val="en-US"/>
        </w:rPr>
        <w:t xml:space="preserve"> the emissivity of tungsten at 0.4, and </w:t>
      </w:r>
      <m:oMath>
        <m:r>
          <w:rPr>
            <w:rFonts w:ascii="Cambria Math" w:hAnsi="Cambria Math" w:cs="Times New Roman"/>
            <w:lang w:val="en-US"/>
          </w:rPr>
          <m:t>σ</m:t>
        </m:r>
      </m:oMath>
      <w:r>
        <w:rPr>
          <w:rFonts w:eastAsiaTheme="minorEastAsia" w:cs="Times New Roman"/>
          <w:lang w:val="en-US"/>
        </w:rPr>
        <w:t xml:space="preserve"> the Stefan-Boltzmann constant. </w:t>
      </w:r>
      <w:r>
        <w:rPr>
          <w:rFonts w:eastAsiaTheme="minorEastAsia" w:cs="Times New Roman"/>
          <w:i/>
          <w:iCs/>
          <w:lang w:val="en-US"/>
        </w:rPr>
        <w:t xml:space="preserve">T </w:t>
      </w:r>
      <w:r>
        <w:rPr>
          <w:rFonts w:eastAsiaTheme="minorEastAsia" w:cs="Times New Roman"/>
          <w:lang w:val="en-US"/>
        </w:rPr>
        <w:t xml:space="preserve">is the temperature of the radiative heat source which was measured experimentally. </w:t>
      </w:r>
    </w:p>
    <w:p w14:paraId="65775580" w14:textId="77777777" w:rsidR="00092E5F" w:rsidRDefault="00092E5F">
      <w:pPr>
        <w:spacing w:line="360" w:lineRule="auto"/>
        <w:jc w:val="both"/>
        <w:rPr>
          <w:rFonts w:cs="Times New Roman"/>
          <w:lang w:val="en-US"/>
        </w:rPr>
      </w:pPr>
    </w:p>
    <w:p w14:paraId="2E17EB97" w14:textId="77777777" w:rsidR="00092E5F" w:rsidRDefault="00000000">
      <w:pPr>
        <w:pStyle w:val="Heading3"/>
        <w:rPr>
          <w:lang w:val="en-US"/>
        </w:rPr>
      </w:pPr>
      <w:bookmarkStart w:id="7" w:name="_Toc182485380"/>
      <w:r>
        <w:rPr>
          <w:lang w:val="en-US"/>
        </w:rPr>
        <w:t>Text S5: Calculations of volume, cost, and global warming potential</w:t>
      </w:r>
      <w:bookmarkEnd w:id="7"/>
      <w:r>
        <w:rPr>
          <w:lang w:val="en-US"/>
        </w:rPr>
        <w:t xml:space="preserve">  </w:t>
      </w:r>
    </w:p>
    <w:p w14:paraId="3B26F8A8" w14:textId="77777777" w:rsidR="00092E5F" w:rsidRDefault="00000000">
      <w:pPr>
        <w:spacing w:line="360" w:lineRule="auto"/>
        <w:ind w:firstLine="720"/>
        <w:jc w:val="both"/>
        <w:rPr>
          <w:rFonts w:cs="Times New Roman"/>
          <w:lang w:val="en-US"/>
        </w:rPr>
      </w:pPr>
      <w:r>
        <w:rPr>
          <w:rFonts w:cs="Times New Roman"/>
          <w:lang w:val="en-US"/>
        </w:rPr>
        <w:t>The volume of a single TWL reactor module was calculated with a target of minimally producing 100kg</w:t>
      </w:r>
      <w:r>
        <w:rPr>
          <w:rFonts w:cs="Times New Roman"/>
          <w:vertAlign w:val="subscript"/>
          <w:lang w:val="en-US"/>
        </w:rPr>
        <w:t>H2</w:t>
      </w:r>
      <w:r>
        <w:rPr>
          <w:rFonts w:cs="Times New Roman"/>
          <w:lang w:val="en-US"/>
        </w:rPr>
        <w:t xml:space="preserve">/day. At our conditions for 97% conversion and 76% energy efficiency, this would require 1,700 parallel tubes to achieve. We then determine the diameter of a cylinder needed to fit this number of tubes with an outer diameter of 0.34 cm (inner diameter 0.3 cm) to be 16 cm. The height of the reactor is 9 cm with heads of 4 cm height on the inlet and outlet sides. </w:t>
      </w:r>
    </w:p>
    <w:p w14:paraId="66B5BC65" w14:textId="77777777" w:rsidR="00092E5F" w:rsidRDefault="00000000">
      <w:pPr>
        <w:spacing w:line="360" w:lineRule="auto"/>
        <w:ind w:firstLine="720"/>
        <w:jc w:val="both"/>
        <w:rPr>
          <w:rFonts w:cs="Times New Roman"/>
          <w:lang w:val="en-US"/>
        </w:rPr>
      </w:pPr>
      <w:r>
        <w:rPr>
          <w:rFonts w:cs="Times New Roman"/>
          <w:lang w:val="en-US"/>
        </w:rPr>
        <w:t>Costs for conventional ADR and the TWL reactor are calculated based on variable operating costs, including green ammonia, electricity, and other utilities. The price of green ammonia</w:t>
      </w:r>
      <w:r>
        <w:rPr>
          <w:rFonts w:cs="Times New Roman"/>
          <w:lang w:val="en-US"/>
        </w:rPr>
        <w:fldChar w:fldCharType="begin"/>
      </w:r>
      <w:r>
        <w:rPr>
          <w:rFonts w:cs="Times New Roman"/>
          <w:lang w:val="en-US"/>
        </w:rPr>
        <w:instrText xml:space="preserve"> ADDIN EN.CITE &lt;EndNote&gt;&lt;Cite&gt;&lt;Author&gt;Burgess&lt;/Author&gt;&lt;Year&gt;2024&lt;/Year&gt;&lt;RecNum&gt;502&lt;/RecNum&gt;&lt;DisplayText&gt;&lt;style face="superscript"&gt;4&lt;/style&gt;&lt;/DisplayText&gt;&lt;record&gt;&lt;rec-number&gt;502&lt;/rec-number&gt;&lt;foreign-keys&gt;&lt;key app="EN" db-id="s5z2zsz04waeexe29v3pzvfl2x5z0s5f0vvs" timestamp="1731072431"&gt;502&lt;/key&gt;&lt;/foreign-keys&gt;&lt;ref-type name="Web Page"&gt;12&lt;/ref-type&gt;&lt;contributors&gt;&lt;authors&gt;&lt;author&gt;Burgess, James&lt;/author&gt;&lt;/authors&gt;&lt;/contributors&gt;&lt;titles&gt;&lt;title&gt;Blue, green ammonia prices diverge as electrolysis power prices rise, natural gas falls&lt;/title&gt;&lt;/titles&gt;&lt;volume&gt;2024&lt;/volume&gt;&lt;dates&gt;&lt;year&gt;2024&lt;/year&gt;&lt;/dates&gt;&lt;publisher&gt;S&amp;amp;P Global&lt;/publisher&gt;&lt;urls&gt;&lt;related-urls&gt;&lt;url&gt;https://www.spglobal.com/commodityinsights/en/market-insights/latest-news/energy-transition/031924-blue-green-ammonia-prices-diverge-as-electrolysis-power-prices-rise-natural-gas-falls&lt;/url&gt;&lt;/related-urls&gt;&lt;/urls&gt;&lt;/record&gt;&lt;/Cite&gt;&lt;/EndNote&gt;</w:instrText>
      </w:r>
      <w:r>
        <w:rPr>
          <w:rFonts w:cs="Times New Roman"/>
          <w:lang w:val="en-US"/>
        </w:rPr>
        <w:fldChar w:fldCharType="separate"/>
      </w:r>
      <w:r>
        <w:rPr>
          <w:rFonts w:cs="Times New Roman"/>
          <w:vertAlign w:val="superscript"/>
          <w:lang w:val="en-US"/>
        </w:rPr>
        <w:t>4</w:t>
      </w:r>
      <w:r>
        <w:rPr>
          <w:rFonts w:cs="Times New Roman"/>
          <w:lang w:val="en-US"/>
        </w:rPr>
        <w:fldChar w:fldCharType="end"/>
      </w:r>
      <w:r>
        <w:rPr>
          <w:rFonts w:cs="Times New Roman"/>
          <w:lang w:val="en-US"/>
        </w:rPr>
        <w:t xml:space="preserve"> is set at $700/ton</w:t>
      </w:r>
      <w:r>
        <w:rPr>
          <w:rFonts w:cs="Times New Roman"/>
          <w:vertAlign w:val="subscript"/>
          <w:lang w:val="en-US"/>
        </w:rPr>
        <w:t>NH3</w:t>
      </w:r>
      <w:r>
        <w:rPr>
          <w:rFonts w:cs="Times New Roman"/>
          <w:lang w:val="en-US"/>
        </w:rPr>
        <w:t xml:space="preserve"> and the price of green electricity $0.2/kWh (solar energy). Feedstock and energy requirements for ADR were taken from the model by Makhloufi and </w:t>
      </w:r>
      <w:proofErr w:type="spellStart"/>
      <w:r>
        <w:rPr>
          <w:rFonts w:cs="Times New Roman"/>
          <w:lang w:val="en-US"/>
        </w:rPr>
        <w:t>Kezibri</w:t>
      </w:r>
      <w:proofErr w:type="spellEnd"/>
      <w:r>
        <w:rPr>
          <w:rFonts w:cs="Times New Roman"/>
          <w:lang w:val="en-US"/>
        </w:rPr>
        <w:t xml:space="preserve"> for a 200 ton</w:t>
      </w:r>
      <w:r>
        <w:rPr>
          <w:rFonts w:cs="Times New Roman"/>
          <w:vertAlign w:val="subscript"/>
          <w:lang w:val="en-US"/>
        </w:rPr>
        <w:t>H2</w:t>
      </w:r>
      <w:r>
        <w:rPr>
          <w:rFonts w:cs="Times New Roman"/>
          <w:lang w:val="en-US"/>
        </w:rPr>
        <w:t>/day ammonia cracking plant</w:t>
      </w:r>
      <w:r>
        <w:rPr>
          <w:rFonts w:cs="Times New Roman"/>
          <w:lang w:val="en-US"/>
        </w:rPr>
        <w:fldChar w:fldCharType="begin"/>
      </w:r>
      <w:r>
        <w:rPr>
          <w:rFonts w:cs="Times New Roman"/>
          <w:lang w:val="en-US"/>
        </w:rPr>
        <w:instrText xml:space="preserve"> ADDIN EN.CITE &lt;EndNote&gt;&lt;Cite&gt;&lt;Author&gt;Makhloufi&lt;/Author&gt;&lt;Year&gt;2021&lt;/Year&gt;&lt;RecNum&gt;308&lt;/RecNum&gt;&lt;DisplayText&gt;&lt;style face="superscript"&gt;5&lt;/style&gt;&lt;/DisplayText&gt;&lt;record&gt;&lt;rec-number&gt;308&lt;/rec-number&gt;&lt;foreign-keys&gt;&lt;key app="EN" db-id="s5z2zsz04waeexe29v3pzvfl2x5z0s5f0vvs" timestamp="1681831939"&gt;308&lt;/key&gt;&lt;/foreign-keys&gt;&lt;ref-type name="Journal Article"&gt;17&lt;/ref-type&gt;&lt;contributors&gt;&lt;authors&gt;&lt;author&gt;Makhloufi, Camel&lt;/author&gt;&lt;author&gt;Kezibri, Nouaamane&lt;/author&gt;&lt;/authors&gt;&lt;/contributors&gt;&lt;titles&gt;&lt;title&gt;Large-scale decomposition of green ammonia for pure hydrogen production&lt;/title&gt;&lt;secondary-title&gt;International Journal of Hydrogen Energy&lt;/secondary-title&gt;&lt;/titles&gt;&lt;periodical&gt;&lt;full-title&gt;International Journal of Hydrogen Energy&lt;/full-title&gt;&lt;abbr-1&gt;Int. J. Hydrog. Energy&lt;/abbr-1&gt;&lt;abbr-2&gt;Int J Hydrog Energy&lt;/abbr-2&gt;&lt;/periodical&gt;&lt;pages&gt;34777-34787&lt;/pages&gt;&lt;volume&gt;46&lt;/volume&gt;&lt;number&gt;70&lt;/number&gt;&lt;section&gt;34777&lt;/section&gt;&lt;dates&gt;&lt;year&gt;2021&lt;/year&gt;&lt;/dates&gt;&lt;isbn&gt;03603199&lt;/isbn&gt;&lt;urls&gt;&lt;/urls&gt;&lt;electronic-resource-num&gt;10.1016/j.ijhydene.2021.07.188&lt;/electronic-resource-num&gt;&lt;/record&gt;&lt;/Cite&gt;&lt;/EndNote&gt;</w:instrText>
      </w:r>
      <w:r>
        <w:rPr>
          <w:rFonts w:cs="Times New Roman"/>
          <w:lang w:val="en-US"/>
        </w:rPr>
        <w:fldChar w:fldCharType="separate"/>
      </w:r>
      <w:r>
        <w:rPr>
          <w:rFonts w:cs="Times New Roman"/>
          <w:vertAlign w:val="superscript"/>
          <w:lang w:val="en-US"/>
        </w:rPr>
        <w:t>5</w:t>
      </w:r>
      <w:r>
        <w:rPr>
          <w:rFonts w:cs="Times New Roman"/>
          <w:lang w:val="en-US"/>
        </w:rPr>
        <w:fldChar w:fldCharType="end"/>
      </w:r>
      <w:r>
        <w:rPr>
          <w:rFonts w:cs="Times New Roman"/>
          <w:lang w:val="en-US"/>
        </w:rPr>
        <w:t>. Global warming potential (GWP) of ADR is based on the electricity requirement of the process assuming emissions of 25 g</w:t>
      </w:r>
      <w:r>
        <w:rPr>
          <w:rFonts w:cs="Times New Roman"/>
          <w:vertAlign w:val="subscript"/>
          <w:lang w:val="en-US"/>
        </w:rPr>
        <w:t>CO2</w:t>
      </w:r>
      <w:r>
        <w:rPr>
          <w:rFonts w:cs="Times New Roman"/>
          <w:lang w:val="en-US"/>
        </w:rPr>
        <w:t>/kWh for a renewable electricity source and additional NO</w:t>
      </w:r>
      <w:r>
        <w:rPr>
          <w:rFonts w:cs="Times New Roman"/>
          <w:vertAlign w:val="subscript"/>
          <w:lang w:val="en-US"/>
        </w:rPr>
        <w:t>x</w:t>
      </w:r>
      <w:r>
        <w:rPr>
          <w:rFonts w:cs="Times New Roman"/>
          <w:lang w:val="en-US"/>
        </w:rPr>
        <w:t xml:space="preserve"> emissions from using NH</w:t>
      </w:r>
      <w:r>
        <w:rPr>
          <w:rFonts w:cs="Times New Roman"/>
          <w:vertAlign w:val="subscript"/>
          <w:lang w:val="en-US"/>
        </w:rPr>
        <w:t>3</w:t>
      </w:r>
      <w:r>
        <w:rPr>
          <w:rFonts w:cs="Times New Roman"/>
          <w:lang w:val="en-US"/>
        </w:rPr>
        <w:t xml:space="preserve"> as a heating fuel. </w:t>
      </w:r>
      <w:proofErr w:type="gramStart"/>
      <w:r>
        <w:rPr>
          <w:rFonts w:cs="Times New Roman"/>
          <w:lang w:val="en-US"/>
        </w:rPr>
        <w:t>GWP</w:t>
      </w:r>
      <w:proofErr w:type="gramEnd"/>
      <w:r>
        <w:rPr>
          <w:rFonts w:cs="Times New Roman"/>
          <w:lang w:val="en-US"/>
        </w:rPr>
        <w:t xml:space="preserve"> of the TWL reactor is also based on the electricity requirement and the assumption of 25 g</w:t>
      </w:r>
      <w:r>
        <w:rPr>
          <w:rFonts w:cs="Times New Roman"/>
          <w:vertAlign w:val="subscript"/>
          <w:lang w:val="en-US"/>
        </w:rPr>
        <w:t>CO2</w:t>
      </w:r>
      <w:r>
        <w:rPr>
          <w:rFonts w:cs="Times New Roman"/>
          <w:lang w:val="en-US"/>
        </w:rPr>
        <w:t>/kWh for a renewable electricity source.</w:t>
      </w:r>
    </w:p>
    <w:p w14:paraId="650965E6" w14:textId="77777777" w:rsidR="00092E5F" w:rsidRDefault="00092E5F">
      <w:pPr>
        <w:spacing w:line="360" w:lineRule="auto"/>
        <w:jc w:val="both"/>
        <w:rPr>
          <w:rFonts w:cs="Times New Roman"/>
          <w:b/>
          <w:bCs/>
          <w:lang w:val="en-US"/>
        </w:rPr>
      </w:pPr>
    </w:p>
    <w:p w14:paraId="34972862" w14:textId="77777777" w:rsidR="00092E5F" w:rsidRDefault="00000000">
      <w:pPr>
        <w:pStyle w:val="Heading3"/>
        <w:rPr>
          <w:lang w:val="en-US"/>
        </w:rPr>
      </w:pPr>
      <w:bookmarkStart w:id="8" w:name="_Toc182485381"/>
      <w:r>
        <w:rPr>
          <w:lang w:val="en-US"/>
        </w:rPr>
        <w:t>Text S6: Calculations for TWL reactor performance in different application scenarios</w:t>
      </w:r>
      <w:bookmarkEnd w:id="8"/>
      <w:r>
        <w:rPr>
          <w:lang w:val="en-US"/>
        </w:rPr>
        <w:t xml:space="preserve"> </w:t>
      </w:r>
    </w:p>
    <w:p w14:paraId="25F50CCC" w14:textId="77777777" w:rsidR="00092E5F" w:rsidRDefault="00000000">
      <w:pPr>
        <w:spacing w:line="360" w:lineRule="auto"/>
        <w:ind w:firstLine="720"/>
        <w:jc w:val="both"/>
        <w:rPr>
          <w:rFonts w:cs="Times New Roman"/>
          <w:lang w:val="en-US"/>
        </w:rPr>
      </w:pPr>
      <w:r>
        <w:rPr>
          <w:rFonts w:cs="Times New Roman"/>
          <w:lang w:val="en-US"/>
        </w:rPr>
        <w:t>The hydrogen purity requirements for stationary fuel cell and fuel cell vehicle applications are based on the international standard ISO 14687:2019</w:t>
      </w:r>
      <w:r>
        <w:rPr>
          <w:rFonts w:cs="Times New Roman"/>
          <w:lang w:val="en-US"/>
        </w:rPr>
        <w:fldChar w:fldCharType="begin"/>
      </w:r>
      <w:r>
        <w:rPr>
          <w:rFonts w:cs="Times New Roman"/>
          <w:lang w:val="en-US"/>
        </w:rPr>
        <w:instrText xml:space="preserve"> ADDIN EN.CITE &lt;EndNote&gt;&lt;Cite&gt;&lt;Author&gt;Institution&lt;/Author&gt;&lt;Year&gt;2019&lt;/Year&gt;&lt;RecNum&gt;401&lt;/RecNum&gt;&lt;DisplayText&gt;&lt;style face="superscript"&gt;6&lt;/style&gt;&lt;/DisplayText&gt;&lt;record&gt;&lt;rec-number&gt;401&lt;/rec-number&gt;&lt;foreign-keys&gt;&lt;key app="EN" db-id="s5z2zsz04waeexe29v3pzvfl2x5z0s5f0vvs" timestamp="1709703774"&gt;401&lt;/key&gt;&lt;/foreign-keys&gt;&lt;ref-type name="Standard"&gt;58&lt;/ref-type&gt;&lt;contributors&gt;&lt;authors&gt;&lt;author&gt;British Standards Institution&lt;/author&gt;&lt;/authors&gt;&lt;/contributors&gt;&lt;titles&gt;&lt;title&gt;Hydrogen fuel quality - Product specification&lt;/title&gt;&lt;/titles&gt;&lt;dates&gt;&lt;year&gt;2019&lt;/year&gt;&lt;/dates&gt;&lt;pub-location&gt;Switzerland&lt;/pub-location&gt;&lt;publisher&gt;International Organization for Standardization&lt;/publisher&gt;&lt;isbn&gt;BS ISO 14687:2019&lt;/isbn&gt;&lt;urls&gt;&lt;/urls&gt;&lt;/record&gt;&lt;/Cite&gt;&lt;/EndNote&gt;</w:instrText>
      </w:r>
      <w:r>
        <w:rPr>
          <w:rFonts w:cs="Times New Roman"/>
          <w:lang w:val="en-US"/>
        </w:rPr>
        <w:fldChar w:fldCharType="separate"/>
      </w:r>
      <w:r>
        <w:rPr>
          <w:rFonts w:cs="Times New Roman"/>
          <w:vertAlign w:val="superscript"/>
          <w:lang w:val="en-US"/>
        </w:rPr>
        <w:t>6</w:t>
      </w:r>
      <w:r>
        <w:rPr>
          <w:rFonts w:cs="Times New Roman"/>
          <w:lang w:val="en-US"/>
        </w:rPr>
        <w:fldChar w:fldCharType="end"/>
      </w:r>
      <w:r>
        <w:rPr>
          <w:rFonts w:cs="Times New Roman"/>
          <w:lang w:val="en-US"/>
        </w:rPr>
        <w:t>. Stationary fuel cell units are usually small at about 1 MW in capacity and 51% in efficiency</w:t>
      </w:r>
      <w:r>
        <w:rPr>
          <w:rFonts w:cs="Times New Roman"/>
          <w:lang w:val="en-US"/>
        </w:rPr>
        <w:fldChar w:fldCharType="begin"/>
      </w:r>
      <w:r>
        <w:rPr>
          <w:rFonts w:cs="Times New Roman"/>
          <w:lang w:val="en-US"/>
        </w:rPr>
        <w:instrText xml:space="preserve"> ADDIN EN.CITE &lt;EndNote&gt;&lt;Cite&gt;&lt;Author&gt;Weidner&lt;/Author&gt;&lt;Year&gt;2019&lt;/Year&gt;&lt;RecNum&gt;361&lt;/RecNum&gt;&lt;DisplayText&gt;&lt;style face="superscript"&gt;7&lt;/style&gt;&lt;/DisplayText&gt;&lt;record&gt;&lt;rec-number&gt;361&lt;/rec-number&gt;&lt;foreign-keys&gt;&lt;key app="EN" db-id="s5z2zsz04waeexe29v3pzvfl2x5z0s5f0vvs" timestamp="1700117224"&gt;361&lt;/key&gt;&lt;/foreign-keys&gt;&lt;ref-type name="Report"&gt;27&lt;/ref-type&gt;&lt;contributors&gt;&lt;authors&gt;&lt;author&gt;Weidner, E.&lt;/author&gt;&lt;author&gt;Ortiz Cebolla, R.&lt;/author&gt;&lt;author&gt;Davies, J.&lt;/author&gt;&lt;/authors&gt;&lt;tertiary-authors&gt;&lt;author&gt;Publications Office of the European Union&lt;/author&gt;&lt;/tertiary-authors&gt;&lt;/contributors&gt;&lt;titles&gt;&lt;title&gt;Global deployment of large capacity stationary fuel cells – Drivers of, and barriers to, stationary fuel cell deployment&lt;/title&gt;&lt;/titles&gt;&lt;number&gt;EUR 29693 EN&lt;/number&gt;&lt;dates&gt;&lt;year&gt;2019&lt;/year&gt;&lt;/dates&gt;&lt;pub-location&gt;Luxembourg&lt;/pub-location&gt;&lt;publisher&gt;Joint Research Centre&lt;/publisher&gt;&lt;urls&gt;&lt;/urls&gt;&lt;electronic-resource-num&gt;doi:10.2760/372263&lt;/electronic-resource-num&gt;&lt;/record&gt;&lt;/Cite&gt;&lt;/EndNote&gt;</w:instrText>
      </w:r>
      <w:r>
        <w:rPr>
          <w:rFonts w:cs="Times New Roman"/>
          <w:lang w:val="en-US"/>
        </w:rPr>
        <w:fldChar w:fldCharType="separate"/>
      </w:r>
      <w:r>
        <w:rPr>
          <w:rFonts w:cs="Times New Roman"/>
          <w:vertAlign w:val="superscript"/>
          <w:lang w:val="en-US"/>
        </w:rPr>
        <w:t>7</w:t>
      </w:r>
      <w:r>
        <w:rPr>
          <w:rFonts w:cs="Times New Roman"/>
          <w:lang w:val="en-US"/>
        </w:rPr>
        <w:fldChar w:fldCharType="end"/>
      </w:r>
      <w:r>
        <w:rPr>
          <w:rFonts w:cs="Times New Roman"/>
          <w:lang w:val="en-US"/>
        </w:rPr>
        <w:t>, so the required hydrogen amount for this application is calculated based on this and the energy content of hydrogen. Hydrogen refueling stations are usually of the scale 0.3-1 tpd</w:t>
      </w:r>
      <w:r>
        <w:rPr>
          <w:rFonts w:cs="Times New Roman"/>
          <w:vertAlign w:val="subscript"/>
          <w:lang w:val="en-US"/>
        </w:rPr>
        <w:t>H2</w:t>
      </w:r>
      <w:r>
        <w:rPr>
          <w:rFonts w:cs="Times New Roman"/>
          <w:lang w:val="en-US"/>
        </w:rPr>
        <w:t>, with the maximum able to refuel about 200 cars with a 5 kg tank and 100 kW engine</w:t>
      </w:r>
      <w:r>
        <w:rPr>
          <w:rFonts w:cs="Times New Roman"/>
          <w:lang w:val="en-US"/>
        </w:rPr>
        <w:fldChar w:fldCharType="begin"/>
      </w:r>
      <w:r>
        <w:rPr>
          <w:rFonts w:cs="Times New Roman"/>
          <w:lang w:val="en-US"/>
        </w:rPr>
        <w:instrText xml:space="preserve"> ADDIN EN.CITE &lt;EndNote&gt;&lt;Cite&gt;&lt;Author&gt;Lim&lt;/Author&gt;&lt;Year&gt;2022&lt;/Year&gt;&lt;RecNum&gt;354&lt;/RecNum&gt;&lt;DisplayText&gt;&lt;style face="superscript"&gt;8&lt;/style&gt;&lt;/DisplayText&gt;&lt;record&gt;&lt;rec-number&gt;354&lt;/rec-number&gt;&lt;foreign-keys&gt;&lt;key app="EN" db-id="s5z2zsz04waeexe29v3pzvfl2x5z0s5f0vvs" timestamp="1699956104"&gt;354&lt;/key&gt;&lt;/foreign-keys&gt;&lt;ref-type name="Journal Article"&gt;17&lt;/ref-type&gt;&lt;contributors&gt;&lt;authors&gt;&lt;author&gt;Lim, Dongjun&lt;/author&gt;&lt;author&gt;Lee, Aejin&lt;/author&gt;&lt;author&gt;Kim, Ayeon&lt;/author&gt;&lt;author&gt;Haider, Junaid&lt;/author&gt;&lt;author&gt;Mikulčić, Hrvoje&lt;/author&gt;&lt;author&gt;Brigljević, Boris&lt;/author&gt;&lt;author&gt;Lim, Hankwon&lt;/author&gt;&lt;/authors&gt;&lt;/contributors&gt;&lt;titles&gt;&lt;title&gt;A 4E feasibility analysis of an on-site, ammonia sourced, hydrogen refueling station&lt;/title&gt;&lt;secondary-title&gt;Journal of Cleaner Production&lt;/secondary-title&gt;&lt;/titles&gt;&lt;periodical&gt;&lt;full-title&gt;Journal of Cleaner Production&lt;/full-title&gt;&lt;abbr-1&gt;J. Clean. Prod.&lt;/abbr-1&gt;&lt;abbr-2&gt;J Clean Prod&lt;/abbr-2&gt;&lt;/periodical&gt;&lt;volume&gt;363&lt;/volume&gt;&lt;section&gt;132356&lt;/section&gt;&lt;dates&gt;&lt;year&gt;2022&lt;/year&gt;&lt;/dates&gt;&lt;isbn&gt;09596526&lt;/isbn&gt;&lt;urls&gt;&lt;/urls&gt;&lt;electronic-resource-num&gt;10.1016/j.jclepro.2022.132356&lt;/electronic-resource-num&gt;&lt;/record&gt;&lt;/Cite&gt;&lt;/EndNote&gt;</w:instrText>
      </w:r>
      <w:r>
        <w:rPr>
          <w:rFonts w:cs="Times New Roman"/>
          <w:lang w:val="en-US"/>
        </w:rPr>
        <w:fldChar w:fldCharType="separate"/>
      </w:r>
      <w:r>
        <w:rPr>
          <w:rFonts w:cs="Times New Roman"/>
          <w:vertAlign w:val="superscript"/>
          <w:lang w:val="en-US"/>
        </w:rPr>
        <w:t>8</w:t>
      </w:r>
      <w:r>
        <w:rPr>
          <w:rFonts w:cs="Times New Roman"/>
          <w:lang w:val="en-US"/>
        </w:rPr>
        <w:fldChar w:fldCharType="end"/>
      </w:r>
      <w:r>
        <w:rPr>
          <w:rFonts w:cs="Times New Roman"/>
          <w:lang w:val="en-US"/>
        </w:rPr>
        <w:t xml:space="preserve">. Energy output of the partial cracking scenario is calculated assuming 40% of the fuel energy content is converted to electricity by the turbine.  </w:t>
      </w:r>
    </w:p>
    <w:p w14:paraId="44F8B5BE" w14:textId="77777777" w:rsidR="00092E5F" w:rsidRDefault="00000000">
      <w:pPr>
        <w:spacing w:line="360" w:lineRule="auto"/>
        <w:ind w:firstLine="720"/>
        <w:jc w:val="both"/>
        <w:rPr>
          <w:rFonts w:cs="Times New Roman"/>
          <w:lang w:val="en-US"/>
        </w:rPr>
      </w:pPr>
      <w:r>
        <w:rPr>
          <w:rFonts w:cs="Times New Roman"/>
          <w:lang w:val="en-US"/>
        </w:rPr>
        <w:t xml:space="preserve">Removal of trace ammonia was assumed to use dynamic adsorption methods that only requires water and negligible energy input but is able to reduce ammonia content from 1000 </w:t>
      </w:r>
      <w:r>
        <w:rPr>
          <w:rFonts w:cs="Times New Roman"/>
          <w:lang w:val="en-US"/>
        </w:rPr>
        <w:lastRenderedPageBreak/>
        <w:t>ppm to &lt;0.1 ppm</w:t>
      </w:r>
      <w:r>
        <w:rPr>
          <w:rFonts w:cs="Times New Roman"/>
          <w:lang w:val="en-US"/>
        </w:rPr>
        <w:fldChar w:fldCharType="begin"/>
      </w:r>
      <w:r>
        <w:rPr>
          <w:rFonts w:cs="Times New Roman"/>
          <w:lang w:val="en-US"/>
        </w:rPr>
        <w:instrText xml:space="preserve"> ADDIN EN.CITE &lt;EndNote&gt;&lt;Cite&gt;&lt;Author&gt;Miyaoka&lt;/Author&gt;&lt;Year&gt;2018&lt;/Year&gt;&lt;RecNum&gt;398&lt;/RecNum&gt;&lt;DisplayText&gt;&lt;style face="superscript"&gt;9&lt;/style&gt;&lt;/DisplayText&gt;&lt;record&gt;&lt;rec-number&gt;398&lt;/rec-number&gt;&lt;foreign-keys&gt;&lt;key app="EN" db-id="s5z2zsz04waeexe29v3pzvfl2x5z0s5f0vvs" timestamp="1709697039"&gt;398&lt;/key&gt;&lt;/foreign-keys&gt;&lt;ref-type name="Journal Article"&gt;17&lt;/ref-type&gt;&lt;contributors&gt;&lt;authors&gt;&lt;author&gt;Miyaoka, Hiroki&lt;/author&gt;&lt;author&gt;Miyaoka, Hikaru&lt;/author&gt;&lt;author&gt;Ichikawa, Tomoyuki&lt;/author&gt;&lt;author&gt;Ichikawa, Takayuki&lt;/author&gt;&lt;author&gt;Kojima, Yoshitsugu&lt;/author&gt;&lt;/authors&gt;&lt;/contributors&gt;&lt;titles&gt;&lt;title&gt;Highly purified hydrogen production from ammonia for PEM fuel cell&lt;/title&gt;&lt;secondary-title&gt;International Journal of Hydrogen Energy&lt;/secondary-title&gt;&lt;/titles&gt;&lt;periodical&gt;&lt;full-title&gt;International Journal of Hydrogen Energy&lt;/full-title&gt;&lt;abbr-1&gt;Int. J. Hydrog. Energy&lt;/abbr-1&gt;&lt;abbr-2&gt;Int J Hydrog Energy&lt;/abbr-2&gt;&lt;/periodical&gt;&lt;pages&gt;14486-14492&lt;/pages&gt;&lt;volume&gt;43&lt;/volume&gt;&lt;number&gt;31&lt;/number&gt;&lt;keywords&gt;&lt;keyword&gt;Hydrogen production&lt;/keyword&gt;&lt;keyword&gt;Ammonia&lt;/keyword&gt;&lt;keyword&gt;Fuel cell&lt;/keyword&gt;&lt;keyword&gt;Zeolite&lt;/keyword&gt;&lt;keyword&gt;Purification&lt;/keyword&gt;&lt;/keywords&gt;&lt;dates&gt;&lt;year&gt;2018&lt;/year&gt;&lt;pub-dates&gt;&lt;date&gt;2018/08/02/&lt;/date&gt;&lt;/pub-dates&gt;&lt;/dates&gt;&lt;isbn&gt;0360-3199&lt;/isbn&gt;&lt;urls&gt;&lt;related-urls&gt;&lt;url&gt;https://www.sciencedirect.com/science/article/pii/S0360319918318779&lt;/url&gt;&lt;/related-urls&gt;&lt;/urls&gt;&lt;electronic-resource-num&gt;https://doi.org/10.1016/j.ijhydene.2018.06.065&lt;/electronic-resource-num&gt;&lt;/record&gt;&lt;/Cite&gt;&lt;/EndNote&gt;</w:instrText>
      </w:r>
      <w:r>
        <w:rPr>
          <w:rFonts w:cs="Times New Roman"/>
          <w:lang w:val="en-US"/>
        </w:rPr>
        <w:fldChar w:fldCharType="separate"/>
      </w:r>
      <w:r>
        <w:rPr>
          <w:rFonts w:cs="Times New Roman"/>
          <w:vertAlign w:val="superscript"/>
          <w:lang w:val="en-US"/>
        </w:rPr>
        <w:t>9</w:t>
      </w:r>
      <w:r>
        <w:rPr>
          <w:rFonts w:cs="Times New Roman"/>
          <w:lang w:val="en-US"/>
        </w:rPr>
        <w:fldChar w:fldCharType="end"/>
      </w:r>
      <w:r>
        <w:rPr>
          <w:rFonts w:cs="Times New Roman"/>
          <w:lang w:val="en-US"/>
        </w:rPr>
        <w:t>. PSA is assumed to require 0.5 kWh/kg</w:t>
      </w:r>
      <w:r>
        <w:rPr>
          <w:rFonts w:cs="Times New Roman"/>
          <w:vertAlign w:val="subscript"/>
          <w:lang w:val="en-US"/>
        </w:rPr>
        <w:t xml:space="preserve">H2 </w:t>
      </w:r>
      <w:r>
        <w:rPr>
          <w:rFonts w:cs="Times New Roman"/>
          <w:lang w:val="en-US"/>
        </w:rPr>
        <w:t>for removal of N</w:t>
      </w:r>
      <w:r>
        <w:rPr>
          <w:rFonts w:cs="Times New Roman"/>
          <w:vertAlign w:val="subscript"/>
          <w:lang w:val="en-US"/>
        </w:rPr>
        <w:t>2</w:t>
      </w:r>
      <w:r>
        <w:rPr>
          <w:rFonts w:cs="Times New Roman"/>
          <w:lang w:val="en-US"/>
        </w:rPr>
        <w:t xml:space="preserve"> to below 300 ppm</w:t>
      </w:r>
      <w:r>
        <w:rPr>
          <w:rFonts w:cs="Times New Roman"/>
          <w:lang w:val="en-US"/>
        </w:rPr>
        <w:fldChar w:fldCharType="begin"/>
      </w:r>
      <w:r>
        <w:rPr>
          <w:rFonts w:cs="Times New Roman"/>
          <w:lang w:val="en-US"/>
        </w:rPr>
        <w:instrText xml:space="preserve"> ADDIN EN.CITE &lt;EndNote&gt;&lt;Cite&gt;&lt;Author&gt;Ligen&lt;/Author&gt;&lt;Year&gt;2020&lt;/Year&gt;&lt;RecNum&gt;399&lt;/RecNum&gt;&lt;DisplayText&gt;&lt;style face="superscript"&gt;10&lt;/style&gt;&lt;/DisplayText&gt;&lt;record&gt;&lt;rec-number&gt;399&lt;/rec-number&gt;&lt;foreign-keys&gt;&lt;key app="EN" db-id="s5z2zsz04waeexe29v3pzvfl2x5z0s5f0vvs" timestamp="1709697159"&gt;399&lt;/key&gt;&lt;/foreign-keys&gt;&lt;ref-type name="Journal Article"&gt;17&lt;/ref-type&gt;&lt;contributors&gt;&lt;authors&gt;&lt;author&gt;Ligen, Yorick&lt;/author&gt;&lt;author&gt;Vrubel, Heron&lt;/author&gt;&lt;author&gt;Girault, Hubert&lt;/author&gt;&lt;/authors&gt;&lt;/contributors&gt;&lt;titles&gt;&lt;title&gt;Energy efficient hydrogen drying and purification for fuel cell vehicles&lt;/title&gt;&lt;secondary-title&gt;International Journal of Hydrogen Energy&lt;/secondary-title&gt;&lt;/titles&gt;&lt;periodical&gt;&lt;full-title&gt;International Journal of Hydrogen Energy&lt;/full-title&gt;&lt;abbr-1&gt;Int. J. Hydrog. Energy&lt;/abbr-1&gt;&lt;abbr-2&gt;Int J Hydrog Energy&lt;/abbr-2&gt;&lt;/periodical&gt;&lt;pages&gt;10639-10647&lt;/pages&gt;&lt;volume&gt;45&lt;/volume&gt;&lt;number&gt;18&lt;/number&gt;&lt;keywords&gt;&lt;keyword&gt;Pressure swing adsorption&lt;/keyword&gt;&lt;keyword&gt;Alkaline electrolysis&lt;/keyword&gt;&lt;keyword&gt;Hydrogen&lt;/keyword&gt;&lt;keyword&gt;Purification&lt;/keyword&gt;&lt;keyword&gt;Hydrogen refuelling station&lt;/keyword&gt;&lt;keyword&gt;Drying&lt;/keyword&gt;&lt;/keywords&gt;&lt;dates&gt;&lt;year&gt;2020&lt;/year&gt;&lt;pub-dates&gt;&lt;date&gt;2020/04/01/&lt;/date&gt;&lt;/pub-dates&gt;&lt;/dates&gt;&lt;isbn&gt;0360-3199&lt;/isbn&gt;&lt;urls&gt;&lt;related-urls&gt;&lt;url&gt;https://www.sciencedirect.com/science/article/pii/S0360319920305176&lt;/url&gt;&lt;/related-urls&gt;&lt;/urls&gt;&lt;electronic-resource-num&gt;https://doi.org/10.1016/j.ijhydene.2020.02.035&lt;/electronic-resource-num&gt;&lt;/record&gt;&lt;/Cite&gt;&lt;/EndNote&gt;</w:instrText>
      </w:r>
      <w:r>
        <w:rPr>
          <w:rFonts w:cs="Times New Roman"/>
          <w:lang w:val="en-US"/>
        </w:rPr>
        <w:fldChar w:fldCharType="separate"/>
      </w:r>
      <w:r>
        <w:rPr>
          <w:rFonts w:cs="Times New Roman"/>
          <w:vertAlign w:val="superscript"/>
          <w:lang w:val="en-US"/>
        </w:rPr>
        <w:t>10</w:t>
      </w:r>
      <w:r>
        <w:rPr>
          <w:rFonts w:cs="Times New Roman"/>
          <w:lang w:val="en-US"/>
        </w:rPr>
        <w:fldChar w:fldCharType="end"/>
      </w:r>
      <w:r>
        <w:rPr>
          <w:rFonts w:cs="Times New Roman"/>
          <w:lang w:val="en-US"/>
        </w:rPr>
        <w:t>. Hydrogen compression energy consumption from 1 bar to the required 880 bar for vehicle refueling is 3.2 kWh/kg</w:t>
      </w:r>
      <w:r>
        <w:rPr>
          <w:rFonts w:cs="Times New Roman"/>
          <w:vertAlign w:val="subscript"/>
          <w:lang w:val="en-US"/>
        </w:rPr>
        <w:t>H2</w:t>
      </w:r>
      <w:r>
        <w:rPr>
          <w:rFonts w:cs="Times New Roman"/>
          <w:lang w:val="en-US"/>
        </w:rPr>
        <w:fldChar w:fldCharType="begin"/>
      </w:r>
      <w:r>
        <w:rPr>
          <w:rFonts w:cs="Times New Roman"/>
          <w:lang w:val="en-US"/>
        </w:rPr>
        <w:instrText xml:space="preserve"> ADDIN EN.CITE &lt;EndNote&gt;&lt;Cite&gt;&lt;Author&gt;Gardiner&lt;/Author&gt;&lt;Year&gt;2009&lt;/Year&gt;&lt;RecNum&gt;400&lt;/RecNum&gt;&lt;DisplayText&gt;&lt;style face="superscript"&gt;11&lt;/style&gt;&lt;/DisplayText&gt;&lt;record&gt;&lt;rec-number&gt;400&lt;/rec-number&gt;&lt;foreign-keys&gt;&lt;key app="EN" db-id="s5z2zsz04waeexe29v3pzvfl2x5z0s5f0vvs" timestamp="1709697574"&gt;400&lt;/key&gt;&lt;/foreign-keys&gt;&lt;ref-type name="Report"&gt;27&lt;/ref-type&gt;&lt;contributors&gt;&lt;authors&gt;&lt;author&gt;Gardiner, Monterey&lt;/author&gt;&lt;/authors&gt;&lt;secondary-authors&gt;&lt;author&gt;Satyapal, Sunita&lt;/author&gt;&lt;/secondary-authors&gt;&lt;/contributors&gt;&lt;titles&gt;&lt;title&gt;Energy requirements for hydrogen gas compression and&amp;#xD;liquefaction as related to vehicle storage needs&lt;/title&gt;&lt;secondary-title&gt;DOE Hydrogen and Fuel Cells Program Record&lt;/secondary-title&gt;&lt;/titles&gt;&lt;dates&gt;&lt;year&gt;2009&lt;/year&gt;&lt;pub-dates&gt;&lt;date&gt;October 26, 2009&lt;/date&gt;&lt;/pub-dates&gt;&lt;/dates&gt;&lt;publisher&gt;Department of Energy, United States of America&lt;/publisher&gt;&lt;urls&gt;&lt;/urls&gt;&lt;/record&gt;&lt;/Cite&gt;&lt;/EndNote&gt;</w:instrText>
      </w:r>
      <w:r>
        <w:rPr>
          <w:rFonts w:cs="Times New Roman"/>
          <w:lang w:val="en-US"/>
        </w:rPr>
        <w:fldChar w:fldCharType="separate"/>
      </w:r>
      <w:r>
        <w:rPr>
          <w:rFonts w:cs="Times New Roman"/>
          <w:vertAlign w:val="superscript"/>
          <w:lang w:val="en-US"/>
        </w:rPr>
        <w:t>11</w:t>
      </w:r>
      <w:r>
        <w:rPr>
          <w:rFonts w:cs="Times New Roman"/>
          <w:lang w:val="en-US"/>
        </w:rPr>
        <w:fldChar w:fldCharType="end"/>
      </w:r>
      <w:r>
        <w:rPr>
          <w:rFonts w:cs="Times New Roman"/>
          <w:lang w:val="en-US"/>
        </w:rPr>
        <w:t xml:space="preserve">. Stationery PEMFC for power generation is typically operated at 3-4 bar, so the energy consumption for this compression is assumed to be negligible. </w:t>
      </w:r>
    </w:p>
    <w:p w14:paraId="693E6E3C" w14:textId="77777777" w:rsidR="00092E5F" w:rsidRDefault="00000000">
      <w:pPr>
        <w:spacing w:line="360" w:lineRule="auto"/>
        <w:ind w:firstLine="720"/>
        <w:jc w:val="both"/>
        <w:rPr>
          <w:rFonts w:cs="Times New Roman"/>
          <w:lang w:val="en-US"/>
        </w:rPr>
      </w:pPr>
      <w:r>
        <w:rPr>
          <w:rFonts w:cs="Times New Roman"/>
          <w:lang w:val="en-US"/>
        </w:rPr>
        <w:t>Solar panel requirement of the vehicle refueling scenario was calculated based on the average solar irradiance in Singapore</w:t>
      </w:r>
      <w:r>
        <w:rPr>
          <w:rFonts w:cs="Times New Roman"/>
          <w:lang w:val="en-US"/>
        </w:rPr>
        <w:fldChar w:fldCharType="begin"/>
      </w:r>
      <w:r>
        <w:rPr>
          <w:rFonts w:cs="Times New Roman"/>
          <w:lang w:val="en-US"/>
        </w:rPr>
        <w:instrText xml:space="preserve"> ADDIN EN.CITE &lt;EndNote&gt;&lt;Cite&gt;&lt;Author&gt;Singapore&lt;/Author&gt;&lt;Year&gt;2023&lt;/Year&gt;&lt;RecNum&gt;483&lt;/RecNum&gt;&lt;DisplayText&gt;&lt;style face="superscript"&gt;12&lt;/style&gt;&lt;/DisplayText&gt;&lt;record&gt;&lt;rec-number&gt;483&lt;/rec-number&gt;&lt;foreign-keys&gt;&lt;key app="EN" db-id="s5z2zsz04waeexe29v3pzvfl2x5z0s5f0vvs" timestamp="1715760110"&gt;483&lt;/key&gt;&lt;/foreign-keys&gt;&lt;ref-type name="Web Page"&gt;12&lt;/ref-type&gt;&lt;contributors&gt;&lt;authors&gt;&lt;author&gt;Energy Market Authority of Singapore&lt;/author&gt;&lt;/authors&gt;&lt;/contributors&gt;&lt;titles&gt;&lt;title&gt;What is the potential of solar energy in Singapore?&lt;/title&gt;&lt;/titles&gt;&lt;volume&gt;2024&lt;/volume&gt;&lt;dates&gt;&lt;year&gt;2023&lt;/year&gt;&lt;/dates&gt;&lt;pub-location&gt;Singapore&lt;/pub-location&gt;&lt;publisher&gt;Government of Singapore&lt;/publisher&gt;&lt;urls&gt;&lt;related-urls&gt;&lt;url&gt;https://www.ema.gov.sg/resources/faqs/energy-supply/solar/what-is-the-potential-of-solar-energy-in-singapore&lt;/url&gt;&lt;/related-urls&gt;&lt;/urls&gt;&lt;/record&gt;&lt;/Cite&gt;&lt;/EndNote&gt;</w:instrText>
      </w:r>
      <w:r>
        <w:rPr>
          <w:rFonts w:cs="Times New Roman"/>
          <w:lang w:val="en-US"/>
        </w:rPr>
        <w:fldChar w:fldCharType="separate"/>
      </w:r>
      <w:r>
        <w:rPr>
          <w:rFonts w:cs="Times New Roman"/>
          <w:vertAlign w:val="superscript"/>
          <w:lang w:val="en-US"/>
        </w:rPr>
        <w:t>12</w:t>
      </w:r>
      <w:r>
        <w:rPr>
          <w:rFonts w:cs="Times New Roman"/>
          <w:lang w:val="en-US"/>
        </w:rPr>
        <w:fldChar w:fldCharType="end"/>
      </w:r>
      <w:r>
        <w:rPr>
          <w:rFonts w:cs="Times New Roman"/>
          <w:lang w:val="en-US"/>
        </w:rPr>
        <w:t xml:space="preserve"> of 1,580 kWh/m</w:t>
      </w:r>
      <w:r>
        <w:rPr>
          <w:rFonts w:cs="Times New Roman"/>
          <w:vertAlign w:val="superscript"/>
          <w:lang w:val="en-US"/>
        </w:rPr>
        <w:t>2</w:t>
      </w:r>
      <w:r>
        <w:rPr>
          <w:rFonts w:cs="Times New Roman"/>
          <w:lang w:val="en-US"/>
        </w:rPr>
        <w:t xml:space="preserve">/year and a panel efficiency of 23%. </w:t>
      </w:r>
    </w:p>
    <w:p w14:paraId="1B17DA14" w14:textId="77777777" w:rsidR="00092E5F" w:rsidRDefault="00000000">
      <w:pPr>
        <w:pStyle w:val="Heading1"/>
        <w:spacing w:line="360" w:lineRule="auto"/>
        <w:rPr>
          <w:lang w:val="en-US"/>
        </w:rPr>
      </w:pPr>
      <w:bookmarkStart w:id="9" w:name="_Toc182485382"/>
      <w:r>
        <w:rPr>
          <w:lang w:val="en-US"/>
        </w:rPr>
        <w:t>Supplementary Figures</w:t>
      </w:r>
      <w:bookmarkEnd w:id="9"/>
      <w:r>
        <w:rPr>
          <w:lang w:val="en-US"/>
        </w:rPr>
        <w:t xml:space="preserve"> </w:t>
      </w:r>
    </w:p>
    <w:p w14:paraId="7D15E26A" w14:textId="77777777" w:rsidR="00092E5F" w:rsidRDefault="00000000">
      <w:pPr>
        <w:spacing w:line="360" w:lineRule="auto"/>
        <w:jc w:val="center"/>
        <w:rPr>
          <w:lang w:val="en-US"/>
        </w:rPr>
      </w:pPr>
      <w:r>
        <w:rPr>
          <w:noProof/>
          <w:lang w:val="en-US"/>
        </w:rPr>
        <w:drawing>
          <wp:inline distT="0" distB="0" distL="0" distR="0" wp14:anchorId="235BFA4F" wp14:editId="1A9E6851">
            <wp:extent cx="3397885" cy="2598420"/>
            <wp:effectExtent l="0" t="0" r="5715" b="5080"/>
            <wp:docPr id="913036723" name="Picture 1" descr="A graph with a line and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036723" name="Picture 1" descr="A graph with a line and a line&#10;&#10;Description automatically generated with medium confidence"/>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04394" cy="2603360"/>
                    </a:xfrm>
                    <a:prstGeom prst="rect">
                      <a:avLst/>
                    </a:prstGeom>
                  </pic:spPr>
                </pic:pic>
              </a:graphicData>
            </a:graphic>
          </wp:inline>
        </w:drawing>
      </w:r>
    </w:p>
    <w:p w14:paraId="4B9C02B4" w14:textId="77777777" w:rsidR="00092E5F" w:rsidRDefault="00000000">
      <w:pPr>
        <w:pStyle w:val="Heading3"/>
        <w:spacing w:line="360" w:lineRule="auto"/>
        <w:rPr>
          <w:lang w:val="en-US"/>
        </w:rPr>
      </w:pPr>
      <w:bookmarkStart w:id="10" w:name="_Toc182485383"/>
      <w:r>
        <w:rPr>
          <w:lang w:val="en-US"/>
        </w:rPr>
        <w:t>Figure S1. Theoretical estimation of tungsten wire temperature at 220 h</w:t>
      </w:r>
      <w:r>
        <w:rPr>
          <w:vertAlign w:val="superscript"/>
          <w:lang w:val="en-US"/>
        </w:rPr>
        <w:t>-1</w:t>
      </w:r>
      <w:r>
        <w:rPr>
          <w:lang w:val="en-US"/>
        </w:rPr>
        <w:t xml:space="preserve"> NH</w:t>
      </w:r>
      <w:r>
        <w:rPr>
          <w:vertAlign w:val="subscript"/>
          <w:lang w:val="en-US"/>
        </w:rPr>
        <w:t>3</w:t>
      </w:r>
      <w:r>
        <w:rPr>
          <w:lang w:val="en-US"/>
        </w:rPr>
        <w:t xml:space="preserve"> space velocity compared to experimental measurement.</w:t>
      </w:r>
      <w:bookmarkEnd w:id="10"/>
    </w:p>
    <w:p w14:paraId="3B209985" w14:textId="77777777" w:rsidR="00092E5F" w:rsidRDefault="00092E5F">
      <w:pPr>
        <w:rPr>
          <w:lang w:val="en-US"/>
        </w:rPr>
      </w:pPr>
    </w:p>
    <w:p w14:paraId="6CAE4CE5" w14:textId="77777777" w:rsidR="00092E5F" w:rsidRDefault="00000000">
      <w:pPr>
        <w:spacing w:line="360" w:lineRule="auto"/>
        <w:jc w:val="center"/>
        <w:rPr>
          <w:rFonts w:cs="Times New Roman"/>
          <w:lang w:val="en-US"/>
        </w:rPr>
      </w:pPr>
      <w:r>
        <w:rPr>
          <w:rFonts w:cs="Times New Roman"/>
          <w:noProof/>
          <w:lang w:val="en-US"/>
        </w:rPr>
        <w:drawing>
          <wp:inline distT="0" distB="0" distL="0" distR="0" wp14:anchorId="4A14A712" wp14:editId="155A277F">
            <wp:extent cx="5029200" cy="2514600"/>
            <wp:effectExtent l="0" t="0" r="0" b="0"/>
            <wp:docPr id="2003071609" name="Picture 1"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071609" name="Picture 1" descr="A screenshot of a computer generated image&#10;&#10;Description automatically generated"/>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29200" cy="2514600"/>
                    </a:xfrm>
                    <a:prstGeom prst="rect">
                      <a:avLst/>
                    </a:prstGeom>
                  </pic:spPr>
                </pic:pic>
              </a:graphicData>
            </a:graphic>
          </wp:inline>
        </w:drawing>
      </w:r>
    </w:p>
    <w:p w14:paraId="75C8D544" w14:textId="77777777" w:rsidR="00092E5F" w:rsidRDefault="00000000">
      <w:pPr>
        <w:pStyle w:val="Heading3"/>
        <w:rPr>
          <w:lang w:val="en-US"/>
        </w:rPr>
      </w:pPr>
      <w:bookmarkStart w:id="11" w:name="_Toc182485384"/>
      <w:r>
        <w:rPr>
          <w:lang w:val="en-US"/>
        </w:rPr>
        <w:t>Figure S2. IR photographs of tungsten wire at various power inputs.</w:t>
      </w:r>
      <w:bookmarkEnd w:id="11"/>
      <w:r>
        <w:rPr>
          <w:lang w:val="en-US"/>
        </w:rPr>
        <w:t xml:space="preserve"> </w:t>
      </w:r>
    </w:p>
    <w:p w14:paraId="34AA7715" w14:textId="77777777" w:rsidR="00092E5F" w:rsidRDefault="00000000">
      <w:pPr>
        <w:rPr>
          <w:lang w:val="en-US"/>
        </w:rPr>
      </w:pPr>
      <w:r>
        <w:rPr>
          <w:lang w:val="en-US"/>
        </w:rPr>
        <w:t xml:space="preserve">The color bar scale is temperature in Kelvins. The total image size is 3.4x0.5 mm. </w:t>
      </w:r>
    </w:p>
    <w:p w14:paraId="0AA73155" w14:textId="77777777" w:rsidR="00092E5F" w:rsidRDefault="00092E5F">
      <w:pPr>
        <w:rPr>
          <w:lang w:val="en-US"/>
        </w:rPr>
      </w:pPr>
    </w:p>
    <w:p w14:paraId="4B1C2F0B" w14:textId="77777777" w:rsidR="00092E5F" w:rsidRDefault="00000000">
      <w:pPr>
        <w:spacing w:line="360" w:lineRule="auto"/>
        <w:rPr>
          <w:lang w:val="en-US"/>
        </w:rPr>
      </w:pPr>
      <w:r>
        <w:rPr>
          <w:noProof/>
          <w:lang w:val="en-US"/>
        </w:rPr>
        <w:lastRenderedPageBreak/>
        <w:drawing>
          <wp:inline distT="0" distB="0" distL="0" distR="0" wp14:anchorId="3EA9F154" wp14:editId="189BF437">
            <wp:extent cx="5874385" cy="5342890"/>
            <wp:effectExtent l="0" t="0" r="5715" b="3810"/>
            <wp:docPr id="987040933" name="Picture 1" descr="A collage of images of a piece of w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040933" name="Picture 1" descr="A collage of images of a piece of wood&#10;&#10;Description automatically generated"/>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79760" cy="5347546"/>
                    </a:xfrm>
                    <a:prstGeom prst="rect">
                      <a:avLst/>
                    </a:prstGeom>
                  </pic:spPr>
                </pic:pic>
              </a:graphicData>
            </a:graphic>
          </wp:inline>
        </w:drawing>
      </w:r>
    </w:p>
    <w:p w14:paraId="1345966F" w14:textId="77777777" w:rsidR="00092E5F" w:rsidRDefault="00092E5F">
      <w:pPr>
        <w:spacing w:line="360" w:lineRule="auto"/>
        <w:jc w:val="center"/>
        <w:rPr>
          <w:rFonts w:cs="Times New Roman"/>
          <w:lang w:val="en-US"/>
        </w:rPr>
      </w:pPr>
    </w:p>
    <w:p w14:paraId="6FA8E734" w14:textId="77777777" w:rsidR="00092E5F" w:rsidRDefault="00000000">
      <w:pPr>
        <w:pStyle w:val="Heading3"/>
        <w:spacing w:line="360" w:lineRule="auto"/>
        <w:rPr>
          <w:b w:val="0"/>
          <w:bCs/>
          <w:lang w:val="en-US"/>
        </w:rPr>
      </w:pPr>
      <w:bookmarkStart w:id="12" w:name="_Toc182485385"/>
      <w:r>
        <w:rPr>
          <w:bCs/>
          <w:lang w:val="en-US"/>
        </w:rPr>
        <w:t xml:space="preserve">Figure S3.  </w:t>
      </w:r>
      <w:r>
        <w:rPr>
          <w:lang w:val="en-US"/>
        </w:rPr>
        <w:t>SEM images of tungsten wire</w:t>
      </w:r>
      <w:r>
        <w:rPr>
          <w:b w:val="0"/>
          <w:bCs/>
          <w:lang w:val="en-US"/>
        </w:rPr>
        <w:t>.</w:t>
      </w:r>
      <w:bookmarkEnd w:id="12"/>
    </w:p>
    <w:p w14:paraId="3DBAAFA6" w14:textId="77777777" w:rsidR="00092E5F" w:rsidRDefault="00000000">
      <w:pPr>
        <w:spacing w:line="360" w:lineRule="auto"/>
        <w:jc w:val="both"/>
      </w:pPr>
      <w:r>
        <w:t xml:space="preserve">Above are images of fresh tungsten wire before reaction and below of spent tungsten wire after 100 </w:t>
      </w:r>
      <w:proofErr w:type="spellStart"/>
      <w:r>
        <w:t>hours time</w:t>
      </w:r>
      <w:proofErr w:type="spellEnd"/>
      <w:r>
        <w:t>-on-stream with 25 W power input and 655 h</w:t>
      </w:r>
      <w:r>
        <w:rPr>
          <w:vertAlign w:val="superscript"/>
        </w:rPr>
        <w:t>-1</w:t>
      </w:r>
      <w:r>
        <w:t xml:space="preserve"> space velocity. The wire diameter does not change after reaction. The EDX mapping and point scan results on the </w:t>
      </w:r>
      <w:proofErr w:type="gramStart"/>
      <w:r>
        <w:t>right hand</w:t>
      </w:r>
      <w:proofErr w:type="gramEnd"/>
      <w:r>
        <w:t xml:space="preserve"> side further show that there is no nitride formation on the tungsten wire. </w:t>
      </w:r>
    </w:p>
    <w:p w14:paraId="3DF15397" w14:textId="77777777" w:rsidR="00092E5F" w:rsidRDefault="00092E5F">
      <w:pPr>
        <w:spacing w:line="360" w:lineRule="auto"/>
        <w:rPr>
          <w:rFonts w:cs="Times New Roman"/>
          <w:lang w:val="en-US"/>
        </w:rPr>
      </w:pPr>
    </w:p>
    <w:p w14:paraId="6E208AFD" w14:textId="77777777" w:rsidR="00092E5F" w:rsidRDefault="00000000">
      <w:pPr>
        <w:spacing w:line="360" w:lineRule="auto"/>
        <w:jc w:val="center"/>
        <w:rPr>
          <w:rFonts w:cs="Times New Roman"/>
          <w:b/>
          <w:bCs/>
          <w:lang w:val="en-US"/>
        </w:rPr>
      </w:pPr>
      <w:r>
        <w:rPr>
          <w:rFonts w:cs="Times New Roman"/>
          <w:b/>
          <w:bCs/>
          <w:noProof/>
          <w:lang w:val="en-US"/>
        </w:rPr>
        <w:lastRenderedPageBreak/>
        <w:drawing>
          <wp:inline distT="0" distB="0" distL="0" distR="0" wp14:anchorId="31F4AD82" wp14:editId="12B131AA">
            <wp:extent cx="5730875" cy="2156460"/>
            <wp:effectExtent l="0" t="0" r="0" b="2540"/>
            <wp:docPr id="31908309" name="Picture 31908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08309" name="Picture 31908309"/>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026" cy="2156460"/>
                    </a:xfrm>
                    <a:prstGeom prst="rect">
                      <a:avLst/>
                    </a:prstGeom>
                  </pic:spPr>
                </pic:pic>
              </a:graphicData>
            </a:graphic>
          </wp:inline>
        </w:drawing>
      </w:r>
    </w:p>
    <w:p w14:paraId="71810285" w14:textId="77777777" w:rsidR="00092E5F" w:rsidRDefault="00000000">
      <w:pPr>
        <w:pStyle w:val="Heading3"/>
        <w:spacing w:line="360" w:lineRule="auto"/>
        <w:jc w:val="both"/>
        <w:rPr>
          <w:b w:val="0"/>
          <w:lang w:val="en-US"/>
        </w:rPr>
      </w:pPr>
      <w:bookmarkStart w:id="13" w:name="_Toc182485386"/>
      <w:r>
        <w:rPr>
          <w:lang w:val="en-US"/>
        </w:rPr>
        <w:t>Figure S4. Kinetics measurements using an analogous thermal-catalytic tungsten mesh system.</w:t>
      </w:r>
      <w:bookmarkEnd w:id="13"/>
      <w:r>
        <w:rPr>
          <w:lang w:val="en-US"/>
        </w:rPr>
        <w:t xml:space="preserve"> </w:t>
      </w:r>
    </w:p>
    <w:p w14:paraId="31896696" w14:textId="77777777" w:rsidR="00092E5F" w:rsidRDefault="00000000">
      <w:pPr>
        <w:spacing w:line="360" w:lineRule="auto"/>
        <w:rPr>
          <w:rFonts w:cs="Times New Roman"/>
          <w:lang w:val="en-US"/>
        </w:rPr>
      </w:pPr>
      <w:proofErr w:type="gramStart"/>
      <w:r>
        <w:rPr>
          <w:rFonts w:cs="Times New Roman"/>
          <w:b/>
          <w:bCs/>
          <w:lang w:val="en-US"/>
        </w:rPr>
        <w:t>a</w:t>
      </w:r>
      <w:proofErr w:type="gramEnd"/>
      <w:r>
        <w:rPr>
          <w:rFonts w:cs="Times New Roman"/>
          <w:b/>
          <w:bCs/>
          <w:lang w:val="en-US"/>
        </w:rPr>
        <w:t xml:space="preserve"> </w:t>
      </w:r>
      <w:r>
        <w:rPr>
          <w:rFonts w:cs="Times New Roman"/>
          <w:lang w:val="en-US"/>
        </w:rPr>
        <w:t xml:space="preserve">Activation energy of tungsten catalyst. </w:t>
      </w:r>
      <w:r>
        <w:rPr>
          <w:rFonts w:cs="Times New Roman"/>
          <w:b/>
          <w:bCs/>
          <w:lang w:val="en-US"/>
        </w:rPr>
        <w:t xml:space="preserve">b </w:t>
      </w:r>
      <w:r>
        <w:rPr>
          <w:rFonts w:cs="Times New Roman"/>
          <w:lang w:val="en-US"/>
        </w:rPr>
        <w:t>Reaction order of tungsten catalyst with respect to ammonia concentration.</w:t>
      </w:r>
    </w:p>
    <w:p w14:paraId="1481954B" w14:textId="77777777" w:rsidR="00092E5F" w:rsidRDefault="00092E5F">
      <w:pPr>
        <w:rPr>
          <w:lang w:val="en-US"/>
        </w:rPr>
      </w:pPr>
    </w:p>
    <w:p w14:paraId="4A491DC9" w14:textId="77777777" w:rsidR="00092E5F" w:rsidRDefault="00000000">
      <w:pPr>
        <w:spacing w:line="360" w:lineRule="auto"/>
        <w:jc w:val="center"/>
        <w:rPr>
          <w:rFonts w:cs="Times New Roman"/>
          <w:lang w:val="en-US"/>
        </w:rPr>
      </w:pPr>
      <w:r>
        <w:rPr>
          <w:rFonts w:cs="Times New Roman"/>
          <w:noProof/>
          <w:lang w:val="en-US"/>
        </w:rPr>
        <w:drawing>
          <wp:inline distT="0" distB="0" distL="0" distR="0" wp14:anchorId="32CB0DA4" wp14:editId="32D71FF9">
            <wp:extent cx="3503930" cy="2679700"/>
            <wp:effectExtent l="0" t="0" r="1270" b="0"/>
            <wp:docPr id="514761441" name="Picture 6" descr="A graph with number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761441" name="Picture 6" descr="A graph with numbers and a line&#10;&#10;Description automatically generated"/>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507227" cy="2681997"/>
                    </a:xfrm>
                    <a:prstGeom prst="rect">
                      <a:avLst/>
                    </a:prstGeom>
                  </pic:spPr>
                </pic:pic>
              </a:graphicData>
            </a:graphic>
          </wp:inline>
        </w:drawing>
      </w:r>
    </w:p>
    <w:p w14:paraId="7208830E" w14:textId="77777777" w:rsidR="00092E5F" w:rsidRDefault="00000000">
      <w:pPr>
        <w:pStyle w:val="Heading3"/>
        <w:spacing w:line="360" w:lineRule="auto"/>
        <w:rPr>
          <w:lang w:val="en-US"/>
        </w:rPr>
      </w:pPr>
      <w:bookmarkStart w:id="14" w:name="_Toc182485387"/>
      <w:r>
        <w:rPr>
          <w:lang w:val="en-US"/>
        </w:rPr>
        <w:t>Figure S5. Mesh sensitivity analysis.</w:t>
      </w:r>
      <w:bookmarkEnd w:id="14"/>
      <w:r>
        <w:rPr>
          <w:lang w:val="en-US"/>
        </w:rPr>
        <w:t xml:space="preserve"> </w:t>
      </w:r>
    </w:p>
    <w:p w14:paraId="4B98A486" w14:textId="77777777" w:rsidR="00092E5F" w:rsidRDefault="00000000">
      <w:pPr>
        <w:spacing w:line="360" w:lineRule="auto"/>
        <w:jc w:val="both"/>
        <w:rPr>
          <w:rFonts w:cs="Times New Roman"/>
          <w:lang w:val="en-US"/>
        </w:rPr>
      </w:pPr>
      <w:r>
        <w:rPr>
          <w:rFonts w:cs="Times New Roman"/>
          <w:lang w:val="en-US"/>
        </w:rPr>
        <w:t xml:space="preserve">The relative error of conversion to the results at the finest mesh is not more than 0.7% at all other points tested, so simulations were performed with about 30,000 mesh elements. </w:t>
      </w:r>
    </w:p>
    <w:p w14:paraId="39EC8CDC" w14:textId="77777777" w:rsidR="00092E5F" w:rsidRDefault="00092E5F">
      <w:pPr>
        <w:spacing w:line="360" w:lineRule="auto"/>
        <w:jc w:val="both"/>
        <w:rPr>
          <w:rFonts w:cs="Times New Roman"/>
          <w:lang w:val="en-US"/>
        </w:rPr>
      </w:pPr>
    </w:p>
    <w:p w14:paraId="42E4A824" w14:textId="77777777" w:rsidR="00092E5F" w:rsidRDefault="00092E5F">
      <w:pPr>
        <w:spacing w:line="360" w:lineRule="auto"/>
        <w:jc w:val="center"/>
        <w:rPr>
          <w:rFonts w:cs="Times New Roman"/>
          <w:lang w:val="en-US"/>
        </w:rPr>
      </w:pPr>
    </w:p>
    <w:p w14:paraId="3571F274" w14:textId="77777777" w:rsidR="00092E5F" w:rsidRDefault="00000000">
      <w:pPr>
        <w:spacing w:line="360" w:lineRule="auto"/>
        <w:jc w:val="center"/>
        <w:rPr>
          <w:rFonts w:cs="Times New Roman"/>
          <w:lang w:val="en-US"/>
        </w:rPr>
      </w:pPr>
      <w:r>
        <w:rPr>
          <w:rFonts w:cs="Times New Roman"/>
          <w:noProof/>
          <w:lang w:val="en-US"/>
        </w:rPr>
        <w:lastRenderedPageBreak/>
        <w:drawing>
          <wp:inline distT="0" distB="0" distL="0" distR="0" wp14:anchorId="01F273AB" wp14:editId="4D4C234A">
            <wp:extent cx="3840480" cy="2936875"/>
            <wp:effectExtent l="0" t="0" r="0" b="0"/>
            <wp:docPr id="339526043" name="Picture 1"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526043" name="Picture 1" descr="A graph of different colored bars&#10;&#10;AI-generated content may be incorrect."/>
                    <pic:cNvPicPr>
                      <a:picLocks noChangeAspect="1"/>
                    </pic:cNvPicPr>
                  </pic:nvPicPr>
                  <pic:blipFill>
                    <a:blip r:embed="rId18"/>
                    <a:stretch>
                      <a:fillRect/>
                    </a:stretch>
                  </pic:blipFill>
                  <pic:spPr>
                    <a:xfrm>
                      <a:off x="0" y="0"/>
                      <a:ext cx="3893746" cy="2977901"/>
                    </a:xfrm>
                    <a:prstGeom prst="rect">
                      <a:avLst/>
                    </a:prstGeom>
                  </pic:spPr>
                </pic:pic>
              </a:graphicData>
            </a:graphic>
          </wp:inline>
        </w:drawing>
      </w:r>
    </w:p>
    <w:p w14:paraId="59134D36" w14:textId="77777777" w:rsidR="00092E5F" w:rsidRDefault="00000000">
      <w:pPr>
        <w:pStyle w:val="Heading3"/>
        <w:rPr>
          <w:lang w:val="en-US"/>
        </w:rPr>
      </w:pPr>
      <w:bookmarkStart w:id="15" w:name="_Toc182485388"/>
      <w:r>
        <w:rPr>
          <w:lang w:val="en-US"/>
        </w:rPr>
        <w:t>Figure S6. Comparison of experimental and modelled temperature and power input values.</w:t>
      </w:r>
      <w:bookmarkEnd w:id="15"/>
      <w:r>
        <w:rPr>
          <w:lang w:val="en-US"/>
        </w:rPr>
        <w:t xml:space="preserve"> </w:t>
      </w:r>
    </w:p>
    <w:p w14:paraId="5485EC2E" w14:textId="77777777" w:rsidR="00092E5F" w:rsidRDefault="00000000">
      <w:pPr>
        <w:rPr>
          <w:lang w:val="en-US"/>
        </w:rPr>
      </w:pPr>
      <w:r>
        <w:rPr>
          <w:lang w:val="en-US"/>
        </w:rPr>
        <w:t xml:space="preserve">Numbers above the bars show the percentage error between the experimental and modelled values. </w:t>
      </w:r>
    </w:p>
    <w:p w14:paraId="30C27934" w14:textId="77777777" w:rsidR="00092E5F" w:rsidRDefault="00092E5F">
      <w:pPr>
        <w:rPr>
          <w:lang w:val="en-US"/>
        </w:rPr>
      </w:pPr>
    </w:p>
    <w:p w14:paraId="2FB08739" w14:textId="77777777" w:rsidR="00092E5F" w:rsidRDefault="00000000">
      <w:pPr>
        <w:spacing w:line="360" w:lineRule="auto"/>
        <w:jc w:val="center"/>
        <w:rPr>
          <w:rFonts w:cs="Times New Roman"/>
          <w:lang w:val="en-US"/>
        </w:rPr>
      </w:pPr>
      <w:r>
        <w:rPr>
          <w:rFonts w:cs="Times New Roman"/>
          <w:noProof/>
          <w:lang w:val="en-US"/>
        </w:rPr>
        <w:drawing>
          <wp:inline distT="0" distB="0" distL="0" distR="0" wp14:anchorId="7CF2A240" wp14:editId="03477654">
            <wp:extent cx="4206875" cy="3465195"/>
            <wp:effectExtent l="0" t="0" r="0" b="1905"/>
            <wp:docPr id="714021863" name="Picture 1" descr="A diagram of a temper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021863" name="Picture 1" descr="A diagram of a temperature&#10;&#10;AI-generated content may be incorrect."/>
                    <pic:cNvPicPr>
                      <a:picLocks noChangeAspect="1"/>
                    </pic:cNvPicPr>
                  </pic:nvPicPr>
                  <pic:blipFill>
                    <a:blip r:embed="rId19"/>
                    <a:stretch>
                      <a:fillRect/>
                    </a:stretch>
                  </pic:blipFill>
                  <pic:spPr>
                    <a:xfrm>
                      <a:off x="0" y="0"/>
                      <a:ext cx="4253308" cy="3503583"/>
                    </a:xfrm>
                    <a:prstGeom prst="rect">
                      <a:avLst/>
                    </a:prstGeom>
                  </pic:spPr>
                </pic:pic>
              </a:graphicData>
            </a:graphic>
          </wp:inline>
        </w:drawing>
      </w:r>
    </w:p>
    <w:p w14:paraId="22406C8D" w14:textId="77777777" w:rsidR="00092E5F" w:rsidRDefault="00000000">
      <w:pPr>
        <w:pStyle w:val="Heading3"/>
        <w:spacing w:line="360" w:lineRule="auto"/>
        <w:rPr>
          <w:lang w:val="en-US"/>
        </w:rPr>
      </w:pPr>
      <w:bookmarkStart w:id="16" w:name="_Toc182485389"/>
      <w:r>
        <w:rPr>
          <w:lang w:val="en-US"/>
        </w:rPr>
        <w:t>Figure S7. Temperature contour plots.</w:t>
      </w:r>
      <w:bookmarkEnd w:id="16"/>
    </w:p>
    <w:p w14:paraId="1C9124B5" w14:textId="77777777" w:rsidR="00092E5F" w:rsidRDefault="00000000">
      <w:pPr>
        <w:spacing w:line="360" w:lineRule="auto"/>
        <w:rPr>
          <w:rFonts w:cs="Times New Roman"/>
          <w:lang w:val="en-US"/>
        </w:rPr>
      </w:pPr>
      <w:r>
        <w:rPr>
          <w:rFonts w:cs="Times New Roman"/>
          <w:lang w:val="en-US"/>
        </w:rPr>
        <w:t>For different power inputs and 220 h</w:t>
      </w:r>
      <w:r>
        <w:rPr>
          <w:rFonts w:cs="Times New Roman"/>
          <w:vertAlign w:val="superscript"/>
          <w:lang w:val="en-US"/>
        </w:rPr>
        <w:t>-1</w:t>
      </w:r>
      <w:r>
        <w:rPr>
          <w:rFonts w:cs="Times New Roman"/>
          <w:lang w:val="en-US"/>
        </w:rPr>
        <w:t xml:space="preserve"> space velocity; similar patterns are achieved at other space velocities. </w:t>
      </w:r>
    </w:p>
    <w:p w14:paraId="0739F22C" w14:textId="77777777" w:rsidR="00092E5F" w:rsidRDefault="00092E5F">
      <w:pPr>
        <w:spacing w:line="360" w:lineRule="auto"/>
        <w:rPr>
          <w:rFonts w:cs="Times New Roman"/>
          <w:lang w:val="en-US"/>
        </w:rPr>
      </w:pPr>
    </w:p>
    <w:p w14:paraId="550C4139" w14:textId="77777777" w:rsidR="00092E5F" w:rsidRDefault="00092E5F">
      <w:pPr>
        <w:rPr>
          <w:lang w:val="en-US"/>
        </w:rPr>
      </w:pPr>
    </w:p>
    <w:p w14:paraId="522F0D3C" w14:textId="77777777" w:rsidR="00092E5F" w:rsidRDefault="00000000">
      <w:pPr>
        <w:spacing w:line="360" w:lineRule="auto"/>
        <w:jc w:val="center"/>
        <w:rPr>
          <w:rFonts w:cs="Times New Roman"/>
          <w:b/>
          <w:bCs/>
        </w:rPr>
      </w:pPr>
      <w:r>
        <w:rPr>
          <w:rFonts w:cs="Times New Roman"/>
          <w:b/>
          <w:bCs/>
          <w:noProof/>
        </w:rPr>
        <w:lastRenderedPageBreak/>
        <w:drawing>
          <wp:inline distT="0" distB="0" distL="0" distR="0" wp14:anchorId="67931867" wp14:editId="111C27DA">
            <wp:extent cx="3481705" cy="2662555"/>
            <wp:effectExtent l="0" t="0" r="0" b="4445"/>
            <wp:docPr id="729503640" name="Picture 1" descr="A graph with number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503640" name="Picture 1" descr="A graph with numbers and lines&#10;&#10;AI-generated content may be incorrect."/>
                    <pic:cNvPicPr>
                      <a:picLocks noChangeAspect="1"/>
                    </pic:cNvPicPr>
                  </pic:nvPicPr>
                  <pic:blipFill>
                    <a:blip r:embed="rId20"/>
                    <a:stretch>
                      <a:fillRect/>
                    </a:stretch>
                  </pic:blipFill>
                  <pic:spPr>
                    <a:xfrm>
                      <a:off x="0" y="0"/>
                      <a:ext cx="3523202" cy="2694511"/>
                    </a:xfrm>
                    <a:prstGeom prst="rect">
                      <a:avLst/>
                    </a:prstGeom>
                  </pic:spPr>
                </pic:pic>
              </a:graphicData>
            </a:graphic>
          </wp:inline>
        </w:drawing>
      </w:r>
    </w:p>
    <w:p w14:paraId="721B955B" w14:textId="77777777" w:rsidR="00092E5F" w:rsidRDefault="00000000">
      <w:pPr>
        <w:pStyle w:val="Heading3"/>
        <w:spacing w:line="360" w:lineRule="auto"/>
      </w:pPr>
      <w:bookmarkStart w:id="17" w:name="_Toc182485390"/>
      <w:r>
        <w:t>Figure S8. Comparison of maximum and average temperatures at 1,100 h</w:t>
      </w:r>
      <w:r>
        <w:rPr>
          <w:vertAlign w:val="superscript"/>
        </w:rPr>
        <w:t>-1</w:t>
      </w:r>
      <w:r>
        <w:t>.</w:t>
      </w:r>
      <w:bookmarkEnd w:id="17"/>
      <w:r>
        <w:t xml:space="preserve">  </w:t>
      </w:r>
    </w:p>
    <w:p w14:paraId="395D7214" w14:textId="77777777" w:rsidR="00092E5F" w:rsidRDefault="00000000">
      <w:r>
        <w:t xml:space="preserve">The maximum temperature is the experimentally measured tungsten wire temperature while the average is taken over the reactor gas flow domain in the CFD model. </w:t>
      </w:r>
    </w:p>
    <w:p w14:paraId="273DA6BE" w14:textId="77777777" w:rsidR="00092E5F" w:rsidRDefault="00092E5F"/>
    <w:p w14:paraId="0332830C" w14:textId="77777777" w:rsidR="00092E5F" w:rsidRDefault="00000000">
      <w:pPr>
        <w:spacing w:line="360" w:lineRule="auto"/>
        <w:jc w:val="center"/>
        <w:rPr>
          <w:rFonts w:cs="Times New Roman"/>
          <w:lang w:val="en-US"/>
        </w:rPr>
      </w:pPr>
      <w:r>
        <w:rPr>
          <w:rFonts w:cs="Times New Roman"/>
          <w:noProof/>
          <w:lang w:val="en-US"/>
        </w:rPr>
        <w:drawing>
          <wp:inline distT="0" distB="0" distL="0" distR="0" wp14:anchorId="0031870E" wp14:editId="0716C1B0">
            <wp:extent cx="3578860" cy="2778760"/>
            <wp:effectExtent l="0" t="0" r="2540" b="2540"/>
            <wp:docPr id="578000691"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000691" name="Picture 1" descr="A graph of different colored lines&#10;&#10;Description automatically generated"/>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599717" cy="2795075"/>
                    </a:xfrm>
                    <a:prstGeom prst="rect">
                      <a:avLst/>
                    </a:prstGeom>
                  </pic:spPr>
                </pic:pic>
              </a:graphicData>
            </a:graphic>
          </wp:inline>
        </w:drawing>
      </w:r>
    </w:p>
    <w:p w14:paraId="43DA036E" w14:textId="77777777" w:rsidR="00092E5F" w:rsidRDefault="00000000">
      <w:pPr>
        <w:pStyle w:val="Heading3"/>
        <w:spacing w:line="360" w:lineRule="auto"/>
        <w:jc w:val="both"/>
        <w:rPr>
          <w:lang w:val="en-US"/>
        </w:rPr>
      </w:pPr>
      <w:bookmarkStart w:id="18" w:name="_Toc182485391"/>
      <w:r>
        <w:rPr>
          <w:lang w:val="en-US"/>
        </w:rPr>
        <w:t xml:space="preserve">Figure S9. </w:t>
      </w:r>
      <w:r>
        <w:rPr>
          <w:rFonts w:cs="Times New Roman"/>
        </w:rPr>
        <w:t>Estimated reaction rate constants of non-catalytic ADR compared to measured rate constants of a commercial Ru catalyst.</w:t>
      </w:r>
      <w:bookmarkEnd w:id="18"/>
    </w:p>
    <w:p w14:paraId="1DC262EA" w14:textId="77777777" w:rsidR="00092E5F" w:rsidRDefault="00000000">
      <w:pPr>
        <w:spacing w:line="276" w:lineRule="auto"/>
      </w:pPr>
      <w:r>
        <w:t>Non-catalytic rate constant at 1,573 K (0.9 s</w:t>
      </w:r>
      <w:r>
        <w:rPr>
          <w:vertAlign w:val="superscript"/>
        </w:rPr>
        <w:t>-1</w:t>
      </w:r>
      <w:r>
        <w:t>) is comparable to the rate constant of the Ru catalyst at its typical operating temperature of 773 K (0.2 s</w:t>
      </w:r>
      <w:r>
        <w:rPr>
          <w:vertAlign w:val="superscript"/>
        </w:rPr>
        <w:t>-1</w:t>
      </w:r>
      <w:r>
        <w:t xml:space="preserve">), so considerable gas-phase reactions should be expected only at temperatures above 1,573 K. </w:t>
      </w:r>
    </w:p>
    <w:p w14:paraId="45596E38" w14:textId="77777777" w:rsidR="00092E5F" w:rsidRDefault="00000000">
      <w:pPr>
        <w:spacing w:line="360" w:lineRule="auto"/>
        <w:jc w:val="center"/>
        <w:rPr>
          <w:rFonts w:cs="Times New Roman"/>
          <w:lang w:val="en-US"/>
        </w:rPr>
      </w:pPr>
      <w:r>
        <w:rPr>
          <w:rFonts w:cs="Times New Roman"/>
          <w:noProof/>
          <w:lang w:val="en-US"/>
        </w:rPr>
        <w:lastRenderedPageBreak/>
        <w:drawing>
          <wp:inline distT="0" distB="0" distL="0" distR="0" wp14:anchorId="0F1126C1" wp14:editId="2008633E">
            <wp:extent cx="3898265" cy="2981325"/>
            <wp:effectExtent l="0" t="0" r="635" b="3175"/>
            <wp:docPr id="1275708093" name="Picture 3"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708093" name="Picture 3" descr="A graph with numbers and lines&#10;&#10;Description automatically generated"/>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931751" cy="3006634"/>
                    </a:xfrm>
                    <a:prstGeom prst="rect">
                      <a:avLst/>
                    </a:prstGeom>
                  </pic:spPr>
                </pic:pic>
              </a:graphicData>
            </a:graphic>
          </wp:inline>
        </w:drawing>
      </w:r>
    </w:p>
    <w:p w14:paraId="12E63190" w14:textId="77777777" w:rsidR="00092E5F" w:rsidRDefault="00000000">
      <w:pPr>
        <w:pStyle w:val="Heading3"/>
        <w:rPr>
          <w:lang w:val="en-US"/>
        </w:rPr>
      </w:pPr>
      <w:bookmarkStart w:id="19" w:name="_Toc182485392"/>
      <w:r>
        <w:rPr>
          <w:lang w:val="en-US"/>
        </w:rPr>
        <w:t>Figure S10. Mass transfer limitation experiment.</w:t>
      </w:r>
      <w:bookmarkEnd w:id="19"/>
      <w:r>
        <w:rPr>
          <w:lang w:val="en-US"/>
        </w:rPr>
        <w:t xml:space="preserve"> </w:t>
      </w:r>
    </w:p>
    <w:p w14:paraId="24082546" w14:textId="77777777" w:rsidR="00092E5F" w:rsidRDefault="00000000">
      <w:pPr>
        <w:spacing w:line="360" w:lineRule="auto"/>
        <w:rPr>
          <w:lang w:val="en-US"/>
        </w:rPr>
      </w:pPr>
      <w:r>
        <w:rPr>
          <w:lang w:val="en-US"/>
        </w:rPr>
        <w:t xml:space="preserve">The reactor has some mass transfer limitations as conversion does not decrease proportionally with the increase in space velocity when conversions are low. </w:t>
      </w:r>
    </w:p>
    <w:p w14:paraId="678ABE9A" w14:textId="77777777" w:rsidR="00092E5F" w:rsidRDefault="00092E5F">
      <w:pPr>
        <w:spacing w:line="360" w:lineRule="auto"/>
        <w:rPr>
          <w:rFonts w:cs="Times New Roman"/>
          <w:lang w:val="en-US"/>
        </w:rPr>
      </w:pPr>
    </w:p>
    <w:p w14:paraId="50BF016C" w14:textId="77777777" w:rsidR="00092E5F" w:rsidRDefault="00000000">
      <w:pPr>
        <w:spacing w:line="360" w:lineRule="auto"/>
        <w:jc w:val="center"/>
        <w:rPr>
          <w:rFonts w:cs="Times New Roman"/>
          <w:lang w:val="en-US"/>
        </w:rPr>
      </w:pPr>
      <w:r>
        <w:rPr>
          <w:rFonts w:cs="Times New Roman"/>
          <w:noProof/>
          <w:lang w:val="en-US"/>
        </w:rPr>
        <w:drawing>
          <wp:inline distT="0" distB="0" distL="0" distR="0" wp14:anchorId="7CD40165" wp14:editId="6C468D44">
            <wp:extent cx="2024380" cy="3010535"/>
            <wp:effectExtent l="0" t="0" r="0" b="0"/>
            <wp:docPr id="19072425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242536" name="Picture 4"/>
                    <pic:cNvPicPr>
                      <a:picLocks noChangeAspect="1"/>
                    </pic:cNvPicPr>
                  </pic:nvPicPr>
                  <pic:blipFill>
                    <a:blip r:embed="rId23" cstate="print">
                      <a:extLst>
                        <a:ext uri="{28A0092B-C50C-407E-A947-70E740481C1C}">
                          <a14:useLocalDpi xmlns:a14="http://schemas.microsoft.com/office/drawing/2010/main" val="0"/>
                        </a:ext>
                      </a:extLst>
                    </a:blip>
                    <a:srcRect r="48582"/>
                    <a:stretch>
                      <a:fillRect/>
                    </a:stretch>
                  </pic:blipFill>
                  <pic:spPr>
                    <a:xfrm>
                      <a:off x="0" y="0"/>
                      <a:ext cx="2036159" cy="3028246"/>
                    </a:xfrm>
                    <a:prstGeom prst="rect">
                      <a:avLst/>
                    </a:prstGeom>
                    <a:ln>
                      <a:noFill/>
                    </a:ln>
                  </pic:spPr>
                </pic:pic>
              </a:graphicData>
            </a:graphic>
          </wp:inline>
        </w:drawing>
      </w:r>
    </w:p>
    <w:p w14:paraId="4AA66027" w14:textId="77777777" w:rsidR="00092E5F" w:rsidRDefault="00000000">
      <w:pPr>
        <w:pStyle w:val="Heading3"/>
        <w:rPr>
          <w:lang w:val="en-US"/>
        </w:rPr>
      </w:pPr>
      <w:bookmarkStart w:id="20" w:name="_Toc182485393"/>
      <w:r>
        <w:rPr>
          <w:lang w:val="en-US"/>
        </w:rPr>
        <w:t>Figure S11. Typical velocity profile, at a reaction condition of 25 W input and 1,100 h</w:t>
      </w:r>
      <w:r>
        <w:rPr>
          <w:vertAlign w:val="superscript"/>
          <w:lang w:val="en-US"/>
        </w:rPr>
        <w:t>-1</w:t>
      </w:r>
      <w:r>
        <w:rPr>
          <w:lang w:val="en-US"/>
        </w:rPr>
        <w:t xml:space="preserve"> space velocity.</w:t>
      </w:r>
      <w:bookmarkEnd w:id="20"/>
    </w:p>
    <w:p w14:paraId="6BC3A2CA" w14:textId="77777777" w:rsidR="00092E5F" w:rsidRDefault="00092E5F">
      <w:pPr>
        <w:spacing w:line="360" w:lineRule="auto"/>
        <w:rPr>
          <w:rFonts w:cs="Times New Roman"/>
          <w:b/>
          <w:bCs/>
          <w:lang w:val="en-US"/>
        </w:rPr>
      </w:pPr>
    </w:p>
    <w:p w14:paraId="4B490B6E" w14:textId="77777777" w:rsidR="00092E5F" w:rsidRDefault="00000000">
      <w:pPr>
        <w:spacing w:line="360" w:lineRule="auto"/>
        <w:jc w:val="center"/>
        <w:rPr>
          <w:b/>
          <w:lang w:val="en-US"/>
        </w:rPr>
      </w:pPr>
      <w:r>
        <w:rPr>
          <w:b/>
          <w:noProof/>
          <w:lang w:val="en-US"/>
        </w:rPr>
        <w:lastRenderedPageBreak/>
        <w:drawing>
          <wp:inline distT="0" distB="0" distL="0" distR="0" wp14:anchorId="69A65ED0" wp14:editId="2E904E2B">
            <wp:extent cx="3468370" cy="2653665"/>
            <wp:effectExtent l="0" t="0" r="0" b="635"/>
            <wp:docPr id="677981058" name="Picture 1" descr="A graph of a func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981058" name="Picture 1" descr="A graph of a function&#10;&#10;AI-generated content may be incorrect."/>
                    <pic:cNvPicPr>
                      <a:picLocks noChangeAspect="1"/>
                    </pic:cNvPicPr>
                  </pic:nvPicPr>
                  <pic:blipFill>
                    <a:blip r:embed="rId24"/>
                    <a:stretch>
                      <a:fillRect/>
                    </a:stretch>
                  </pic:blipFill>
                  <pic:spPr>
                    <a:xfrm>
                      <a:off x="0" y="0"/>
                      <a:ext cx="3480984" cy="2663767"/>
                    </a:xfrm>
                    <a:prstGeom prst="rect">
                      <a:avLst/>
                    </a:prstGeom>
                  </pic:spPr>
                </pic:pic>
              </a:graphicData>
            </a:graphic>
          </wp:inline>
        </w:drawing>
      </w:r>
    </w:p>
    <w:p w14:paraId="4C4851F4" w14:textId="77777777" w:rsidR="00092E5F" w:rsidRDefault="00000000">
      <w:pPr>
        <w:pStyle w:val="Heading3"/>
        <w:rPr>
          <w:lang w:val="en-US"/>
        </w:rPr>
      </w:pPr>
      <w:bookmarkStart w:id="21" w:name="_Toc182485394"/>
      <w:r>
        <w:rPr>
          <w:lang w:val="en-US"/>
        </w:rPr>
        <w:t>Figure S12. Variation in velocity, density, and dynamic viscosity across the reactor at the condition of 25 W input and 1,100 h</w:t>
      </w:r>
      <w:r>
        <w:rPr>
          <w:vertAlign w:val="superscript"/>
          <w:lang w:val="en-US"/>
        </w:rPr>
        <w:t>-1</w:t>
      </w:r>
      <w:r>
        <w:rPr>
          <w:lang w:val="en-US"/>
        </w:rPr>
        <w:t xml:space="preserve"> space velocity.</w:t>
      </w:r>
      <w:bookmarkEnd w:id="21"/>
      <w:r>
        <w:rPr>
          <w:lang w:val="en-US"/>
        </w:rPr>
        <w:t xml:space="preserve"> </w:t>
      </w:r>
    </w:p>
    <w:p w14:paraId="08B9C2FD" w14:textId="77777777" w:rsidR="00092E5F" w:rsidRDefault="00000000">
      <w:pPr>
        <w:pStyle w:val="Heading3"/>
        <w:rPr>
          <w:lang w:val="en-US"/>
        </w:rPr>
      </w:pPr>
      <w:r>
        <w:rPr>
          <w:lang w:val="en-US"/>
        </w:rPr>
        <w:t xml:space="preserve"> </w:t>
      </w:r>
    </w:p>
    <w:p w14:paraId="597A23E6" w14:textId="77777777" w:rsidR="00092E5F" w:rsidRDefault="00000000">
      <w:pPr>
        <w:spacing w:line="360" w:lineRule="auto"/>
        <w:jc w:val="center"/>
        <w:rPr>
          <w:rFonts w:cs="Times New Roman"/>
          <w:lang w:val="en-US"/>
        </w:rPr>
      </w:pPr>
      <w:r>
        <w:rPr>
          <w:rFonts w:cs="Times New Roman"/>
          <w:noProof/>
          <w:lang w:val="en-US"/>
        </w:rPr>
        <w:drawing>
          <wp:inline distT="0" distB="0" distL="0" distR="0" wp14:anchorId="7113A414" wp14:editId="198A9904">
            <wp:extent cx="3842385" cy="4649470"/>
            <wp:effectExtent l="0" t="0" r="5715" b="0"/>
            <wp:docPr id="57694274"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94274" name="Picture 1" descr="A screenshot of a graph&#10;&#10;Description automatically generated"/>
                    <pic:cNvPicPr>
                      <a:picLocks noChangeAspect="1"/>
                    </pic:cNvPicPr>
                  </pic:nvPicPr>
                  <pic:blipFill>
                    <a:blip r:embed="rId25"/>
                    <a:stretch>
                      <a:fillRect/>
                    </a:stretch>
                  </pic:blipFill>
                  <pic:spPr>
                    <a:xfrm>
                      <a:off x="0" y="0"/>
                      <a:ext cx="3891627" cy="4708669"/>
                    </a:xfrm>
                    <a:prstGeom prst="rect">
                      <a:avLst/>
                    </a:prstGeom>
                  </pic:spPr>
                </pic:pic>
              </a:graphicData>
            </a:graphic>
          </wp:inline>
        </w:drawing>
      </w:r>
    </w:p>
    <w:p w14:paraId="3DC00D0A" w14:textId="77777777" w:rsidR="00092E5F" w:rsidRDefault="00000000">
      <w:pPr>
        <w:pStyle w:val="Heading3"/>
        <w:spacing w:line="360" w:lineRule="auto"/>
        <w:rPr>
          <w:lang w:val="en-US"/>
        </w:rPr>
      </w:pPr>
      <w:bookmarkStart w:id="22" w:name="_Toc182485395"/>
      <w:r>
        <w:rPr>
          <w:lang w:val="en-US"/>
        </w:rPr>
        <w:t>Figure S13. Flux in mol m</w:t>
      </w:r>
      <w:r>
        <w:rPr>
          <w:vertAlign w:val="superscript"/>
          <w:lang w:val="en-US"/>
        </w:rPr>
        <w:t>-2</w:t>
      </w:r>
      <w:r>
        <w:rPr>
          <w:lang w:val="en-US"/>
        </w:rPr>
        <w:t xml:space="preserve"> s</w:t>
      </w:r>
      <w:r>
        <w:rPr>
          <w:vertAlign w:val="superscript"/>
          <w:lang w:val="en-US"/>
        </w:rPr>
        <w:t>-1</w:t>
      </w:r>
      <w:r>
        <w:rPr>
          <w:lang w:val="en-US"/>
        </w:rPr>
        <w:t xml:space="preserve"> of NH</w:t>
      </w:r>
      <w:r>
        <w:rPr>
          <w:vertAlign w:val="subscript"/>
          <w:lang w:val="en-US"/>
        </w:rPr>
        <w:t>3</w:t>
      </w:r>
      <w:r>
        <w:rPr>
          <w:lang w:val="en-US"/>
        </w:rPr>
        <w:t xml:space="preserve"> and H</w:t>
      </w:r>
      <w:r>
        <w:rPr>
          <w:vertAlign w:val="subscript"/>
          <w:lang w:val="en-US"/>
        </w:rPr>
        <w:t>2</w:t>
      </w:r>
      <w:r>
        <w:rPr>
          <w:lang w:val="en-US"/>
        </w:rPr>
        <w:t xml:space="preserve"> at two different power inputs and 1,100 h</w:t>
      </w:r>
      <w:r>
        <w:rPr>
          <w:vertAlign w:val="superscript"/>
          <w:lang w:val="en-US"/>
        </w:rPr>
        <w:t>-1</w:t>
      </w:r>
      <w:r>
        <w:rPr>
          <w:lang w:val="en-US"/>
        </w:rPr>
        <w:t xml:space="preserve"> space velocity.</w:t>
      </w:r>
      <w:bookmarkEnd w:id="22"/>
    </w:p>
    <w:p w14:paraId="3A93EA00" w14:textId="77777777" w:rsidR="00092E5F" w:rsidRDefault="00092E5F">
      <w:pPr>
        <w:spacing w:line="360" w:lineRule="auto"/>
        <w:rPr>
          <w:rFonts w:cs="Times New Roman"/>
        </w:rPr>
      </w:pPr>
    </w:p>
    <w:p w14:paraId="5784CB47" w14:textId="77777777" w:rsidR="00092E5F" w:rsidRDefault="00092E5F">
      <w:pPr>
        <w:spacing w:line="360" w:lineRule="auto"/>
        <w:jc w:val="center"/>
        <w:rPr>
          <w:rFonts w:cs="Times New Roman"/>
        </w:rPr>
      </w:pPr>
    </w:p>
    <w:p w14:paraId="28F8796A" w14:textId="77777777" w:rsidR="00092E5F" w:rsidRDefault="00000000">
      <w:r>
        <w:rPr>
          <w:noProof/>
        </w:rPr>
        <w:drawing>
          <wp:inline distT="0" distB="0" distL="0" distR="0" wp14:anchorId="751CEAC4" wp14:editId="716769DF">
            <wp:extent cx="5731510" cy="2341245"/>
            <wp:effectExtent l="0" t="0" r="0" b="0"/>
            <wp:docPr id="1008361253" name="Picture 1" descr="A comparison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361253" name="Picture 1" descr="A comparison of a graph&#10;&#10;Description automatically generated with medium confidence"/>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510" cy="2341245"/>
                    </a:xfrm>
                    <a:prstGeom prst="rect">
                      <a:avLst/>
                    </a:prstGeom>
                  </pic:spPr>
                </pic:pic>
              </a:graphicData>
            </a:graphic>
          </wp:inline>
        </w:drawing>
      </w:r>
    </w:p>
    <w:p w14:paraId="1C77555C" w14:textId="77777777" w:rsidR="00092E5F" w:rsidRDefault="00000000">
      <w:pPr>
        <w:pStyle w:val="Heading3"/>
        <w:spacing w:line="360" w:lineRule="auto"/>
      </w:pPr>
      <w:bookmarkStart w:id="23" w:name="_Toc182485396"/>
      <w:r>
        <w:t>Figure S14. Change in energy balance.</w:t>
      </w:r>
      <w:bookmarkEnd w:id="23"/>
    </w:p>
    <w:p w14:paraId="291279D9" w14:textId="77777777" w:rsidR="00092E5F" w:rsidRDefault="00000000">
      <w:pPr>
        <w:spacing w:line="360" w:lineRule="auto"/>
        <w:jc w:val="both"/>
        <w:rPr>
          <w:rFonts w:cs="Times New Roman"/>
        </w:rPr>
      </w:pPr>
      <w:r>
        <w:rPr>
          <w:rFonts w:cs="Times New Roman"/>
          <w:b/>
          <w:bCs/>
        </w:rPr>
        <w:t xml:space="preserve">a. </w:t>
      </w:r>
      <w:r>
        <w:rPr>
          <w:rFonts w:cs="Times New Roman"/>
        </w:rPr>
        <w:t>Effect of</w:t>
      </w:r>
      <w:r>
        <w:rPr>
          <w:rFonts w:cs="Times New Roman"/>
          <w:b/>
          <w:bCs/>
        </w:rPr>
        <w:t xml:space="preserve"> </w:t>
      </w:r>
      <w:r>
        <w:rPr>
          <w:rFonts w:cs="Times New Roman"/>
        </w:rPr>
        <w:t>different power inputs, 1,100 h</w:t>
      </w:r>
      <w:r>
        <w:rPr>
          <w:rFonts w:cs="Times New Roman"/>
          <w:vertAlign w:val="superscript"/>
        </w:rPr>
        <w:t>-1</w:t>
      </w:r>
      <w:r>
        <w:rPr>
          <w:rFonts w:cs="Times New Roman"/>
        </w:rPr>
        <w:t xml:space="preserve"> NH</w:t>
      </w:r>
      <w:r>
        <w:rPr>
          <w:rFonts w:cs="Times New Roman"/>
          <w:vertAlign w:val="subscript"/>
        </w:rPr>
        <w:t>3</w:t>
      </w:r>
      <w:r>
        <w:rPr>
          <w:rFonts w:cs="Times New Roman"/>
        </w:rPr>
        <w:t xml:space="preserve"> space velocity</w:t>
      </w:r>
      <w:r>
        <w:rPr>
          <w:rFonts w:cs="Times New Roman"/>
          <w:b/>
          <w:bCs/>
        </w:rPr>
        <w:t xml:space="preserve"> b. </w:t>
      </w:r>
      <w:r>
        <w:rPr>
          <w:rFonts w:cs="Times New Roman"/>
        </w:rPr>
        <w:t>Effect of</w:t>
      </w:r>
      <w:r>
        <w:rPr>
          <w:rFonts w:cs="Times New Roman"/>
          <w:b/>
          <w:bCs/>
        </w:rPr>
        <w:t xml:space="preserve"> </w:t>
      </w:r>
      <w:r>
        <w:rPr>
          <w:rFonts w:cs="Times New Roman"/>
        </w:rPr>
        <w:t>different space velocities, 25 W power input</w:t>
      </w:r>
      <w:r>
        <w:rPr>
          <w:rFonts w:cs="Times New Roman"/>
          <w:b/>
          <w:bCs/>
        </w:rPr>
        <w:t xml:space="preserve">. </w:t>
      </w:r>
    </w:p>
    <w:p w14:paraId="44D941FD" w14:textId="77777777" w:rsidR="00092E5F" w:rsidRDefault="00092E5F">
      <w:pPr>
        <w:spacing w:line="360" w:lineRule="auto"/>
        <w:rPr>
          <w:rFonts w:cs="Times New Roman"/>
        </w:rPr>
      </w:pPr>
    </w:p>
    <w:p w14:paraId="5DC55DAD" w14:textId="77777777" w:rsidR="00092E5F" w:rsidRDefault="00000000">
      <w:pPr>
        <w:spacing w:line="360" w:lineRule="auto"/>
        <w:jc w:val="center"/>
        <w:rPr>
          <w:rFonts w:cs="Times New Roman"/>
        </w:rPr>
      </w:pPr>
      <w:r>
        <w:rPr>
          <w:rFonts w:cs="Times New Roman"/>
          <w:b/>
          <w:bCs/>
          <w:noProof/>
          <w:lang w:val="en-US"/>
        </w:rPr>
        <w:drawing>
          <wp:inline distT="0" distB="0" distL="0" distR="0" wp14:anchorId="275575D7" wp14:editId="14968D41">
            <wp:extent cx="3140075" cy="2709545"/>
            <wp:effectExtent l="0" t="0" r="0" b="0"/>
            <wp:docPr id="85588553" name="Picture 2" descr="A graph of different sizes and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88553" name="Picture 2" descr="A graph of different sizes and colors&#10;&#10;Description automatically generated"/>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140367" cy="2709608"/>
                    </a:xfrm>
                    <a:prstGeom prst="rect">
                      <a:avLst/>
                    </a:prstGeom>
                  </pic:spPr>
                </pic:pic>
              </a:graphicData>
            </a:graphic>
          </wp:inline>
        </w:drawing>
      </w:r>
    </w:p>
    <w:p w14:paraId="77A79CB9" w14:textId="77777777" w:rsidR="00092E5F" w:rsidRDefault="00000000">
      <w:pPr>
        <w:pStyle w:val="Heading3"/>
        <w:spacing w:line="360" w:lineRule="auto"/>
      </w:pPr>
      <w:bookmarkStart w:id="24" w:name="_Toc182485397"/>
      <w:r>
        <w:t xml:space="preserve">Figure S15. Net radiative heat flux at the tungsten wire boundary </w:t>
      </w:r>
      <w:r>
        <w:rPr>
          <w:rFonts w:cs="Times New Roman"/>
        </w:rPr>
        <w:t>at different power inputs and 1,100 h</w:t>
      </w:r>
      <w:r>
        <w:rPr>
          <w:rFonts w:cs="Times New Roman"/>
          <w:vertAlign w:val="superscript"/>
        </w:rPr>
        <w:t>-1</w:t>
      </w:r>
      <w:r>
        <w:rPr>
          <w:rFonts w:cs="Times New Roman"/>
        </w:rPr>
        <w:t xml:space="preserve"> NH</w:t>
      </w:r>
      <w:r>
        <w:rPr>
          <w:rFonts w:cs="Times New Roman"/>
          <w:vertAlign w:val="subscript"/>
        </w:rPr>
        <w:t>3</w:t>
      </w:r>
      <w:r>
        <w:rPr>
          <w:rFonts w:cs="Times New Roman"/>
        </w:rPr>
        <w:t xml:space="preserve"> space velocity.</w:t>
      </w:r>
      <w:bookmarkEnd w:id="24"/>
    </w:p>
    <w:p w14:paraId="74344E1B" w14:textId="77777777" w:rsidR="00092E5F" w:rsidRDefault="00092E5F">
      <w:pPr>
        <w:spacing w:line="360" w:lineRule="auto"/>
        <w:rPr>
          <w:rFonts w:cs="Times New Roman"/>
          <w:b/>
          <w:bCs/>
        </w:rPr>
      </w:pPr>
    </w:p>
    <w:p w14:paraId="15A5470A" w14:textId="77777777" w:rsidR="00092E5F" w:rsidRDefault="00092E5F">
      <w:pPr>
        <w:spacing w:line="360" w:lineRule="auto"/>
        <w:rPr>
          <w:rFonts w:cs="Times New Roman"/>
        </w:rPr>
      </w:pPr>
    </w:p>
    <w:p w14:paraId="00A30D66" w14:textId="77777777" w:rsidR="00092E5F" w:rsidRDefault="00000000">
      <w:pPr>
        <w:keepNext/>
        <w:spacing w:line="360" w:lineRule="auto"/>
        <w:jc w:val="center"/>
      </w:pPr>
      <w:r>
        <w:rPr>
          <w:rFonts w:cs="Times New Roman"/>
          <w:noProof/>
        </w:rPr>
        <w:lastRenderedPageBreak/>
        <w:drawing>
          <wp:inline distT="0" distB="0" distL="0" distR="0" wp14:anchorId="6EB5A96A" wp14:editId="4A312731">
            <wp:extent cx="3159760" cy="2768600"/>
            <wp:effectExtent l="0" t="0" r="2540" b="0"/>
            <wp:docPr id="253044461" name="Picture 10" descr="A diagram of heat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044461" name="Picture 10" descr="A diagram of heat waves&#10;&#10;Description automatically generated with medium confidence"/>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179610" cy="2785675"/>
                    </a:xfrm>
                    <a:prstGeom prst="rect">
                      <a:avLst/>
                    </a:prstGeom>
                  </pic:spPr>
                </pic:pic>
              </a:graphicData>
            </a:graphic>
          </wp:inline>
        </w:drawing>
      </w:r>
    </w:p>
    <w:p w14:paraId="0A45AF77" w14:textId="77777777" w:rsidR="00092E5F" w:rsidRDefault="00000000">
      <w:pPr>
        <w:pStyle w:val="Heading3"/>
        <w:spacing w:line="360" w:lineRule="auto"/>
      </w:pPr>
      <w:bookmarkStart w:id="25" w:name="_Toc182485398"/>
      <w:r>
        <w:t>Figure S16. Emission and absorption of radiation in the gas phase at different power inputs and 1,100 h</w:t>
      </w:r>
      <w:r>
        <w:rPr>
          <w:vertAlign w:val="superscript"/>
        </w:rPr>
        <w:t xml:space="preserve">-1 </w:t>
      </w:r>
      <w:r>
        <w:rPr>
          <w:rFonts w:cs="Times New Roman"/>
        </w:rPr>
        <w:t>NH</w:t>
      </w:r>
      <w:r>
        <w:rPr>
          <w:rFonts w:cs="Times New Roman"/>
          <w:vertAlign w:val="subscript"/>
        </w:rPr>
        <w:t>3</w:t>
      </w:r>
      <w:r>
        <w:rPr>
          <w:rFonts w:cs="Times New Roman"/>
        </w:rPr>
        <w:t xml:space="preserve"> space velocity</w:t>
      </w:r>
      <w:r>
        <w:t>.</w:t>
      </w:r>
      <w:bookmarkEnd w:id="25"/>
      <w:r>
        <w:t xml:space="preserve"> </w:t>
      </w:r>
    </w:p>
    <w:p w14:paraId="2E691E8E" w14:textId="77777777" w:rsidR="00092E5F" w:rsidRDefault="00092E5F">
      <w:pPr>
        <w:spacing w:line="360" w:lineRule="auto"/>
        <w:rPr>
          <w:rFonts w:cs="Times New Roman"/>
          <w:lang w:val="en-US"/>
        </w:rPr>
      </w:pPr>
    </w:p>
    <w:p w14:paraId="01F234D6" w14:textId="77777777" w:rsidR="00092E5F" w:rsidRDefault="00000000">
      <w:pPr>
        <w:spacing w:line="360" w:lineRule="auto"/>
        <w:jc w:val="center"/>
        <w:rPr>
          <w:rFonts w:cs="Times New Roman"/>
          <w:lang w:val="en-US"/>
        </w:rPr>
      </w:pPr>
      <w:r>
        <w:rPr>
          <w:rFonts w:cs="Times New Roman"/>
          <w:noProof/>
          <w:lang w:val="en-US"/>
          <w14:ligatures w14:val="none"/>
        </w:rPr>
        <w:drawing>
          <wp:inline distT="0" distB="0" distL="0" distR="0" wp14:anchorId="5AB95AFD" wp14:editId="13E49419">
            <wp:extent cx="3238500" cy="3238500"/>
            <wp:effectExtent l="0" t="0" r="0" b="0"/>
            <wp:docPr id="194584284" name="Picture 1" descr="A group of glass tubes with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4284" name="Picture 1" descr="A group of glass tubes with different colors&#10;&#10;Description automatically generated"/>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238500" cy="3238500"/>
                    </a:xfrm>
                    <a:prstGeom prst="rect">
                      <a:avLst/>
                    </a:prstGeom>
                  </pic:spPr>
                </pic:pic>
              </a:graphicData>
            </a:graphic>
          </wp:inline>
        </w:drawing>
      </w:r>
    </w:p>
    <w:p w14:paraId="043EB8AF" w14:textId="77777777" w:rsidR="00092E5F" w:rsidRDefault="00000000">
      <w:pPr>
        <w:pStyle w:val="Heading3"/>
        <w:spacing w:line="360" w:lineRule="auto"/>
        <w:rPr>
          <w:lang w:val="en-US"/>
        </w:rPr>
      </w:pPr>
      <w:bookmarkStart w:id="26" w:name="_Toc182485399"/>
      <w:r>
        <w:rPr>
          <w:lang w:val="en-US"/>
        </w:rPr>
        <w:t xml:space="preserve">Figure S17. Images of </w:t>
      </w:r>
      <w:proofErr w:type="gramStart"/>
      <w:r>
        <w:rPr>
          <w:lang w:val="en-US"/>
        </w:rPr>
        <w:t>reactor</w:t>
      </w:r>
      <w:proofErr w:type="gramEnd"/>
      <w:r>
        <w:rPr>
          <w:lang w:val="en-US"/>
        </w:rPr>
        <w:t xml:space="preserve"> with reflector walls at various energy inputs.</w:t>
      </w:r>
      <w:bookmarkEnd w:id="26"/>
      <w:r>
        <w:rPr>
          <w:lang w:val="en-US"/>
        </w:rPr>
        <w:t xml:space="preserve">  </w:t>
      </w:r>
    </w:p>
    <w:p w14:paraId="33A60C9D" w14:textId="77777777" w:rsidR="00092E5F" w:rsidRDefault="00092E5F">
      <w:pPr>
        <w:spacing w:line="360" w:lineRule="auto"/>
        <w:jc w:val="center"/>
        <w:rPr>
          <w:rFonts w:cs="Times New Roman"/>
          <w:lang w:val="en-US"/>
        </w:rPr>
      </w:pPr>
    </w:p>
    <w:p w14:paraId="7507E2FA" w14:textId="77777777" w:rsidR="00092E5F" w:rsidRDefault="00000000">
      <w:pPr>
        <w:spacing w:line="360" w:lineRule="auto"/>
        <w:jc w:val="center"/>
        <w:rPr>
          <w:rFonts w:cs="Times New Roman"/>
          <w:lang w:val="en-US"/>
        </w:rPr>
      </w:pPr>
      <w:r>
        <w:rPr>
          <w:rFonts w:cs="Times New Roman"/>
          <w:noProof/>
          <w:lang w:val="en-US"/>
        </w:rPr>
        <w:lastRenderedPageBreak/>
        <w:drawing>
          <wp:inline distT="0" distB="0" distL="0" distR="0" wp14:anchorId="4312440C" wp14:editId="2EC94658">
            <wp:extent cx="3248025" cy="2484120"/>
            <wp:effectExtent l="0" t="0" r="3175" b="5080"/>
            <wp:docPr id="602700381" name="Picture 1"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700381" name="Picture 1" descr="A graph of different colored bars&#10;&#10;Description automatically generated with medium confidence"/>
                    <pic:cNvPicPr>
                      <a:picLocks noChangeAspect="1"/>
                    </pic:cNvPicPr>
                  </pic:nvPicPr>
                  <pic:blipFill>
                    <a:blip r:embed="rId30"/>
                    <a:stretch>
                      <a:fillRect/>
                    </a:stretch>
                  </pic:blipFill>
                  <pic:spPr>
                    <a:xfrm>
                      <a:off x="0" y="0"/>
                      <a:ext cx="3284073" cy="2511628"/>
                    </a:xfrm>
                    <a:prstGeom prst="rect">
                      <a:avLst/>
                    </a:prstGeom>
                  </pic:spPr>
                </pic:pic>
              </a:graphicData>
            </a:graphic>
          </wp:inline>
        </w:drawing>
      </w:r>
    </w:p>
    <w:p w14:paraId="4A9B940F" w14:textId="77777777" w:rsidR="00092E5F" w:rsidRDefault="00000000">
      <w:pPr>
        <w:pStyle w:val="Heading3"/>
        <w:spacing w:line="360" w:lineRule="auto"/>
        <w:rPr>
          <w:lang w:val="en-US"/>
        </w:rPr>
      </w:pPr>
      <w:bookmarkStart w:id="27" w:name="_Toc182485400"/>
      <w:r>
        <w:rPr>
          <w:lang w:val="en-US"/>
        </w:rPr>
        <w:t>Figure S18. Conversion and energy efficiency of modified reactors at 25 W input and 1,090 h</w:t>
      </w:r>
      <w:r>
        <w:rPr>
          <w:vertAlign w:val="superscript"/>
          <w:lang w:val="en-US"/>
        </w:rPr>
        <w:t>-1</w:t>
      </w:r>
      <w:r>
        <w:rPr>
          <w:lang w:val="en-US"/>
        </w:rPr>
        <w:t xml:space="preserve"> space velocity.</w:t>
      </w:r>
      <w:bookmarkEnd w:id="27"/>
      <w:r>
        <w:rPr>
          <w:lang w:val="en-US"/>
        </w:rPr>
        <w:t xml:space="preserve"> </w:t>
      </w:r>
    </w:p>
    <w:p w14:paraId="4D8BCFA7" w14:textId="77777777" w:rsidR="00092E5F" w:rsidRDefault="00092E5F">
      <w:pPr>
        <w:spacing w:line="360" w:lineRule="auto"/>
        <w:rPr>
          <w:rFonts w:cs="Times New Roman"/>
          <w:b/>
          <w:bCs/>
        </w:rPr>
      </w:pPr>
    </w:p>
    <w:p w14:paraId="07AA0919" w14:textId="77777777" w:rsidR="00092E5F" w:rsidRDefault="00000000">
      <w:pPr>
        <w:spacing w:line="360" w:lineRule="auto"/>
        <w:jc w:val="center"/>
        <w:rPr>
          <w:rFonts w:cs="Times New Roman"/>
        </w:rPr>
      </w:pPr>
      <w:r>
        <w:rPr>
          <w:rFonts w:cs="Times New Roman"/>
          <w:noProof/>
        </w:rPr>
        <w:drawing>
          <wp:inline distT="0" distB="0" distL="0" distR="0" wp14:anchorId="7A9C6A78" wp14:editId="5DAD68E4">
            <wp:extent cx="5994400" cy="2280920"/>
            <wp:effectExtent l="0" t="0" r="0" b="5080"/>
            <wp:docPr id="2078760324" name="Picture 1" descr="A diagram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760324" name="Picture 1" descr="A diagram of a graph&#10;&#10;AI-generated content may be incorrect."/>
                    <pic:cNvPicPr>
                      <a:picLocks noChangeAspect="1"/>
                    </pic:cNvPicPr>
                  </pic:nvPicPr>
                  <pic:blipFill>
                    <a:blip r:embed="rId31"/>
                    <a:stretch>
                      <a:fillRect/>
                    </a:stretch>
                  </pic:blipFill>
                  <pic:spPr>
                    <a:xfrm>
                      <a:off x="0" y="0"/>
                      <a:ext cx="6031102" cy="2295240"/>
                    </a:xfrm>
                    <a:prstGeom prst="rect">
                      <a:avLst/>
                    </a:prstGeom>
                  </pic:spPr>
                </pic:pic>
              </a:graphicData>
            </a:graphic>
          </wp:inline>
        </w:drawing>
      </w:r>
    </w:p>
    <w:p w14:paraId="212BA5E0" w14:textId="77777777" w:rsidR="00092E5F" w:rsidRDefault="00000000">
      <w:pPr>
        <w:pStyle w:val="Heading3"/>
        <w:spacing w:line="360" w:lineRule="auto"/>
      </w:pPr>
      <w:bookmarkStart w:id="28" w:name="_Toc182485401"/>
      <w:r>
        <w:t>Figure S19. Optimisation of reactor tube radius.</w:t>
      </w:r>
      <w:bookmarkEnd w:id="28"/>
      <w:r>
        <w:t xml:space="preserve"> </w:t>
      </w:r>
    </w:p>
    <w:p w14:paraId="22875925" w14:textId="77777777" w:rsidR="00092E5F" w:rsidRDefault="00000000">
      <w:pPr>
        <w:spacing w:line="360" w:lineRule="auto"/>
        <w:jc w:val="both"/>
        <w:rPr>
          <w:rFonts w:cstheme="majorBidi"/>
        </w:rPr>
      </w:pPr>
      <w:r>
        <w:t xml:space="preserve">Effect of tube radius on </w:t>
      </w:r>
      <w:r>
        <w:rPr>
          <w:b/>
          <w:bCs/>
        </w:rPr>
        <w:t xml:space="preserve">a </w:t>
      </w:r>
      <w:r>
        <w:t xml:space="preserve">conversion, </w:t>
      </w:r>
      <w:r>
        <w:rPr>
          <w:b/>
          <w:bCs/>
        </w:rPr>
        <w:t xml:space="preserve">b </w:t>
      </w:r>
      <w:r>
        <w:t xml:space="preserve">energy efficiency, and </w:t>
      </w:r>
      <w:r>
        <w:rPr>
          <w:b/>
          <w:bCs/>
        </w:rPr>
        <w:t xml:space="preserve">c </w:t>
      </w:r>
      <w:r>
        <w:t xml:space="preserve">reactor wall temperature at various space velocities and around 25 W power input. </w:t>
      </w:r>
    </w:p>
    <w:p w14:paraId="3D73A0F5" w14:textId="77777777" w:rsidR="00092E5F" w:rsidRDefault="00092E5F">
      <w:pPr>
        <w:spacing w:line="360" w:lineRule="auto"/>
        <w:rPr>
          <w:rFonts w:cs="Times New Roman"/>
          <w:b/>
          <w:bCs/>
        </w:rPr>
      </w:pPr>
    </w:p>
    <w:p w14:paraId="17F2998B" w14:textId="77777777" w:rsidR="00092E5F" w:rsidRDefault="00092E5F">
      <w:pPr>
        <w:spacing w:line="360" w:lineRule="auto"/>
        <w:rPr>
          <w:rFonts w:cs="Times New Roman"/>
          <w:b/>
          <w:bCs/>
        </w:rPr>
      </w:pPr>
    </w:p>
    <w:p w14:paraId="50F9285C" w14:textId="77777777" w:rsidR="00092E5F" w:rsidRDefault="00000000">
      <w:pPr>
        <w:spacing w:line="360" w:lineRule="auto"/>
        <w:jc w:val="center"/>
        <w:rPr>
          <w:rFonts w:cs="Times New Roman"/>
          <w:b/>
          <w:bCs/>
        </w:rPr>
      </w:pPr>
      <w:r>
        <w:rPr>
          <w:rFonts w:cs="Times New Roman"/>
          <w:b/>
          <w:bCs/>
          <w:noProof/>
          <w14:ligatures w14:val="none"/>
        </w:rPr>
        <w:lastRenderedPageBreak/>
        <w:drawing>
          <wp:inline distT="0" distB="0" distL="0" distR="0" wp14:anchorId="609DD0DD" wp14:editId="2162868E">
            <wp:extent cx="5731510" cy="2995295"/>
            <wp:effectExtent l="0" t="0" r="0" b="1905"/>
            <wp:docPr id="603036455" name="Picture 1" descr="A drawing of a be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036455" name="Picture 1" descr="A drawing of a beam&#10;&#10;Description automatically generated"/>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731510" cy="2995295"/>
                    </a:xfrm>
                    <a:prstGeom prst="rect">
                      <a:avLst/>
                    </a:prstGeom>
                  </pic:spPr>
                </pic:pic>
              </a:graphicData>
            </a:graphic>
          </wp:inline>
        </w:drawing>
      </w:r>
    </w:p>
    <w:p w14:paraId="018E3A7A" w14:textId="77777777" w:rsidR="00092E5F" w:rsidRDefault="00000000">
      <w:pPr>
        <w:pStyle w:val="Heading3"/>
        <w:spacing w:line="360" w:lineRule="auto"/>
      </w:pPr>
      <w:bookmarkStart w:id="29" w:name="_Toc182485402"/>
      <w:r>
        <w:t>Figure S20. Geometry for 3D multi-tubular reactor calculations.</w:t>
      </w:r>
      <w:bookmarkEnd w:id="29"/>
      <w:r>
        <w:t xml:space="preserve"> </w:t>
      </w:r>
    </w:p>
    <w:p w14:paraId="486600C2" w14:textId="77777777" w:rsidR="00092E5F" w:rsidRDefault="00000000">
      <w:pPr>
        <w:spacing w:line="360" w:lineRule="auto"/>
        <w:jc w:val="both"/>
        <w:rPr>
          <w:rFonts w:cs="Times New Roman"/>
        </w:rPr>
      </w:pPr>
      <w:r>
        <w:rPr>
          <w:rFonts w:cs="Times New Roman"/>
        </w:rPr>
        <w:t xml:space="preserve">Geometry for multi-tubular calculations where the tubes are arranged either in a </w:t>
      </w:r>
      <w:proofErr w:type="spellStart"/>
      <w:r>
        <w:rPr>
          <w:rFonts w:cs="Times New Roman"/>
          <w:b/>
          <w:bCs/>
        </w:rPr>
        <w:t>a</w:t>
      </w:r>
      <w:proofErr w:type="spellEnd"/>
      <w:r>
        <w:rPr>
          <w:rFonts w:cs="Times New Roman"/>
          <w:b/>
          <w:bCs/>
        </w:rPr>
        <w:t xml:space="preserve"> </w:t>
      </w:r>
      <w:r>
        <w:rPr>
          <w:rFonts w:cs="Times New Roman"/>
        </w:rPr>
        <w:t xml:space="preserve">square or </w:t>
      </w:r>
      <w:r>
        <w:rPr>
          <w:rFonts w:cs="Times New Roman"/>
          <w:b/>
          <w:bCs/>
        </w:rPr>
        <w:t xml:space="preserve">b </w:t>
      </w:r>
      <w:r>
        <w:rPr>
          <w:rFonts w:cs="Times New Roman"/>
        </w:rPr>
        <w:t xml:space="preserve">triangular array. Symmetry boundary conditions are applied to the surfaces highlighted in yellow. </w:t>
      </w:r>
    </w:p>
    <w:p w14:paraId="5C69CC4A" w14:textId="77777777" w:rsidR="00092E5F" w:rsidRDefault="00092E5F">
      <w:pPr>
        <w:spacing w:line="360" w:lineRule="auto"/>
        <w:jc w:val="both"/>
        <w:rPr>
          <w:rFonts w:cs="Times New Roman"/>
        </w:rPr>
      </w:pPr>
    </w:p>
    <w:p w14:paraId="6D160015" w14:textId="77777777" w:rsidR="00092E5F" w:rsidRDefault="00000000">
      <w:pPr>
        <w:spacing w:line="360" w:lineRule="auto"/>
        <w:jc w:val="both"/>
        <w:rPr>
          <w:rFonts w:cs="Times New Roman"/>
        </w:rPr>
      </w:pPr>
      <w:r>
        <w:rPr>
          <w:rFonts w:cs="Times New Roman"/>
          <w:noProof/>
          <w14:ligatures w14:val="none"/>
        </w:rPr>
        <w:drawing>
          <wp:inline distT="0" distB="0" distL="0" distR="0" wp14:anchorId="5BD0A803" wp14:editId="6ECA5E4B">
            <wp:extent cx="5731510" cy="2239010"/>
            <wp:effectExtent l="0" t="0" r="0" b="0"/>
            <wp:docPr id="1801698290" name="Picture 1" descr="A graph of energy efficienc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698290" name="Picture 1" descr="A graph of energy efficiency&#10;&#10;AI-generated content may be incorrect."/>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31510" cy="2239010"/>
                    </a:xfrm>
                    <a:prstGeom prst="rect">
                      <a:avLst/>
                    </a:prstGeom>
                  </pic:spPr>
                </pic:pic>
              </a:graphicData>
            </a:graphic>
          </wp:inline>
        </w:drawing>
      </w:r>
    </w:p>
    <w:p w14:paraId="3652581A" w14:textId="77777777" w:rsidR="00092E5F" w:rsidRDefault="00000000">
      <w:pPr>
        <w:pStyle w:val="Heading3"/>
      </w:pPr>
      <w:bookmarkStart w:id="30" w:name="_Toc182485403"/>
      <w:r>
        <w:t>Figure S21. Comparison of single-tube and multi-tube simulation performance.</w:t>
      </w:r>
      <w:bookmarkEnd w:id="30"/>
      <w:r>
        <w:t xml:space="preserve"> </w:t>
      </w:r>
    </w:p>
    <w:p w14:paraId="79F9BDD8" w14:textId="77777777" w:rsidR="00092E5F" w:rsidRDefault="00000000">
      <w:pPr>
        <w:spacing w:line="276" w:lineRule="auto"/>
      </w:pPr>
      <w:r>
        <w:t xml:space="preserve">Results are for a reactor with 0.3 cm diameter and 35 W power input. </w:t>
      </w:r>
      <w:r>
        <w:rPr>
          <w:b/>
          <w:bCs/>
        </w:rPr>
        <w:t xml:space="preserve">a </w:t>
      </w:r>
      <w:r>
        <w:t>Temperature across the radius of the reactor at 0.75 m s</w:t>
      </w:r>
      <w:r>
        <w:rPr>
          <w:vertAlign w:val="superscript"/>
        </w:rPr>
        <w:t>-1</w:t>
      </w:r>
      <w:r>
        <w:t xml:space="preserve">. Packing multiple tubes close together reduces heat loss and thus increases the reactor temperatures. </w:t>
      </w:r>
      <w:r>
        <w:rPr>
          <w:b/>
          <w:bCs/>
        </w:rPr>
        <w:t xml:space="preserve">b </w:t>
      </w:r>
      <w:r>
        <w:t xml:space="preserve">Conversion and energy efficiency at low and high velocity conditions. </w:t>
      </w:r>
    </w:p>
    <w:p w14:paraId="2347BFD4" w14:textId="77777777" w:rsidR="00092E5F" w:rsidRDefault="00092E5F"/>
    <w:p w14:paraId="41975520" w14:textId="77777777" w:rsidR="00092E5F" w:rsidRDefault="00000000">
      <w:pPr>
        <w:jc w:val="center"/>
      </w:pPr>
      <w:r>
        <w:rPr>
          <w:noProof/>
        </w:rPr>
        <w:lastRenderedPageBreak/>
        <w:drawing>
          <wp:inline distT="0" distB="0" distL="0" distR="0" wp14:anchorId="64904FF7" wp14:editId="0F58A627">
            <wp:extent cx="4227830" cy="3232785"/>
            <wp:effectExtent l="0" t="0" r="1270" b="5715"/>
            <wp:docPr id="1351790000" name="Picture 1" descr="A diagram of a circular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790000" name="Picture 1" descr="A diagram of a circular chart&#10;&#10;AI-generated content may be incorrect."/>
                    <pic:cNvPicPr>
                      <a:picLocks noChangeAspect="1"/>
                    </pic:cNvPicPr>
                  </pic:nvPicPr>
                  <pic:blipFill>
                    <a:blip r:embed="rId34"/>
                    <a:stretch>
                      <a:fillRect/>
                    </a:stretch>
                  </pic:blipFill>
                  <pic:spPr>
                    <a:xfrm>
                      <a:off x="0" y="0"/>
                      <a:ext cx="4244272" cy="3245979"/>
                    </a:xfrm>
                    <a:prstGeom prst="rect">
                      <a:avLst/>
                    </a:prstGeom>
                  </pic:spPr>
                </pic:pic>
              </a:graphicData>
            </a:graphic>
          </wp:inline>
        </w:drawing>
      </w:r>
    </w:p>
    <w:p w14:paraId="2049F161" w14:textId="77777777" w:rsidR="00092E5F" w:rsidRDefault="00000000">
      <w:pPr>
        <w:pStyle w:val="Heading3"/>
      </w:pPr>
      <w:bookmarkStart w:id="31" w:name="_Toc182485404"/>
      <w:r>
        <w:t>Figure S22. Operating cost composition in ADR and TWL reactors.</w:t>
      </w:r>
      <w:bookmarkEnd w:id="31"/>
      <w:r>
        <w:t xml:space="preserve"> </w:t>
      </w:r>
    </w:p>
    <w:p w14:paraId="236338C1" w14:textId="77777777" w:rsidR="00092E5F" w:rsidRDefault="00000000">
      <w:pPr>
        <w:spacing w:line="276" w:lineRule="auto"/>
        <w:jc w:val="both"/>
      </w:pPr>
      <w:r>
        <w:t xml:space="preserve">The major component of the operating cost of green ammonia fuelled hydrogen production technologies is the cost of green ammonia itself, thus a reduction in the cost of green ammonia would greatly lower the operating costs of conventional ADR and the TWL process. In ADR, green ammonia is both the feedstock and fuel for combustion. </w:t>
      </w:r>
    </w:p>
    <w:p w14:paraId="32023DD3" w14:textId="77777777" w:rsidR="00092E5F" w:rsidRDefault="00092E5F">
      <w:pPr>
        <w:spacing w:line="360" w:lineRule="auto"/>
        <w:rPr>
          <w:rFonts w:cs="Times New Roman"/>
          <w:b/>
          <w:bCs/>
          <w:lang w:val="en-US"/>
        </w:rPr>
      </w:pPr>
    </w:p>
    <w:p w14:paraId="1B0A9714" w14:textId="77777777" w:rsidR="00092E5F" w:rsidRDefault="00000000">
      <w:pPr>
        <w:spacing w:line="360" w:lineRule="auto"/>
        <w:rPr>
          <w:rFonts w:cs="Times New Roman"/>
          <w:b/>
          <w:bCs/>
          <w:lang w:val="en-US"/>
        </w:rPr>
      </w:pPr>
      <w:r>
        <w:rPr>
          <w:rFonts w:cs="Times New Roman"/>
          <w:b/>
          <w:bCs/>
          <w:lang w:val="en-US"/>
        </w:rPr>
        <w:br w:type="page"/>
      </w:r>
    </w:p>
    <w:p w14:paraId="0052A26D" w14:textId="77777777" w:rsidR="00092E5F" w:rsidRDefault="00000000">
      <w:pPr>
        <w:pStyle w:val="Heading1"/>
        <w:spacing w:line="360" w:lineRule="auto"/>
        <w:rPr>
          <w:lang w:val="en-US"/>
        </w:rPr>
      </w:pPr>
      <w:bookmarkStart w:id="32" w:name="_Toc182485405"/>
      <w:r>
        <w:rPr>
          <w:lang w:val="en-US"/>
        </w:rPr>
        <w:lastRenderedPageBreak/>
        <w:t>Supplementary Tables</w:t>
      </w:r>
      <w:bookmarkEnd w:id="32"/>
      <w:r>
        <w:rPr>
          <w:lang w:val="en-US"/>
        </w:rPr>
        <w:t xml:space="preserve"> </w:t>
      </w:r>
    </w:p>
    <w:p w14:paraId="7D2DDFFF" w14:textId="77777777" w:rsidR="00092E5F" w:rsidRDefault="00000000">
      <w:pPr>
        <w:pStyle w:val="Heading3"/>
        <w:spacing w:line="360" w:lineRule="auto"/>
        <w:rPr>
          <w:lang w:val="en-US"/>
        </w:rPr>
      </w:pPr>
      <w:bookmarkStart w:id="33" w:name="_Toc182485406"/>
      <w:r>
        <w:rPr>
          <w:bCs/>
          <w:lang w:val="en-US"/>
        </w:rPr>
        <w:t xml:space="preserve">Table S1. </w:t>
      </w:r>
      <w:r>
        <w:rPr>
          <w:lang w:val="en-US"/>
        </w:rPr>
        <w:t>Conversion of lab-scale TWL reactor measured with IC.</w:t>
      </w:r>
      <w:bookmarkEnd w:id="33"/>
      <w:r>
        <w:rPr>
          <w:lang w:val="en-US"/>
        </w:rPr>
        <w:t xml:space="preserve">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9"/>
        <w:gridCol w:w="2141"/>
        <w:gridCol w:w="2567"/>
        <w:gridCol w:w="2059"/>
      </w:tblGrid>
      <w:tr w:rsidR="00092E5F" w14:paraId="7B124128" w14:textId="77777777">
        <w:tc>
          <w:tcPr>
            <w:tcW w:w="2249" w:type="dxa"/>
            <w:tcBorders>
              <w:top w:val="single" w:sz="4" w:space="0" w:color="auto"/>
              <w:bottom w:val="single" w:sz="4" w:space="0" w:color="auto"/>
            </w:tcBorders>
            <w:vAlign w:val="center"/>
          </w:tcPr>
          <w:p w14:paraId="63F746E0"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Power (W)</w:t>
            </w:r>
          </w:p>
        </w:tc>
        <w:tc>
          <w:tcPr>
            <w:tcW w:w="2141" w:type="dxa"/>
            <w:tcBorders>
              <w:top w:val="single" w:sz="4" w:space="0" w:color="auto"/>
              <w:bottom w:val="single" w:sz="4" w:space="0" w:color="auto"/>
            </w:tcBorders>
            <w:vAlign w:val="center"/>
          </w:tcPr>
          <w:p w14:paraId="2066F697"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NH</w:t>
            </w:r>
            <w:r>
              <w:rPr>
                <w:rFonts w:eastAsiaTheme="minorEastAsia" w:cs="Times New Roman"/>
                <w:sz w:val="22"/>
                <w:szCs w:val="22"/>
                <w:vertAlign w:val="subscript"/>
                <w:lang w:val="en-US" w:eastAsia="zh-CN"/>
              </w:rPr>
              <w:t>3</w:t>
            </w:r>
            <w:r>
              <w:rPr>
                <w:rFonts w:eastAsiaTheme="minorEastAsia" w:cs="Times New Roman"/>
                <w:sz w:val="22"/>
                <w:szCs w:val="22"/>
                <w:lang w:val="en-US" w:eastAsia="zh-CN"/>
              </w:rPr>
              <w:t xml:space="preserve"> space velocity (h</w:t>
            </w:r>
            <w:r>
              <w:rPr>
                <w:rFonts w:eastAsiaTheme="minorEastAsia" w:cs="Times New Roman"/>
                <w:sz w:val="22"/>
                <w:szCs w:val="22"/>
                <w:vertAlign w:val="superscript"/>
                <w:lang w:val="en-US" w:eastAsia="zh-CN"/>
              </w:rPr>
              <w:t>-1</w:t>
            </w:r>
            <w:r>
              <w:rPr>
                <w:rFonts w:eastAsiaTheme="minorEastAsia" w:cs="Times New Roman"/>
                <w:sz w:val="22"/>
                <w:szCs w:val="22"/>
                <w:lang w:val="en-US" w:eastAsia="zh-CN"/>
              </w:rPr>
              <w:t>)</w:t>
            </w:r>
          </w:p>
        </w:tc>
        <w:tc>
          <w:tcPr>
            <w:tcW w:w="2567" w:type="dxa"/>
            <w:tcBorders>
              <w:top w:val="single" w:sz="4" w:space="0" w:color="auto"/>
              <w:bottom w:val="single" w:sz="4" w:space="0" w:color="auto"/>
            </w:tcBorders>
            <w:vAlign w:val="center"/>
          </w:tcPr>
          <w:p w14:paraId="290EB1F5"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Conversion (%)</w:t>
            </w:r>
          </w:p>
        </w:tc>
        <w:tc>
          <w:tcPr>
            <w:tcW w:w="2059" w:type="dxa"/>
            <w:tcBorders>
              <w:top w:val="single" w:sz="4" w:space="0" w:color="auto"/>
              <w:bottom w:val="single" w:sz="4" w:space="0" w:color="auto"/>
            </w:tcBorders>
            <w:vAlign w:val="center"/>
          </w:tcPr>
          <w:p w14:paraId="33CDD933"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NH</w:t>
            </w:r>
            <w:r>
              <w:rPr>
                <w:rFonts w:eastAsiaTheme="minorEastAsia" w:cs="Times New Roman"/>
                <w:sz w:val="22"/>
                <w:szCs w:val="22"/>
                <w:vertAlign w:val="subscript"/>
                <w:lang w:val="en-US" w:eastAsia="zh-CN"/>
              </w:rPr>
              <w:t>3</w:t>
            </w:r>
            <w:r>
              <w:rPr>
                <w:rFonts w:eastAsiaTheme="minorEastAsia" w:cs="Times New Roman"/>
                <w:sz w:val="22"/>
                <w:szCs w:val="22"/>
                <w:lang w:val="en-US" w:eastAsia="zh-CN"/>
              </w:rPr>
              <w:t xml:space="preserve"> concentration (ppm)</w:t>
            </w:r>
          </w:p>
        </w:tc>
      </w:tr>
      <w:tr w:rsidR="00092E5F" w14:paraId="14AAF8F8" w14:textId="77777777">
        <w:tc>
          <w:tcPr>
            <w:tcW w:w="2249" w:type="dxa"/>
            <w:tcBorders>
              <w:top w:val="single" w:sz="4" w:space="0" w:color="auto"/>
            </w:tcBorders>
            <w:vAlign w:val="center"/>
          </w:tcPr>
          <w:p w14:paraId="065A8E40"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60</w:t>
            </w:r>
          </w:p>
        </w:tc>
        <w:tc>
          <w:tcPr>
            <w:tcW w:w="2141" w:type="dxa"/>
            <w:tcBorders>
              <w:top w:val="single" w:sz="4" w:space="0" w:color="auto"/>
            </w:tcBorders>
            <w:vAlign w:val="center"/>
          </w:tcPr>
          <w:p w14:paraId="5B0FE452"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110</w:t>
            </w:r>
          </w:p>
        </w:tc>
        <w:tc>
          <w:tcPr>
            <w:tcW w:w="2567" w:type="dxa"/>
            <w:tcBorders>
              <w:top w:val="single" w:sz="4" w:space="0" w:color="auto"/>
            </w:tcBorders>
            <w:vAlign w:val="center"/>
          </w:tcPr>
          <w:p w14:paraId="0BB70B0A"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99.9956</w:t>
            </w:r>
          </w:p>
        </w:tc>
        <w:tc>
          <w:tcPr>
            <w:tcW w:w="2059" w:type="dxa"/>
            <w:tcBorders>
              <w:top w:val="single" w:sz="4" w:space="0" w:color="auto"/>
            </w:tcBorders>
            <w:vAlign w:val="center"/>
          </w:tcPr>
          <w:p w14:paraId="082F2BAB"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44</w:t>
            </w:r>
          </w:p>
        </w:tc>
      </w:tr>
      <w:tr w:rsidR="00092E5F" w14:paraId="50B91FB2" w14:textId="77777777">
        <w:tc>
          <w:tcPr>
            <w:tcW w:w="2249" w:type="dxa"/>
            <w:vAlign w:val="center"/>
          </w:tcPr>
          <w:p w14:paraId="7E1DFE42"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60</w:t>
            </w:r>
          </w:p>
        </w:tc>
        <w:tc>
          <w:tcPr>
            <w:tcW w:w="2141" w:type="dxa"/>
            <w:vAlign w:val="center"/>
          </w:tcPr>
          <w:p w14:paraId="5FB024B5"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218</w:t>
            </w:r>
          </w:p>
        </w:tc>
        <w:tc>
          <w:tcPr>
            <w:tcW w:w="2567" w:type="dxa"/>
            <w:vAlign w:val="center"/>
          </w:tcPr>
          <w:p w14:paraId="037D21D4"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99.9787</w:t>
            </w:r>
          </w:p>
        </w:tc>
        <w:tc>
          <w:tcPr>
            <w:tcW w:w="2059" w:type="dxa"/>
            <w:vAlign w:val="center"/>
          </w:tcPr>
          <w:p w14:paraId="72876EF8"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213</w:t>
            </w:r>
          </w:p>
        </w:tc>
      </w:tr>
      <w:tr w:rsidR="00092E5F" w14:paraId="0F8D6B7C" w14:textId="77777777">
        <w:tc>
          <w:tcPr>
            <w:tcW w:w="2249" w:type="dxa"/>
            <w:vAlign w:val="center"/>
          </w:tcPr>
          <w:p w14:paraId="6901D663"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50</w:t>
            </w:r>
          </w:p>
        </w:tc>
        <w:tc>
          <w:tcPr>
            <w:tcW w:w="2141" w:type="dxa"/>
            <w:vAlign w:val="center"/>
          </w:tcPr>
          <w:p w14:paraId="068A954B"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110</w:t>
            </w:r>
          </w:p>
        </w:tc>
        <w:tc>
          <w:tcPr>
            <w:tcW w:w="2567" w:type="dxa"/>
            <w:vAlign w:val="center"/>
          </w:tcPr>
          <w:p w14:paraId="0D8E255B"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99.9450</w:t>
            </w:r>
          </w:p>
        </w:tc>
        <w:tc>
          <w:tcPr>
            <w:tcW w:w="2059" w:type="dxa"/>
            <w:vAlign w:val="center"/>
          </w:tcPr>
          <w:p w14:paraId="213BD5FF"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550</w:t>
            </w:r>
          </w:p>
        </w:tc>
      </w:tr>
      <w:tr w:rsidR="00092E5F" w14:paraId="1D9AB270" w14:textId="77777777">
        <w:tc>
          <w:tcPr>
            <w:tcW w:w="2249" w:type="dxa"/>
            <w:vAlign w:val="center"/>
          </w:tcPr>
          <w:p w14:paraId="3F613157"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50</w:t>
            </w:r>
          </w:p>
        </w:tc>
        <w:tc>
          <w:tcPr>
            <w:tcW w:w="2141" w:type="dxa"/>
            <w:vAlign w:val="center"/>
          </w:tcPr>
          <w:p w14:paraId="0EAEA06A"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218</w:t>
            </w:r>
          </w:p>
        </w:tc>
        <w:tc>
          <w:tcPr>
            <w:tcW w:w="2567" w:type="dxa"/>
            <w:vAlign w:val="center"/>
          </w:tcPr>
          <w:p w14:paraId="5C4CB2C3"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99.9102</w:t>
            </w:r>
          </w:p>
        </w:tc>
        <w:tc>
          <w:tcPr>
            <w:tcW w:w="2059" w:type="dxa"/>
            <w:vAlign w:val="center"/>
          </w:tcPr>
          <w:p w14:paraId="0572BBC9"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898</w:t>
            </w:r>
          </w:p>
        </w:tc>
      </w:tr>
      <w:tr w:rsidR="00092E5F" w14:paraId="56C1D362" w14:textId="77777777">
        <w:tc>
          <w:tcPr>
            <w:tcW w:w="2249" w:type="dxa"/>
            <w:vAlign w:val="center"/>
          </w:tcPr>
          <w:p w14:paraId="52BC30CD"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50</w:t>
            </w:r>
          </w:p>
        </w:tc>
        <w:tc>
          <w:tcPr>
            <w:tcW w:w="2141" w:type="dxa"/>
            <w:vAlign w:val="center"/>
          </w:tcPr>
          <w:p w14:paraId="18A91891"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545</w:t>
            </w:r>
          </w:p>
        </w:tc>
        <w:tc>
          <w:tcPr>
            <w:tcW w:w="2567" w:type="dxa"/>
            <w:vAlign w:val="center"/>
          </w:tcPr>
          <w:p w14:paraId="2A204254"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98.5523</w:t>
            </w:r>
          </w:p>
        </w:tc>
        <w:tc>
          <w:tcPr>
            <w:tcW w:w="2059" w:type="dxa"/>
            <w:vAlign w:val="center"/>
          </w:tcPr>
          <w:p w14:paraId="329D4737"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14,477</w:t>
            </w:r>
          </w:p>
        </w:tc>
      </w:tr>
      <w:tr w:rsidR="00092E5F" w14:paraId="4BDF52B1" w14:textId="77777777">
        <w:tc>
          <w:tcPr>
            <w:tcW w:w="2249" w:type="dxa"/>
            <w:vAlign w:val="center"/>
          </w:tcPr>
          <w:p w14:paraId="64D73E9A"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40</w:t>
            </w:r>
          </w:p>
        </w:tc>
        <w:tc>
          <w:tcPr>
            <w:tcW w:w="2141" w:type="dxa"/>
            <w:vAlign w:val="center"/>
          </w:tcPr>
          <w:p w14:paraId="30897848"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218</w:t>
            </w:r>
          </w:p>
        </w:tc>
        <w:tc>
          <w:tcPr>
            <w:tcW w:w="2567" w:type="dxa"/>
            <w:vAlign w:val="center"/>
          </w:tcPr>
          <w:p w14:paraId="24D82FEF"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99.8751</w:t>
            </w:r>
          </w:p>
        </w:tc>
        <w:tc>
          <w:tcPr>
            <w:tcW w:w="2059" w:type="dxa"/>
            <w:vAlign w:val="center"/>
          </w:tcPr>
          <w:p w14:paraId="14B3AC22"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1,249</w:t>
            </w:r>
          </w:p>
        </w:tc>
      </w:tr>
      <w:tr w:rsidR="00092E5F" w14:paraId="3BD7E993" w14:textId="77777777">
        <w:tc>
          <w:tcPr>
            <w:tcW w:w="2249" w:type="dxa"/>
            <w:vAlign w:val="center"/>
          </w:tcPr>
          <w:p w14:paraId="51742EEF"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40</w:t>
            </w:r>
          </w:p>
        </w:tc>
        <w:tc>
          <w:tcPr>
            <w:tcW w:w="2141" w:type="dxa"/>
            <w:vAlign w:val="center"/>
          </w:tcPr>
          <w:p w14:paraId="71397078"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1091</w:t>
            </w:r>
          </w:p>
        </w:tc>
        <w:tc>
          <w:tcPr>
            <w:tcW w:w="2567" w:type="dxa"/>
            <w:vAlign w:val="center"/>
          </w:tcPr>
          <w:p w14:paraId="439CB024"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96.6748</w:t>
            </w:r>
          </w:p>
        </w:tc>
        <w:tc>
          <w:tcPr>
            <w:tcW w:w="2059" w:type="dxa"/>
            <w:vAlign w:val="center"/>
          </w:tcPr>
          <w:p w14:paraId="6D1E3B5A"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33,252</w:t>
            </w:r>
          </w:p>
        </w:tc>
      </w:tr>
    </w:tbl>
    <w:p w14:paraId="65288C3C" w14:textId="77777777" w:rsidR="00092E5F" w:rsidRDefault="00092E5F">
      <w:pPr>
        <w:spacing w:line="360" w:lineRule="auto"/>
        <w:jc w:val="both"/>
        <w:rPr>
          <w:rFonts w:cs="Times New Roman"/>
          <w:b/>
          <w:bCs/>
          <w:lang w:val="en-US"/>
        </w:rPr>
      </w:pPr>
    </w:p>
    <w:p w14:paraId="5F98BFD9" w14:textId="77777777" w:rsidR="00092E5F" w:rsidRDefault="00000000">
      <w:pPr>
        <w:pStyle w:val="Heading3"/>
        <w:spacing w:line="360" w:lineRule="auto"/>
        <w:jc w:val="both"/>
        <w:rPr>
          <w:lang w:val="en-US"/>
        </w:rPr>
      </w:pPr>
      <w:bookmarkStart w:id="34" w:name="_Toc182485407"/>
      <w:r>
        <w:rPr>
          <w:bCs/>
          <w:lang w:val="en-US"/>
        </w:rPr>
        <w:t>Table S2.</w:t>
      </w:r>
      <w:r>
        <w:rPr>
          <w:lang w:val="en-US"/>
        </w:rPr>
        <w:t xml:space="preserve"> Comparison of activity and efficiency of other reported ammonia decomposition systems, as depicted in Fig 3d.</w:t>
      </w:r>
      <w:bookmarkEnd w:id="34"/>
      <w:r>
        <w:rPr>
          <w:lang w:val="en-US"/>
        </w:rPr>
        <w:t xml:space="preserve"> </w:t>
      </w:r>
    </w:p>
    <w:tbl>
      <w:tblPr>
        <w:tblStyle w:val="TableGrid"/>
        <w:tblpPr w:leftFromText="180" w:rightFromText="180" w:vertAnchor="text" w:horzAnchor="margin" w:tblpY="340"/>
        <w:tblW w:w="90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7"/>
        <w:gridCol w:w="1417"/>
        <w:gridCol w:w="992"/>
        <w:gridCol w:w="1366"/>
        <w:gridCol w:w="907"/>
        <w:gridCol w:w="855"/>
        <w:gridCol w:w="1129"/>
        <w:gridCol w:w="1134"/>
      </w:tblGrid>
      <w:tr w:rsidR="00092E5F" w14:paraId="6B2D411C" w14:textId="77777777">
        <w:tc>
          <w:tcPr>
            <w:tcW w:w="1277" w:type="dxa"/>
            <w:tcBorders>
              <w:top w:val="single" w:sz="4" w:space="0" w:color="auto"/>
              <w:bottom w:val="single" w:sz="4" w:space="0" w:color="auto"/>
            </w:tcBorders>
            <w:vAlign w:val="center"/>
          </w:tcPr>
          <w:p w14:paraId="0204D0D0"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Heating Method</w:t>
            </w:r>
          </w:p>
        </w:tc>
        <w:tc>
          <w:tcPr>
            <w:tcW w:w="1417" w:type="dxa"/>
            <w:tcBorders>
              <w:top w:val="single" w:sz="4" w:space="0" w:color="auto"/>
              <w:bottom w:val="single" w:sz="4" w:space="0" w:color="auto"/>
            </w:tcBorders>
            <w:vAlign w:val="center"/>
          </w:tcPr>
          <w:p w14:paraId="0DCB5B09"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Catalyst</w:t>
            </w:r>
          </w:p>
        </w:tc>
        <w:tc>
          <w:tcPr>
            <w:tcW w:w="992" w:type="dxa"/>
            <w:tcBorders>
              <w:top w:val="single" w:sz="4" w:space="0" w:color="auto"/>
              <w:bottom w:val="single" w:sz="4" w:space="0" w:color="auto"/>
            </w:tcBorders>
            <w:vAlign w:val="center"/>
          </w:tcPr>
          <w:p w14:paraId="4D7026D6"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Flow Rate</w:t>
            </w:r>
          </w:p>
        </w:tc>
        <w:tc>
          <w:tcPr>
            <w:tcW w:w="1366" w:type="dxa"/>
            <w:tcBorders>
              <w:top w:val="single" w:sz="4" w:space="0" w:color="auto"/>
              <w:bottom w:val="single" w:sz="4" w:space="0" w:color="auto"/>
            </w:tcBorders>
            <w:vAlign w:val="center"/>
          </w:tcPr>
          <w:p w14:paraId="628EC3EB"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Conversion (%)</w:t>
            </w:r>
          </w:p>
        </w:tc>
        <w:tc>
          <w:tcPr>
            <w:tcW w:w="907" w:type="dxa"/>
            <w:tcBorders>
              <w:top w:val="single" w:sz="4" w:space="0" w:color="auto"/>
              <w:bottom w:val="single" w:sz="4" w:space="0" w:color="auto"/>
            </w:tcBorders>
            <w:vAlign w:val="center"/>
          </w:tcPr>
          <w:p w14:paraId="19FF08F5"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Volume (cm</w:t>
            </w:r>
            <w:r>
              <w:rPr>
                <w:rFonts w:eastAsiaTheme="minorEastAsia" w:cs="Times New Roman"/>
                <w:color w:val="000000"/>
                <w:sz w:val="22"/>
                <w:szCs w:val="22"/>
                <w:vertAlign w:val="superscript"/>
                <w:lang w:eastAsia="zh-CN"/>
              </w:rPr>
              <w:t>3</w:t>
            </w:r>
            <w:r>
              <w:rPr>
                <w:rFonts w:eastAsiaTheme="minorEastAsia" w:cs="Times New Roman"/>
                <w:color w:val="000000"/>
                <w:sz w:val="22"/>
                <w:szCs w:val="22"/>
                <w:lang w:eastAsia="zh-CN"/>
              </w:rPr>
              <w:t>)</w:t>
            </w:r>
          </w:p>
        </w:tc>
        <w:tc>
          <w:tcPr>
            <w:tcW w:w="855" w:type="dxa"/>
            <w:tcBorders>
              <w:top w:val="single" w:sz="4" w:space="0" w:color="auto"/>
              <w:bottom w:val="single" w:sz="4" w:space="0" w:color="auto"/>
            </w:tcBorders>
            <w:vAlign w:val="center"/>
          </w:tcPr>
          <w:p w14:paraId="680758C6"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Energy Input (W)</w:t>
            </w:r>
          </w:p>
        </w:tc>
        <w:tc>
          <w:tcPr>
            <w:tcW w:w="1129" w:type="dxa"/>
            <w:tcBorders>
              <w:top w:val="single" w:sz="4" w:space="0" w:color="auto"/>
              <w:bottom w:val="single" w:sz="4" w:space="0" w:color="auto"/>
            </w:tcBorders>
            <w:vAlign w:val="center"/>
          </w:tcPr>
          <w:p w14:paraId="7CE57F7D"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Energy Efficiency</w:t>
            </w:r>
          </w:p>
        </w:tc>
        <w:tc>
          <w:tcPr>
            <w:tcW w:w="1134" w:type="dxa"/>
            <w:tcBorders>
              <w:top w:val="single" w:sz="4" w:space="0" w:color="auto"/>
              <w:bottom w:val="single" w:sz="4" w:space="0" w:color="auto"/>
            </w:tcBorders>
            <w:vAlign w:val="center"/>
          </w:tcPr>
          <w:p w14:paraId="0B58DD4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Reference</w:t>
            </w:r>
          </w:p>
        </w:tc>
      </w:tr>
      <w:tr w:rsidR="00092E5F" w14:paraId="29DD2A99" w14:textId="77777777">
        <w:tc>
          <w:tcPr>
            <w:tcW w:w="1277" w:type="dxa"/>
            <w:tcBorders>
              <w:top w:val="single" w:sz="4" w:space="0" w:color="auto"/>
            </w:tcBorders>
            <w:vAlign w:val="center"/>
          </w:tcPr>
          <w:p w14:paraId="4227ACFB"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Resistive heating</w:t>
            </w:r>
          </w:p>
        </w:tc>
        <w:tc>
          <w:tcPr>
            <w:tcW w:w="1417" w:type="dxa"/>
            <w:tcBorders>
              <w:top w:val="single" w:sz="4" w:space="0" w:color="auto"/>
            </w:tcBorders>
            <w:vAlign w:val="center"/>
          </w:tcPr>
          <w:p w14:paraId="072402E9"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Tungsten wire</w:t>
            </w:r>
          </w:p>
        </w:tc>
        <w:tc>
          <w:tcPr>
            <w:tcW w:w="992" w:type="dxa"/>
            <w:tcBorders>
              <w:top w:val="single" w:sz="4" w:space="0" w:color="auto"/>
            </w:tcBorders>
            <w:vAlign w:val="center"/>
          </w:tcPr>
          <w:p w14:paraId="0B906370"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180</w:t>
            </w:r>
          </w:p>
        </w:tc>
        <w:tc>
          <w:tcPr>
            <w:tcW w:w="1366" w:type="dxa"/>
            <w:tcBorders>
              <w:top w:val="single" w:sz="4" w:space="0" w:color="auto"/>
            </w:tcBorders>
            <w:vAlign w:val="center"/>
          </w:tcPr>
          <w:p w14:paraId="3D437B68"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63%</w:t>
            </w:r>
          </w:p>
        </w:tc>
        <w:tc>
          <w:tcPr>
            <w:tcW w:w="907" w:type="dxa"/>
            <w:tcBorders>
              <w:top w:val="single" w:sz="4" w:space="0" w:color="auto"/>
            </w:tcBorders>
            <w:vAlign w:val="center"/>
          </w:tcPr>
          <w:p w14:paraId="60E215B4" w14:textId="77777777" w:rsidR="00092E5F" w:rsidRDefault="00092E5F">
            <w:pPr>
              <w:spacing w:line="360" w:lineRule="auto"/>
              <w:jc w:val="center"/>
              <w:rPr>
                <w:rFonts w:eastAsiaTheme="minorEastAsia" w:cs="Times New Roman"/>
                <w:color w:val="000000"/>
                <w:sz w:val="22"/>
                <w:szCs w:val="22"/>
                <w:lang w:eastAsia="zh-CN"/>
              </w:rPr>
            </w:pPr>
          </w:p>
        </w:tc>
        <w:tc>
          <w:tcPr>
            <w:tcW w:w="855" w:type="dxa"/>
            <w:tcBorders>
              <w:top w:val="single" w:sz="4" w:space="0" w:color="auto"/>
            </w:tcBorders>
            <w:vAlign w:val="center"/>
          </w:tcPr>
          <w:p w14:paraId="5C677AD2"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25</w:t>
            </w:r>
          </w:p>
        </w:tc>
        <w:tc>
          <w:tcPr>
            <w:tcW w:w="1129" w:type="dxa"/>
            <w:tcBorders>
              <w:top w:val="single" w:sz="4" w:space="0" w:color="auto"/>
            </w:tcBorders>
            <w:vAlign w:val="center"/>
          </w:tcPr>
          <w:p w14:paraId="08DFC1BA"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61%</w:t>
            </w:r>
          </w:p>
        </w:tc>
        <w:tc>
          <w:tcPr>
            <w:tcW w:w="1134" w:type="dxa"/>
            <w:tcBorders>
              <w:top w:val="single" w:sz="4" w:space="0" w:color="auto"/>
            </w:tcBorders>
            <w:vAlign w:val="center"/>
          </w:tcPr>
          <w:p w14:paraId="0B17C49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This work</w:t>
            </w:r>
          </w:p>
        </w:tc>
      </w:tr>
      <w:tr w:rsidR="00092E5F" w14:paraId="758B2770" w14:textId="77777777">
        <w:tc>
          <w:tcPr>
            <w:tcW w:w="1277" w:type="dxa"/>
            <w:vAlign w:val="center"/>
          </w:tcPr>
          <w:p w14:paraId="24B7F857"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Resistive heating</w:t>
            </w:r>
          </w:p>
        </w:tc>
        <w:tc>
          <w:tcPr>
            <w:tcW w:w="1417" w:type="dxa"/>
            <w:vAlign w:val="center"/>
          </w:tcPr>
          <w:p w14:paraId="40BEE365"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Tungsten wire</w:t>
            </w:r>
          </w:p>
        </w:tc>
        <w:tc>
          <w:tcPr>
            <w:tcW w:w="992" w:type="dxa"/>
            <w:vAlign w:val="center"/>
          </w:tcPr>
          <w:p w14:paraId="76265F99"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120</w:t>
            </w:r>
          </w:p>
        </w:tc>
        <w:tc>
          <w:tcPr>
            <w:tcW w:w="1366" w:type="dxa"/>
            <w:vAlign w:val="center"/>
          </w:tcPr>
          <w:p w14:paraId="392E5C7B"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95%</w:t>
            </w:r>
          </w:p>
        </w:tc>
        <w:tc>
          <w:tcPr>
            <w:tcW w:w="907" w:type="dxa"/>
            <w:vAlign w:val="center"/>
          </w:tcPr>
          <w:p w14:paraId="429EA3BD" w14:textId="77777777" w:rsidR="00092E5F" w:rsidRDefault="00092E5F">
            <w:pPr>
              <w:spacing w:line="360" w:lineRule="auto"/>
              <w:jc w:val="center"/>
              <w:rPr>
                <w:rFonts w:eastAsiaTheme="minorEastAsia" w:cs="Times New Roman"/>
                <w:color w:val="000000"/>
                <w:sz w:val="22"/>
                <w:szCs w:val="22"/>
                <w:lang w:eastAsia="zh-CN"/>
              </w:rPr>
            </w:pPr>
          </w:p>
        </w:tc>
        <w:tc>
          <w:tcPr>
            <w:tcW w:w="855" w:type="dxa"/>
            <w:vAlign w:val="center"/>
          </w:tcPr>
          <w:p w14:paraId="5AFC6752"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41</w:t>
            </w:r>
          </w:p>
        </w:tc>
        <w:tc>
          <w:tcPr>
            <w:tcW w:w="1129" w:type="dxa"/>
            <w:vAlign w:val="center"/>
          </w:tcPr>
          <w:p w14:paraId="2014909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47%</w:t>
            </w:r>
          </w:p>
        </w:tc>
        <w:tc>
          <w:tcPr>
            <w:tcW w:w="1134" w:type="dxa"/>
            <w:vAlign w:val="center"/>
          </w:tcPr>
          <w:p w14:paraId="4FFB44CC"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This work</w:t>
            </w:r>
          </w:p>
        </w:tc>
      </w:tr>
      <w:tr w:rsidR="00092E5F" w14:paraId="525662B1" w14:textId="77777777">
        <w:tc>
          <w:tcPr>
            <w:tcW w:w="1277" w:type="dxa"/>
            <w:vAlign w:val="center"/>
          </w:tcPr>
          <w:p w14:paraId="7674F203"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Resistive heating</w:t>
            </w:r>
          </w:p>
        </w:tc>
        <w:tc>
          <w:tcPr>
            <w:tcW w:w="1417" w:type="dxa"/>
            <w:vAlign w:val="center"/>
          </w:tcPr>
          <w:p w14:paraId="7F7566BB" w14:textId="77777777" w:rsidR="00092E5F" w:rsidRDefault="00000000">
            <w:pPr>
              <w:spacing w:line="360" w:lineRule="auto"/>
              <w:jc w:val="center"/>
              <w:rPr>
                <w:rFonts w:eastAsiaTheme="minorEastAsia" w:cs="Times New Roman"/>
                <w:color w:val="000000"/>
                <w:sz w:val="22"/>
                <w:szCs w:val="22"/>
                <w:lang w:eastAsia="zh-CN"/>
              </w:rPr>
            </w:pPr>
            <w:proofErr w:type="spellStart"/>
            <w:r>
              <w:rPr>
                <w:rFonts w:eastAsiaTheme="minorEastAsia" w:cs="Times New Roman"/>
                <w:color w:val="000000"/>
                <w:sz w:val="22"/>
                <w:szCs w:val="22"/>
                <w:lang w:eastAsia="zh-CN"/>
              </w:rPr>
              <w:t>iRu</w:t>
            </w:r>
            <w:proofErr w:type="spellEnd"/>
            <w:r>
              <w:rPr>
                <w:rFonts w:eastAsiaTheme="minorEastAsia" w:cs="Times New Roman"/>
                <w:color w:val="000000"/>
                <w:sz w:val="22"/>
                <w:szCs w:val="22"/>
                <w:lang w:eastAsia="zh-CN"/>
              </w:rPr>
              <w:t>/NF</w:t>
            </w:r>
          </w:p>
        </w:tc>
        <w:tc>
          <w:tcPr>
            <w:tcW w:w="992" w:type="dxa"/>
            <w:vAlign w:val="center"/>
          </w:tcPr>
          <w:p w14:paraId="55F307B2" w14:textId="77777777" w:rsidR="00092E5F" w:rsidRDefault="00092E5F">
            <w:pPr>
              <w:spacing w:line="360" w:lineRule="auto"/>
              <w:jc w:val="center"/>
              <w:rPr>
                <w:rFonts w:eastAsiaTheme="minorEastAsia" w:cs="Times New Roman"/>
                <w:color w:val="000000"/>
                <w:sz w:val="22"/>
                <w:szCs w:val="22"/>
                <w:lang w:eastAsia="zh-CN"/>
              </w:rPr>
            </w:pPr>
          </w:p>
        </w:tc>
        <w:tc>
          <w:tcPr>
            <w:tcW w:w="1366" w:type="dxa"/>
            <w:vAlign w:val="center"/>
          </w:tcPr>
          <w:p w14:paraId="677B29ED"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99%</w:t>
            </w:r>
          </w:p>
        </w:tc>
        <w:tc>
          <w:tcPr>
            <w:tcW w:w="907" w:type="dxa"/>
            <w:vAlign w:val="center"/>
          </w:tcPr>
          <w:p w14:paraId="7B04695F"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7.7</w:t>
            </w:r>
          </w:p>
        </w:tc>
        <w:tc>
          <w:tcPr>
            <w:tcW w:w="855" w:type="dxa"/>
            <w:vAlign w:val="center"/>
          </w:tcPr>
          <w:p w14:paraId="734B6083"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72</w:t>
            </w:r>
          </w:p>
        </w:tc>
        <w:tc>
          <w:tcPr>
            <w:tcW w:w="1129" w:type="dxa"/>
            <w:vAlign w:val="center"/>
          </w:tcPr>
          <w:p w14:paraId="2DC27D4C"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69%</w:t>
            </w:r>
          </w:p>
        </w:tc>
        <w:tc>
          <w:tcPr>
            <w:tcW w:w="1134" w:type="dxa"/>
            <w:vAlign w:val="center"/>
          </w:tcPr>
          <w:p w14:paraId="194DA241"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&lt;EndNote&gt;&lt;Cite&gt;&lt;Author&gt;Badakhsh&lt;/Author&gt;&lt;Year&gt;2021&lt;/Year&gt;&lt;RecNum&gt;111&lt;/RecNum&gt;&lt;DisplayText&gt;&lt;style face="superscript"&gt;13&lt;/style&gt;&lt;/DisplayText&gt;&lt;record&gt;&lt;rec-number&gt;111&lt;/rec-number&gt;&lt;foreign-keys&gt;&lt;key app="EN" db-id="s5z2zsz04waeexe29v3pzvfl2x5z0s5f0vvs" timestamp="1640190312"&gt;111&lt;/key&gt;&lt;/foreign-keys&gt;&lt;ref-type name="Journal Article"&gt;17&lt;/ref-type&gt;&lt;contributors&gt;&lt;authors&gt;&lt;author&gt;Badakhsh, A.&lt;/author&gt;&lt;author&gt;Kwak, Y.&lt;/author&gt;&lt;author&gt;Lee, Y. J.&lt;/author&gt;&lt;author&gt;Jeong, H.&lt;/author&gt;&lt;author&gt;Kim, Y.&lt;/author&gt;&lt;author&gt;Sohn, H.&lt;/author&gt;&lt;author&gt;Nam, S. W.&lt;/author&gt;&lt;author&gt;Yoon, C. W.&lt;/author&gt;&lt;author&gt;Park, C. W.&lt;/author&gt;&lt;author&gt;Jo, Y. S.&lt;/author&gt;&lt;/authors&gt;&lt;/contributors&gt;&lt;titles&gt;&lt;title&gt;A compact catalytic foam reactor for decomposition of ammonia by the Joule-heating mechanism&lt;/title&gt;&lt;secondary-title&gt;Chemical Engineering Journal&lt;/secondary-title&gt;&lt;/titles&gt;&lt;periodical&gt;&lt;full-title&gt;Chemical Engineering Journal&lt;/full-title&gt;&lt;abbr-1&gt;Chem. Eng. J.&lt;/abbr-1&gt;&lt;abbr-2&gt;Chem Eng J&lt;/abbr-2&gt;&lt;/periodical&gt;&lt;volume&gt;426&lt;/volume&gt;&lt;dates&gt;&lt;year&gt;2021&lt;/year&gt;&lt;/dates&gt;&lt;work-type&gt;Article&lt;/work-type&gt;&lt;urls&gt;&lt;related-urls&gt;&lt;url&gt;https://www.scopus.com/inward/record.uri?eid=2-s2.0-85109179369&amp;amp;doi=10.1016%2fj.cej.2021.130802&amp;amp;partnerID=40&amp;amp;md5=b63aefcc9c18f8391362b53586318dd4&lt;/url&gt;&lt;/related-urls&gt;&lt;/urls&gt;&lt;custom7&gt;130802&lt;/custom7&gt;&lt;electronic-resource-num&gt;10.1016/j.cej.2021.130802&lt;/electronic-resource-num&gt;&lt;remote-database-name&gt;Scopus&lt;/remote-database-name&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13</w:t>
            </w:r>
            <w:r>
              <w:rPr>
                <w:rFonts w:eastAsiaTheme="minorEastAsia" w:cs="Times New Roman"/>
                <w:color w:val="000000"/>
                <w:sz w:val="22"/>
                <w:szCs w:val="22"/>
                <w:lang w:eastAsia="zh-CN"/>
              </w:rPr>
              <w:fldChar w:fldCharType="end"/>
            </w:r>
          </w:p>
        </w:tc>
      </w:tr>
      <w:tr w:rsidR="00092E5F" w14:paraId="688840A9" w14:textId="77777777">
        <w:tc>
          <w:tcPr>
            <w:tcW w:w="1277" w:type="dxa"/>
            <w:vAlign w:val="center"/>
          </w:tcPr>
          <w:p w14:paraId="5714FA4A"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Plasma</w:t>
            </w:r>
          </w:p>
        </w:tc>
        <w:tc>
          <w:tcPr>
            <w:tcW w:w="1417" w:type="dxa"/>
            <w:vAlign w:val="center"/>
          </w:tcPr>
          <w:p w14:paraId="5AD2C87D"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Co/Al</w:t>
            </w:r>
            <w:r>
              <w:rPr>
                <w:rFonts w:eastAsiaTheme="minorEastAsia" w:cs="Times New Roman"/>
                <w:color w:val="000000"/>
                <w:sz w:val="22"/>
                <w:szCs w:val="22"/>
                <w:vertAlign w:val="subscript"/>
                <w:lang w:eastAsia="zh-CN"/>
              </w:rPr>
              <w:t>2</w:t>
            </w:r>
            <w:r>
              <w:rPr>
                <w:rFonts w:eastAsiaTheme="minorEastAsia" w:cs="Times New Roman"/>
                <w:color w:val="000000"/>
                <w:sz w:val="22"/>
                <w:szCs w:val="22"/>
                <w:lang w:eastAsia="zh-CN"/>
              </w:rPr>
              <w:t>O</w:t>
            </w:r>
            <w:r>
              <w:rPr>
                <w:rFonts w:eastAsiaTheme="minorEastAsia" w:cs="Times New Roman"/>
                <w:color w:val="000000"/>
                <w:sz w:val="22"/>
                <w:szCs w:val="22"/>
                <w:vertAlign w:val="subscript"/>
                <w:lang w:eastAsia="zh-CN"/>
              </w:rPr>
              <w:t>3</w:t>
            </w:r>
          </w:p>
        </w:tc>
        <w:tc>
          <w:tcPr>
            <w:tcW w:w="992" w:type="dxa"/>
            <w:vAlign w:val="center"/>
          </w:tcPr>
          <w:p w14:paraId="63625AEB"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40</w:t>
            </w:r>
          </w:p>
        </w:tc>
        <w:tc>
          <w:tcPr>
            <w:tcW w:w="1366" w:type="dxa"/>
            <w:vAlign w:val="center"/>
          </w:tcPr>
          <w:p w14:paraId="4F46DEB5"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95.20%</w:t>
            </w:r>
          </w:p>
        </w:tc>
        <w:tc>
          <w:tcPr>
            <w:tcW w:w="907" w:type="dxa"/>
            <w:vAlign w:val="center"/>
          </w:tcPr>
          <w:p w14:paraId="6CDAB0D3"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0.22</w:t>
            </w:r>
            <w:r>
              <w:rPr>
                <w:rFonts w:eastAsiaTheme="minorEastAsia" w:cs="Times New Roman"/>
                <w:color w:val="000000"/>
                <w:sz w:val="22"/>
                <w:szCs w:val="22"/>
                <w:vertAlign w:val="superscript"/>
                <w:lang w:eastAsia="zh-CN"/>
              </w:rPr>
              <w:t>a</w:t>
            </w:r>
          </w:p>
        </w:tc>
        <w:tc>
          <w:tcPr>
            <w:tcW w:w="855" w:type="dxa"/>
            <w:vAlign w:val="center"/>
          </w:tcPr>
          <w:p w14:paraId="1CBE7E26"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137</w:t>
            </w:r>
          </w:p>
        </w:tc>
        <w:tc>
          <w:tcPr>
            <w:tcW w:w="1129" w:type="dxa"/>
            <w:vAlign w:val="center"/>
          </w:tcPr>
          <w:p w14:paraId="52FA3612"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29%</w:t>
            </w:r>
          </w:p>
        </w:tc>
        <w:tc>
          <w:tcPr>
            <w:tcW w:w="1134" w:type="dxa"/>
            <w:vAlign w:val="center"/>
          </w:tcPr>
          <w:p w14:paraId="63F9283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&lt;EndNote&gt;&lt;Cite&gt;&lt;Author&gt;Wang&lt;/Author&gt;&lt;Year&gt;2015&lt;/Year&gt;&lt;RecNum&gt;370&lt;/RecNum&gt;&lt;DisplayText&gt;&lt;style face="superscript"&gt;14&lt;/style&gt;&lt;/DisplayText&gt;&lt;record&gt;&lt;rec-number&gt;370&lt;/rec-number&gt;&lt;foreign-keys&gt;&lt;key app="EN" db-id="s5z2zsz04waeexe29v3pzvfl2x5z0s5f0vvs" timestamp="1702214665"&gt;370&lt;/key&gt;&lt;/foreign-keys&gt;&lt;ref-type name="Journal Article"&gt;17&lt;/ref-type&gt;&lt;contributors&gt;&lt;authors&gt;&lt;author&gt;Wang, Li&lt;/author&gt;&lt;author&gt;Yi, Yanhui&lt;/author&gt;&lt;author&gt;Zhao, Yue&lt;/author&gt;&lt;author&gt;Zhang, Rui&lt;/author&gt;&lt;author&gt;Zhang, Jialiang&lt;/author&gt;&lt;author&gt;Guo, Hongchen&lt;/author&gt;&lt;/authors&gt;&lt;/contributors&gt;&lt;titles&gt;&lt;title&gt;NH3 Decomposition for H2 Generation: Effects of Cheap Metals and Supports on Plasma–Catalyst Synergy&lt;/title&gt;&lt;secondary-title&gt;ACS Catalysis&lt;/secondary-title&gt;&lt;/titles&gt;&lt;periodical&gt;&lt;full-title&gt;ACS Catalysis&lt;/full-title&gt;&lt;abbr-1&gt;ACS Catal.&lt;/abbr-1&gt;&lt;abbr-2&gt;ACS Catal&lt;/abbr-2&gt;&lt;/periodical&gt;&lt;pages&gt;4167-4174&lt;/pages&gt;&lt;volume&gt;5&lt;/volume&gt;&lt;number&gt;7&lt;/number&gt;&lt;dates&gt;&lt;year&gt;2015&lt;/year&gt;&lt;pub-dates&gt;&lt;date&gt;2015/07/02&lt;/date&gt;&lt;/pub-dates&gt;&lt;/dates&gt;&lt;publisher&gt;American Chemical Society&lt;/publisher&gt;&lt;urls&gt;&lt;related-urls&gt;&lt;url&gt;https://doi.org/10.1021/acscatal.5b00728&lt;/url&gt;&lt;/related-urls&gt;&lt;/urls&gt;&lt;electronic-resource-num&gt;10.1021/acscatal.5b00728&lt;/electronic-resource-num&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14</w:t>
            </w:r>
            <w:r>
              <w:rPr>
                <w:rFonts w:eastAsiaTheme="minorEastAsia" w:cs="Times New Roman"/>
                <w:color w:val="000000"/>
                <w:sz w:val="22"/>
                <w:szCs w:val="22"/>
                <w:lang w:eastAsia="zh-CN"/>
              </w:rPr>
              <w:fldChar w:fldCharType="end"/>
            </w:r>
          </w:p>
        </w:tc>
      </w:tr>
      <w:tr w:rsidR="00092E5F" w14:paraId="70D6AA71" w14:textId="77777777">
        <w:tc>
          <w:tcPr>
            <w:tcW w:w="1277" w:type="dxa"/>
            <w:vAlign w:val="center"/>
          </w:tcPr>
          <w:p w14:paraId="4E257134"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Plasma</w:t>
            </w:r>
          </w:p>
        </w:tc>
        <w:tc>
          <w:tcPr>
            <w:tcW w:w="1417" w:type="dxa"/>
            <w:vAlign w:val="center"/>
          </w:tcPr>
          <w:p w14:paraId="0D74C19E"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Mo</w:t>
            </w:r>
            <w:r>
              <w:rPr>
                <w:rFonts w:eastAsiaTheme="minorEastAsia" w:cs="Times New Roman"/>
                <w:color w:val="000000"/>
                <w:sz w:val="22"/>
                <w:szCs w:val="22"/>
                <w:vertAlign w:val="subscript"/>
                <w:lang w:eastAsia="zh-CN"/>
              </w:rPr>
              <w:t>2</w:t>
            </w:r>
            <w:r>
              <w:rPr>
                <w:rFonts w:eastAsiaTheme="minorEastAsia" w:cs="Times New Roman"/>
                <w:color w:val="000000"/>
                <w:sz w:val="22"/>
                <w:szCs w:val="22"/>
                <w:lang w:eastAsia="zh-CN"/>
              </w:rPr>
              <w:t>N</w:t>
            </w:r>
          </w:p>
        </w:tc>
        <w:tc>
          <w:tcPr>
            <w:tcW w:w="992" w:type="dxa"/>
            <w:vAlign w:val="center"/>
          </w:tcPr>
          <w:p w14:paraId="53348930"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40</w:t>
            </w:r>
          </w:p>
        </w:tc>
        <w:tc>
          <w:tcPr>
            <w:tcW w:w="1366" w:type="dxa"/>
            <w:vAlign w:val="center"/>
          </w:tcPr>
          <w:p w14:paraId="217FD885"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92%</w:t>
            </w:r>
          </w:p>
        </w:tc>
        <w:tc>
          <w:tcPr>
            <w:tcW w:w="907" w:type="dxa"/>
            <w:vAlign w:val="center"/>
          </w:tcPr>
          <w:p w14:paraId="40A2373D"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1.51</w:t>
            </w:r>
          </w:p>
        </w:tc>
        <w:tc>
          <w:tcPr>
            <w:tcW w:w="855" w:type="dxa"/>
            <w:vAlign w:val="center"/>
          </w:tcPr>
          <w:p w14:paraId="2A2DFF98"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40</w:t>
            </w:r>
          </w:p>
        </w:tc>
        <w:tc>
          <w:tcPr>
            <w:tcW w:w="1129" w:type="dxa"/>
            <w:vAlign w:val="center"/>
          </w:tcPr>
          <w:p w14:paraId="41B33B4B"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21%</w:t>
            </w:r>
          </w:p>
        </w:tc>
        <w:tc>
          <w:tcPr>
            <w:tcW w:w="1134" w:type="dxa"/>
            <w:vAlign w:val="center"/>
          </w:tcPr>
          <w:p w14:paraId="13F67441"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&lt;EndNote&gt;&lt;Cite&gt;&lt;Author&gt;Yu&lt;/Author&gt;&lt;Year&gt;2023&lt;/Year&gt;&lt;RecNum&gt;306&lt;/RecNum&gt;&lt;DisplayText&gt;&lt;style face="superscript"&gt;15&lt;/style&gt;&lt;/DisplayText&gt;&lt;record&gt;&lt;rec-number&gt;306&lt;/rec-number&gt;&lt;foreign-keys&gt;&lt;key app="EN" db-id="s5z2zsz04waeexe29v3pzvfl2x5z0s5f0vvs" timestamp="1681809505"&gt;306&lt;/key&gt;&lt;/foreign-keys&gt;&lt;ref-type name="Journal Article"&gt;17&lt;/ref-type&gt;&lt;contributors&gt;&lt;authors&gt;&lt;author&gt;Yu, Xiuxia&lt;/author&gt;&lt;author&gt;Hu, Ke&lt;/author&gt;&lt;author&gt;Zhang, Huazhou&lt;/author&gt;&lt;author&gt;He, Ge&lt;/author&gt;&lt;author&gt;Xia, Yuanhua&lt;/author&gt;&lt;author&gt;Deng, Mao&lt;/author&gt;&lt;author&gt;Shi, Yang&lt;/author&gt;&lt;author&gt;Yang, Chi&lt;/author&gt;&lt;author&gt;Mao, Xinchun&lt;/author&gt;&lt;author&gt;Wang, Zhijun&lt;/author&gt;&lt;/authors&gt;&lt;/contributors&gt;&lt;titles&gt;&lt;title&gt;Plasma-Catalytic Ammonia Decomposition for Carbon-Free Hydrogen Production Using Low Pressure-Synthesized Mo2N Catalyst&lt;/title&gt;&lt;secondary-title&gt;Plasma Chemistry and Plasma Processing&lt;/secondary-title&gt;&lt;/titles&gt;&lt;periodical&gt;&lt;full-title&gt;Plasma Chemistry and Plasma Processing&lt;/full-title&gt;&lt;abbr-1&gt;Plasma Chem. Plasma Process.&lt;/abbr-1&gt;&lt;abbr-2&gt;Plasma Chem Plasma Process&lt;/abbr-2&gt;&lt;/periodical&gt;&lt;pages&gt;183-197&lt;/pages&gt;&lt;volume&gt;43&lt;/volume&gt;&lt;number&gt;1&lt;/number&gt;&lt;dates&gt;&lt;year&gt;2023&lt;/year&gt;&lt;pub-dates&gt;&lt;date&gt;2023/01/01&lt;/date&gt;&lt;/pub-dates&gt;&lt;/dates&gt;&lt;isbn&gt;1572-8986&lt;/isbn&gt;&lt;urls&gt;&lt;related-urls&gt;&lt;url&gt;https://doi.org/10.1007/s11090-022-10282-y&lt;/url&gt;&lt;/related-urls&gt;&lt;/urls&gt;&lt;electronic-resource-num&gt;10.1007/s11090-022-10282-y&lt;/electronic-resource-num&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15</w:t>
            </w:r>
            <w:r>
              <w:rPr>
                <w:rFonts w:eastAsiaTheme="minorEastAsia" w:cs="Times New Roman"/>
                <w:color w:val="000000"/>
                <w:sz w:val="22"/>
                <w:szCs w:val="22"/>
                <w:lang w:eastAsia="zh-CN"/>
              </w:rPr>
              <w:fldChar w:fldCharType="end"/>
            </w:r>
          </w:p>
        </w:tc>
      </w:tr>
      <w:tr w:rsidR="00092E5F" w14:paraId="397ED97A" w14:textId="77777777">
        <w:tc>
          <w:tcPr>
            <w:tcW w:w="1277" w:type="dxa"/>
            <w:vAlign w:val="center"/>
          </w:tcPr>
          <w:p w14:paraId="7655A02B"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Photo</w:t>
            </w:r>
          </w:p>
        </w:tc>
        <w:tc>
          <w:tcPr>
            <w:tcW w:w="1417" w:type="dxa"/>
            <w:vAlign w:val="center"/>
          </w:tcPr>
          <w:p w14:paraId="4DEE79D9"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Cu-Fe</w:t>
            </w:r>
          </w:p>
        </w:tc>
        <w:tc>
          <w:tcPr>
            <w:tcW w:w="992" w:type="dxa"/>
            <w:vAlign w:val="center"/>
          </w:tcPr>
          <w:p w14:paraId="50C546C8"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sz w:val="22"/>
                <w:szCs w:val="22"/>
                <w:lang w:val="en-US" w:eastAsia="zh-CN"/>
              </w:rPr>
              <w:t>100</w:t>
            </w:r>
          </w:p>
        </w:tc>
        <w:tc>
          <w:tcPr>
            <w:tcW w:w="1366" w:type="dxa"/>
            <w:vAlign w:val="center"/>
          </w:tcPr>
          <w:p w14:paraId="3B395567"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54%</w:t>
            </w:r>
          </w:p>
        </w:tc>
        <w:tc>
          <w:tcPr>
            <w:tcW w:w="907" w:type="dxa"/>
            <w:vAlign w:val="center"/>
          </w:tcPr>
          <w:p w14:paraId="218E15BB"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11</w:t>
            </w:r>
          </w:p>
        </w:tc>
        <w:tc>
          <w:tcPr>
            <w:tcW w:w="855" w:type="dxa"/>
            <w:vAlign w:val="center"/>
          </w:tcPr>
          <w:p w14:paraId="62E45B15"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300</w:t>
            </w:r>
          </w:p>
        </w:tc>
        <w:tc>
          <w:tcPr>
            <w:tcW w:w="1129" w:type="dxa"/>
            <w:vAlign w:val="center"/>
          </w:tcPr>
          <w:p w14:paraId="6D871EA6" w14:textId="77777777" w:rsidR="00092E5F" w:rsidRDefault="00000000">
            <w:pPr>
              <w:spacing w:line="360" w:lineRule="auto"/>
              <w:jc w:val="center"/>
              <w:rPr>
                <w:rFonts w:eastAsiaTheme="minorEastAsia" w:cs="Times New Roman"/>
                <w:sz w:val="22"/>
                <w:szCs w:val="22"/>
                <w:lang w:val="en-US" w:eastAsia="zh-CN"/>
              </w:rPr>
            </w:pPr>
            <w:r>
              <w:rPr>
                <w:rFonts w:eastAsiaTheme="minorEastAsia" w:cs="Times New Roman"/>
                <w:color w:val="000000"/>
                <w:sz w:val="22"/>
                <w:szCs w:val="22"/>
                <w:lang w:eastAsia="zh-CN"/>
              </w:rPr>
              <w:t>10%</w:t>
            </w:r>
          </w:p>
        </w:tc>
        <w:tc>
          <w:tcPr>
            <w:tcW w:w="1134" w:type="dxa"/>
            <w:vAlign w:val="center"/>
          </w:tcPr>
          <w:p w14:paraId="73AFC75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&lt;EndNote&gt;&lt;Cite&gt;&lt;Author&gt;Yuan&lt;/Author&gt;&lt;Year&gt;2022&lt;/Year&gt;&lt;RecNum&gt;293&lt;/RecNum&gt;&lt;DisplayText&gt;&lt;style face="superscript"&gt;16&lt;/style&gt;&lt;/DisplayText&gt;&lt;record&gt;&lt;rec-number&gt;293&lt;/rec-number&gt;&lt;foreign-keys&gt;&lt;key app="EN" db-id="s5z2zsz04waeexe29v3pzvfl2x5z0s5f0vvs" timestamp="1680093592"&gt;293&lt;/key&gt;&lt;/foreign-keys&gt;&lt;ref-type name="Journal Article"&gt;17&lt;/ref-type&gt;&lt;contributors&gt;&lt;authors&gt;&lt;author&gt;Yuan, Yigao&lt;/author&gt;&lt;author&gt;Zhou, Linan&lt;/author&gt;&lt;author&gt;Robatjazi, Hossein&lt;/author&gt;&lt;author&gt;Bao, Junwei Lucas&lt;/author&gt;&lt;author&gt;Zhou, Jingyi&lt;/author&gt;&lt;author&gt;Bayles, Aaron&lt;/author&gt;&lt;author&gt;Yuan, Lin&lt;/author&gt;&lt;author&gt;Lou, Minghe&lt;/author&gt;&lt;author&gt;Lou, Minhan&lt;/author&gt;&lt;author&gt;Khatiwada, Suman&lt;/author&gt;&lt;author&gt;Carter, Emily A. &lt;/author&gt;&lt;author&gt;Nordlander, Peter&lt;/author&gt;&lt;author&gt;Halas, Naomi J.&lt;/author&gt;&lt;/authors&gt;&lt;/contributors&gt;&lt;titles&gt;&lt;title&gt;Earth-abundant photocatalyst for H2 generation from NH3 with light-emitting diode illumination&lt;/title&gt;&lt;secondary-title&gt;Science&lt;/secondary-title&gt;&lt;/titles&gt;&lt;periodical&gt;&lt;full-title&gt;Science&lt;/full-title&gt;&lt;/periodical&gt;&lt;pages&gt;889-893&lt;/pages&gt;&lt;volume&gt;378&lt;/volume&gt;&lt;dates&gt;&lt;year&gt;2022&lt;/year&gt;&lt;/dates&gt;&lt;urls&gt;&lt;/urls&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16</w:t>
            </w:r>
            <w:r>
              <w:rPr>
                <w:rFonts w:eastAsiaTheme="minorEastAsia" w:cs="Times New Roman"/>
                <w:color w:val="000000"/>
                <w:sz w:val="22"/>
                <w:szCs w:val="22"/>
                <w:lang w:eastAsia="zh-CN"/>
              </w:rPr>
              <w:fldChar w:fldCharType="end"/>
            </w:r>
          </w:p>
        </w:tc>
      </w:tr>
      <w:tr w:rsidR="00092E5F" w14:paraId="5DE106B6" w14:textId="77777777">
        <w:tc>
          <w:tcPr>
            <w:tcW w:w="1277" w:type="dxa"/>
            <w:vAlign w:val="center"/>
          </w:tcPr>
          <w:p w14:paraId="3AFB151B"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Thermal</w:t>
            </w:r>
          </w:p>
        </w:tc>
        <w:tc>
          <w:tcPr>
            <w:tcW w:w="1417" w:type="dxa"/>
            <w:vAlign w:val="center"/>
          </w:tcPr>
          <w:p w14:paraId="4D65830D" w14:textId="77777777" w:rsidR="00092E5F" w:rsidRDefault="00000000">
            <w:pPr>
              <w:spacing w:line="360" w:lineRule="auto"/>
              <w:jc w:val="center"/>
              <w:rPr>
                <w:rFonts w:eastAsiaTheme="minorEastAsia" w:cs="Times New Roman"/>
                <w:color w:val="0563C1"/>
                <w:sz w:val="22"/>
                <w:szCs w:val="22"/>
                <w:u w:val="single"/>
                <w:lang w:eastAsia="zh-CN"/>
              </w:rPr>
            </w:pPr>
            <w:r>
              <w:rPr>
                <w:rFonts w:eastAsiaTheme="minorEastAsia" w:cs="Times New Roman"/>
                <w:color w:val="000000"/>
                <w:sz w:val="22"/>
                <w:szCs w:val="22"/>
                <w:lang w:eastAsia="zh-CN"/>
              </w:rPr>
              <w:t>Ru/MgO</w:t>
            </w:r>
          </w:p>
        </w:tc>
        <w:tc>
          <w:tcPr>
            <w:tcW w:w="992" w:type="dxa"/>
            <w:vAlign w:val="center"/>
          </w:tcPr>
          <w:p w14:paraId="4A61662F"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25</w:t>
            </w:r>
          </w:p>
        </w:tc>
        <w:tc>
          <w:tcPr>
            <w:tcW w:w="1366" w:type="dxa"/>
            <w:vAlign w:val="center"/>
          </w:tcPr>
          <w:p w14:paraId="1599F876"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99%</w:t>
            </w:r>
          </w:p>
        </w:tc>
        <w:tc>
          <w:tcPr>
            <w:tcW w:w="907" w:type="dxa"/>
            <w:vAlign w:val="center"/>
          </w:tcPr>
          <w:p w14:paraId="4EDD831C"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0.01</w:t>
            </w:r>
            <w:r>
              <w:rPr>
                <w:rFonts w:eastAsiaTheme="minorEastAsia" w:cs="Times New Roman"/>
                <w:color w:val="000000"/>
                <w:sz w:val="22"/>
                <w:szCs w:val="22"/>
                <w:vertAlign w:val="superscript"/>
                <w:lang w:eastAsia="zh-CN"/>
              </w:rPr>
              <w:t>a</w:t>
            </w:r>
          </w:p>
        </w:tc>
        <w:tc>
          <w:tcPr>
            <w:tcW w:w="855" w:type="dxa"/>
            <w:vAlign w:val="center"/>
          </w:tcPr>
          <w:p w14:paraId="22FBA483"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100</w:t>
            </w:r>
            <w:r>
              <w:rPr>
                <w:rFonts w:eastAsiaTheme="minorEastAsia" w:cs="Times New Roman"/>
                <w:color w:val="000000"/>
                <w:sz w:val="22"/>
                <w:szCs w:val="22"/>
                <w:vertAlign w:val="superscript"/>
                <w:lang w:eastAsia="zh-CN"/>
              </w:rPr>
              <w:t>b</w:t>
            </w:r>
          </w:p>
        </w:tc>
        <w:tc>
          <w:tcPr>
            <w:tcW w:w="1129" w:type="dxa"/>
            <w:vAlign w:val="center"/>
          </w:tcPr>
          <w:p w14:paraId="2AE2F92D"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6%</w:t>
            </w:r>
          </w:p>
        </w:tc>
        <w:tc>
          <w:tcPr>
            <w:tcW w:w="1134" w:type="dxa"/>
            <w:vAlign w:val="center"/>
          </w:tcPr>
          <w:p w14:paraId="607E070A"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fldData xml:space="preserve">PEVuZE5vdGU+PENpdGU+PEF1dGhvcj5GYW5nPC9BdXRob3I+PFllYXI+MjAyMzwvWWVhcj48UmVj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</w:fldData>
              </w:fldChar>
            </w:r>
            <w:r>
              <w:rPr>
                <w:rFonts w:eastAsiaTheme="minorEastAsia" w:cs="Times New Roman"/>
                <w:color w:val="000000"/>
                <w:sz w:val="22"/>
                <w:szCs w:val="22"/>
                <w:lang w:eastAsia="zh-CN"/>
              </w:rPr>
              <w:instrText xml:space="preserve"> ADDIN EN.CITE </w:instrText>
            </w:r>
            <w:r>
              <w:rPr>
                <w:rFonts w:eastAsiaTheme="minorEastAsia" w:cs="Times New Roman"/>
                <w:color w:val="000000"/>
                <w:sz w:val="22"/>
                <w:szCs w:val="22"/>
                <w:lang w:eastAsia="zh-CN"/>
              </w:rPr>
              <w:fldChar w:fldCharType="begin">
                <w:fldData xml:space="preserve">PEVuZE5vdGU+PENpdGU+PEF1dGhvcj5GYW5nPC9BdXRob3I+PFllYXI+MjAyMzwvWWVhcj48UmVj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</w:fldData>
              </w:fldChar>
            </w:r>
            <w:r>
              <w:rPr>
                <w:rFonts w:eastAsiaTheme="minorEastAsia" w:cs="Times New Roman"/>
                <w:color w:val="000000"/>
                <w:sz w:val="22"/>
                <w:szCs w:val="22"/>
                <w:lang w:eastAsia="zh-CN"/>
              </w:rPr>
              <w:instrText xml:space="preserve"> ADDIN EN.CITE.DATA </w:instrText>
            </w:r>
            <w:r>
              <w:rPr>
                <w:rFonts w:eastAsiaTheme="minorEastAsia" w:cs="Times New Roman"/>
                <w:color w:val="000000"/>
                <w:sz w:val="22"/>
                <w:szCs w:val="22"/>
                <w:lang w:eastAsia="zh-CN"/>
              </w:rPr>
            </w:r>
            <w:r>
              <w:rPr>
                <w:rFonts w:eastAsiaTheme="minorEastAsia" w:cs="Times New Roman"/>
                <w:color w:val="000000"/>
                <w:sz w:val="22"/>
                <w:szCs w:val="22"/>
                <w:lang w:eastAsia="zh-CN"/>
              </w:rPr>
              <w:fldChar w:fldCharType="end"/>
            </w:r>
            <w:r>
              <w:rPr>
                <w:rFonts w:eastAsiaTheme="minorEastAsia" w:cs="Times New Roman"/>
                <w:color w:val="000000"/>
                <w:sz w:val="22"/>
                <w:szCs w:val="22"/>
                <w:lang w:eastAsia="zh-CN"/>
              </w:rPr>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17</w:t>
            </w:r>
            <w:r>
              <w:rPr>
                <w:rFonts w:eastAsiaTheme="minorEastAsia" w:cs="Times New Roman"/>
                <w:color w:val="000000"/>
                <w:sz w:val="22"/>
                <w:szCs w:val="22"/>
                <w:lang w:eastAsia="zh-CN"/>
              </w:rPr>
              <w:fldChar w:fldCharType="end"/>
            </w:r>
          </w:p>
        </w:tc>
      </w:tr>
      <w:tr w:rsidR="00092E5F" w14:paraId="2CE8C106" w14:textId="77777777">
        <w:trPr>
          <w:trHeight w:val="983"/>
        </w:trPr>
        <w:tc>
          <w:tcPr>
            <w:tcW w:w="1277" w:type="dxa"/>
            <w:vAlign w:val="center"/>
          </w:tcPr>
          <w:p w14:paraId="1CCB6C88"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Thermal</w:t>
            </w:r>
          </w:p>
        </w:tc>
        <w:tc>
          <w:tcPr>
            <w:tcW w:w="1417" w:type="dxa"/>
            <w:vAlign w:val="center"/>
          </w:tcPr>
          <w:p w14:paraId="430F4CE9" w14:textId="77777777" w:rsidR="00092E5F" w:rsidRDefault="00000000">
            <w:pPr>
              <w:spacing w:line="360" w:lineRule="auto"/>
              <w:jc w:val="center"/>
              <w:rPr>
                <w:rFonts w:eastAsiaTheme="minorEastAsia" w:cs="Times New Roman"/>
                <w:color w:val="0563C1"/>
                <w:sz w:val="22"/>
                <w:szCs w:val="22"/>
                <w:u w:val="single"/>
                <w:lang w:eastAsia="zh-CN"/>
              </w:rPr>
            </w:pPr>
            <w:r>
              <w:rPr>
                <w:rFonts w:eastAsiaTheme="minorEastAsia" w:cs="Times New Roman"/>
                <w:color w:val="000000"/>
                <w:sz w:val="22"/>
                <w:szCs w:val="22"/>
                <w:lang w:eastAsia="zh-CN"/>
              </w:rPr>
              <w:t>K-</w:t>
            </w:r>
            <w:proofErr w:type="spellStart"/>
            <w:r>
              <w:rPr>
                <w:rFonts w:eastAsiaTheme="minorEastAsia" w:cs="Times New Roman"/>
                <w:color w:val="000000"/>
                <w:sz w:val="22"/>
                <w:szCs w:val="22"/>
                <w:lang w:eastAsia="zh-CN"/>
              </w:rPr>
              <w:t>CoNi</w:t>
            </w:r>
            <w:proofErr w:type="spellEnd"/>
            <w:r>
              <w:rPr>
                <w:rFonts w:eastAsiaTheme="minorEastAsia" w:cs="Times New Roman"/>
                <w:color w:val="000000"/>
                <w:sz w:val="22"/>
                <w:szCs w:val="22"/>
                <w:lang w:eastAsia="zh-CN"/>
              </w:rPr>
              <w:t>/</w:t>
            </w:r>
            <w:proofErr w:type="spellStart"/>
            <w:r>
              <w:rPr>
                <w:rFonts w:eastAsiaTheme="minorEastAsia" w:cs="Times New Roman"/>
                <w:color w:val="000000"/>
                <w:sz w:val="22"/>
                <w:szCs w:val="22"/>
                <w:lang w:eastAsia="zh-CN"/>
              </w:rPr>
              <w:t>MgCeSrO</w:t>
            </w:r>
            <w:r>
              <w:rPr>
                <w:rFonts w:eastAsiaTheme="minorEastAsia" w:cs="Times New Roman"/>
                <w:color w:val="000000"/>
                <w:sz w:val="22"/>
                <w:szCs w:val="22"/>
                <w:vertAlign w:val="subscript"/>
                <w:lang w:eastAsia="zh-CN"/>
              </w:rPr>
              <w:t>x</w:t>
            </w:r>
            <w:proofErr w:type="spellEnd"/>
          </w:p>
        </w:tc>
        <w:tc>
          <w:tcPr>
            <w:tcW w:w="992" w:type="dxa"/>
            <w:vAlign w:val="center"/>
          </w:tcPr>
          <w:p w14:paraId="3D0666A1"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w:t>
            </w:r>
          </w:p>
        </w:tc>
        <w:tc>
          <w:tcPr>
            <w:tcW w:w="1366" w:type="dxa"/>
            <w:vAlign w:val="center"/>
          </w:tcPr>
          <w:p w14:paraId="399BFC1D"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99%</w:t>
            </w:r>
          </w:p>
        </w:tc>
        <w:tc>
          <w:tcPr>
            <w:tcW w:w="907" w:type="dxa"/>
            <w:vAlign w:val="center"/>
          </w:tcPr>
          <w:p w14:paraId="3023C545"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0.02</w:t>
            </w:r>
          </w:p>
        </w:tc>
        <w:tc>
          <w:tcPr>
            <w:tcW w:w="855" w:type="dxa"/>
            <w:vAlign w:val="center"/>
          </w:tcPr>
          <w:p w14:paraId="6753AEA6"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100</w:t>
            </w:r>
            <w:r>
              <w:rPr>
                <w:rFonts w:eastAsiaTheme="minorEastAsia" w:cs="Times New Roman"/>
                <w:color w:val="000000"/>
                <w:sz w:val="22"/>
                <w:szCs w:val="22"/>
                <w:vertAlign w:val="superscript"/>
                <w:lang w:eastAsia="zh-CN"/>
              </w:rPr>
              <w:t>b</w:t>
            </w:r>
          </w:p>
        </w:tc>
        <w:tc>
          <w:tcPr>
            <w:tcW w:w="1129" w:type="dxa"/>
            <w:vAlign w:val="center"/>
          </w:tcPr>
          <w:p w14:paraId="105FF431"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3%</w:t>
            </w:r>
          </w:p>
        </w:tc>
        <w:tc>
          <w:tcPr>
            <w:tcW w:w="1134" w:type="dxa"/>
            <w:vAlign w:val="center"/>
          </w:tcPr>
          <w:p w14:paraId="4C27C621"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&lt;EndNote&gt;&lt;Cite&gt;&lt;Author&gt;Tabassum&lt;/Author&gt;&lt;Year&gt;2022&lt;/Year&gt;&lt;RecNum&gt;269&lt;/RecNum&gt;&lt;DisplayText&gt;&lt;style face="superscript"&gt;18&lt;/style&gt;&lt;/DisplayText&gt;&lt;record&gt;&lt;rec-number&gt;269&lt;/rec-number&gt;&lt;foreign-keys&gt;&lt;key app="EN" db-id="s5z2zsz04waeexe29v3pzvfl2x5z0s5f0vvs" timestamp="1678959940"&gt;269&lt;/key&gt;&lt;/foreign-keys&gt;&lt;ref-type name="Journal Article"&gt;17&lt;/ref-type&gt;&lt;contributors&gt;&lt;authors&gt;&lt;author&gt;Tabassum, Hassina&lt;/author&gt;&lt;author&gt;Mukherjee, Shreya&lt;/author&gt;&lt;author&gt;Chen, Junjie&lt;/author&gt;&lt;author&gt;Holiharimanana, Domoina&lt;/author&gt;&lt;author&gt;Karakalos, Stavros&lt;/author&gt;&lt;author&gt;Yang, Xiaoxuan&lt;/author&gt;&lt;author&gt;Hwang, Sooyeon&lt;/author&gt;&lt;author&gt;Zhang, Tianyu&lt;/author&gt;&lt;author&gt;Lu, Bo&lt;/author&gt;&lt;author&gt;Chen, Min&lt;/author&gt;&lt;author&gt;Tang, Zhong&lt;/author&gt;&lt;author&gt;Kyriakidou, Eleni A.&lt;/author&gt;&lt;author&gt;Ge, Qingfeng&lt;/author&gt;&lt;author&gt;Wu, Gang&lt;/author&gt;&lt;/authors&gt;&lt;/contributors&gt;&lt;titles&gt;&lt;title&gt;Hydrogen generation via ammonia decomposition on highly efficient and stable Ru-free catalysts: approaching complete conversion at 450 °C&lt;/title&gt;&lt;secondary-title&gt;Energy &amp;amp; Environmental Science&lt;/secondary-title&gt;&lt;/titles&gt;&lt;periodical&gt;&lt;full-title&gt;Energy &amp;amp; Environmental Science&lt;/full-title&gt;&lt;abbr-1&gt;Energy Environ. Sci.&lt;/abbr-1&gt;&lt;abbr-2&gt;Energy Environ Sci&lt;/abbr-2&gt;&lt;/periodical&gt;&lt;pages&gt;4190-4200&lt;/pages&gt;&lt;volume&gt;15&lt;/volume&gt;&lt;number&gt;10&lt;/number&gt;&lt;section&gt;4190&lt;/section&gt;&lt;dates&gt;&lt;year&gt;2022&lt;/year&gt;&lt;/dates&gt;&lt;isbn&gt;1754-5692&amp;#xD;1754-5706&lt;/isbn&gt;&lt;urls&gt;&lt;/urls&gt;&lt;electronic-resource-num&gt;10.1039/d1ee03730g&lt;/electronic-resource-num&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18</w:t>
            </w:r>
            <w:r>
              <w:rPr>
                <w:rFonts w:eastAsiaTheme="minorEastAsia" w:cs="Times New Roman"/>
                <w:color w:val="000000"/>
                <w:sz w:val="22"/>
                <w:szCs w:val="22"/>
                <w:lang w:eastAsia="zh-CN"/>
              </w:rPr>
              <w:fldChar w:fldCharType="end"/>
            </w:r>
          </w:p>
        </w:tc>
      </w:tr>
      <w:tr w:rsidR="00092E5F" w14:paraId="4A00AF30" w14:textId="77777777">
        <w:tc>
          <w:tcPr>
            <w:tcW w:w="1277" w:type="dxa"/>
            <w:vAlign w:val="center"/>
          </w:tcPr>
          <w:p w14:paraId="7841BF45"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Thermal</w:t>
            </w:r>
          </w:p>
        </w:tc>
        <w:tc>
          <w:tcPr>
            <w:tcW w:w="1417" w:type="dxa"/>
            <w:vAlign w:val="center"/>
          </w:tcPr>
          <w:p w14:paraId="0D53ADD6" w14:textId="77777777" w:rsidR="00092E5F" w:rsidRDefault="00000000">
            <w:pPr>
              <w:spacing w:line="360" w:lineRule="auto"/>
              <w:jc w:val="center"/>
              <w:rPr>
                <w:rFonts w:eastAsiaTheme="minorEastAsia" w:cs="Times New Roman"/>
                <w:color w:val="0563C1"/>
                <w:sz w:val="22"/>
                <w:szCs w:val="22"/>
                <w:u w:val="single"/>
                <w:lang w:eastAsia="zh-CN"/>
              </w:rPr>
            </w:pPr>
            <w:r>
              <w:rPr>
                <w:rFonts w:eastAsiaTheme="minorEastAsia" w:cs="Times New Roman"/>
                <w:color w:val="000000"/>
                <w:sz w:val="22"/>
                <w:szCs w:val="22"/>
                <w:lang w:eastAsia="zh-CN"/>
              </w:rPr>
              <w:t>LiNH</w:t>
            </w:r>
            <w:r>
              <w:rPr>
                <w:rFonts w:eastAsiaTheme="minorEastAsia" w:cs="Times New Roman"/>
                <w:color w:val="000000"/>
                <w:sz w:val="22"/>
                <w:szCs w:val="22"/>
                <w:vertAlign w:val="subscript"/>
                <w:lang w:eastAsia="zh-CN"/>
              </w:rPr>
              <w:t>2</w:t>
            </w:r>
          </w:p>
        </w:tc>
        <w:tc>
          <w:tcPr>
            <w:tcW w:w="992" w:type="dxa"/>
            <w:vAlign w:val="center"/>
          </w:tcPr>
          <w:p w14:paraId="5E409048"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30</w:t>
            </w:r>
          </w:p>
        </w:tc>
        <w:tc>
          <w:tcPr>
            <w:tcW w:w="1366" w:type="dxa"/>
            <w:vAlign w:val="center"/>
          </w:tcPr>
          <w:p w14:paraId="6DEBF411"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98%</w:t>
            </w:r>
          </w:p>
        </w:tc>
        <w:tc>
          <w:tcPr>
            <w:tcW w:w="907" w:type="dxa"/>
            <w:vAlign w:val="center"/>
          </w:tcPr>
          <w:p w14:paraId="0FFF2F2F"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0.85</w:t>
            </w:r>
            <w:r>
              <w:rPr>
                <w:rFonts w:eastAsiaTheme="minorEastAsia" w:cs="Times New Roman"/>
                <w:color w:val="000000"/>
                <w:sz w:val="22"/>
                <w:szCs w:val="22"/>
                <w:vertAlign w:val="superscript"/>
                <w:lang w:eastAsia="zh-CN"/>
              </w:rPr>
              <w:t>a</w:t>
            </w:r>
          </w:p>
        </w:tc>
        <w:tc>
          <w:tcPr>
            <w:tcW w:w="855" w:type="dxa"/>
            <w:vAlign w:val="center"/>
          </w:tcPr>
          <w:p w14:paraId="4BC1CD0E"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100</w:t>
            </w:r>
            <w:r>
              <w:rPr>
                <w:rFonts w:eastAsiaTheme="minorEastAsia" w:cs="Times New Roman"/>
                <w:color w:val="000000"/>
                <w:sz w:val="22"/>
                <w:szCs w:val="22"/>
                <w:vertAlign w:val="superscript"/>
                <w:lang w:eastAsia="zh-CN"/>
              </w:rPr>
              <w:t>b</w:t>
            </w:r>
          </w:p>
        </w:tc>
        <w:tc>
          <w:tcPr>
            <w:tcW w:w="1129" w:type="dxa"/>
            <w:vAlign w:val="center"/>
          </w:tcPr>
          <w:p w14:paraId="64E467A7"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7%</w:t>
            </w:r>
          </w:p>
        </w:tc>
        <w:tc>
          <w:tcPr>
            <w:tcW w:w="1134" w:type="dxa"/>
            <w:vAlign w:val="center"/>
          </w:tcPr>
          <w:p w14:paraId="29695C25"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&lt;EndNote&gt;&lt;Cite&gt;&lt;Author&gt;Wood&lt;/Author&gt;&lt;Year&gt;2018&lt;/Year&gt;&lt;RecNum&gt;183&lt;/RecNum&gt;&lt;DisplayText&gt;&lt;style face="superscript"&gt;19&lt;/style&gt;&lt;/DisplayText&gt;&lt;record&gt;&lt;rec-number&gt;183&lt;/rec-number&gt;&lt;foreign-keys&gt;&lt;key app="EN" db-id="s5z2zsz04waeexe29v3pzvfl2x5z0s5f0vvs" timestamp="1654433733"&gt;183&lt;/key&gt;&lt;/foreign-keys&gt;&lt;ref-type name="Journal Article"&gt;17&lt;/ref-type&gt;&lt;contributors&gt;&lt;authors&gt;&lt;author&gt;Wood, T. J.&lt;/author&gt;&lt;author&gt;Makepeace, J. W.&lt;/author&gt;&lt;/authors&gt;&lt;/contributors&gt;&lt;titles&gt;&lt;title&gt;Assessing Potential Supports for Lithium Amide-imide Ammonia Decomposition Catalysts&lt;/title&gt;&lt;secondary-title&gt;ACS Applied Energy Materials&lt;/secondary-title&gt;&lt;/titles&gt;&lt;pages&gt;2657-2663&lt;/pages&gt;&lt;volume&gt;1&lt;/volume&gt;&lt;number&gt;6&lt;/number&gt;&lt;dates&gt;&lt;year&gt;2018&lt;/year&gt;&lt;/dates&gt;&lt;work-type&gt;Article&lt;/work-type&gt;&lt;urls&gt;&lt;related-urls&gt;&lt;url&gt;https://www.scopus.com/inward/record.uri?eid=2-s2.0-85053312523&amp;amp;doi=10.1021%2facsaem.8b00351&amp;amp;partnerID=40&amp;amp;md5=ceece79fb38bcdad86435d607919565a&lt;/url&gt;&lt;/related-urls&gt;&lt;/urls&gt;&lt;electronic-resource-num&gt;10.1021/acsaem.8b00351&lt;/electronic-resource-num&gt;&lt;remote-database-name&gt;Scopus&lt;/remote-database-name&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19</w:t>
            </w:r>
            <w:r>
              <w:rPr>
                <w:rFonts w:eastAsiaTheme="minorEastAsia" w:cs="Times New Roman"/>
                <w:color w:val="000000"/>
                <w:sz w:val="22"/>
                <w:szCs w:val="22"/>
                <w:lang w:eastAsia="zh-CN"/>
              </w:rPr>
              <w:fldChar w:fldCharType="end"/>
            </w:r>
          </w:p>
        </w:tc>
      </w:tr>
      <w:tr w:rsidR="00092E5F" w14:paraId="0D36D886" w14:textId="77777777">
        <w:tc>
          <w:tcPr>
            <w:tcW w:w="1277" w:type="dxa"/>
            <w:vAlign w:val="center"/>
          </w:tcPr>
          <w:p w14:paraId="174DA3AD"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Thermal</w:t>
            </w:r>
          </w:p>
        </w:tc>
        <w:tc>
          <w:tcPr>
            <w:tcW w:w="1417" w:type="dxa"/>
            <w:vAlign w:val="center"/>
          </w:tcPr>
          <w:p w14:paraId="188CD228" w14:textId="77777777" w:rsidR="00092E5F" w:rsidRDefault="00000000">
            <w:pPr>
              <w:spacing w:line="360" w:lineRule="auto"/>
              <w:jc w:val="center"/>
              <w:rPr>
                <w:rFonts w:eastAsiaTheme="minorEastAsia" w:cs="Times New Roman"/>
                <w:color w:val="000000"/>
                <w:sz w:val="22"/>
                <w:szCs w:val="22"/>
                <w:lang w:eastAsia="zh-CN"/>
              </w:rPr>
            </w:pPr>
            <w:proofErr w:type="spellStart"/>
            <w:r>
              <w:rPr>
                <w:rFonts w:eastAsiaTheme="minorEastAsia" w:cs="Times New Roman"/>
                <w:color w:val="000000"/>
                <w:sz w:val="22"/>
                <w:szCs w:val="22"/>
                <w:lang w:eastAsia="zh-CN"/>
              </w:rPr>
              <w:t>CoMoNiFeCu</w:t>
            </w:r>
            <w:proofErr w:type="spellEnd"/>
            <w:r>
              <w:rPr>
                <w:rFonts w:eastAsiaTheme="minorEastAsia" w:cs="Times New Roman"/>
                <w:color w:val="000000"/>
                <w:sz w:val="22"/>
                <w:szCs w:val="22"/>
                <w:lang w:eastAsia="zh-CN"/>
              </w:rPr>
              <w:t>/CNF</w:t>
            </w:r>
          </w:p>
        </w:tc>
        <w:tc>
          <w:tcPr>
            <w:tcW w:w="992" w:type="dxa"/>
            <w:vAlign w:val="center"/>
          </w:tcPr>
          <w:p w14:paraId="6D6705BF"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15</w:t>
            </w:r>
          </w:p>
        </w:tc>
        <w:tc>
          <w:tcPr>
            <w:tcW w:w="1366" w:type="dxa"/>
            <w:vAlign w:val="center"/>
          </w:tcPr>
          <w:p w14:paraId="24545997"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99%</w:t>
            </w:r>
          </w:p>
        </w:tc>
        <w:tc>
          <w:tcPr>
            <w:tcW w:w="907" w:type="dxa"/>
            <w:vAlign w:val="center"/>
          </w:tcPr>
          <w:p w14:paraId="52FDAA3B"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0.02</w:t>
            </w:r>
            <w:r>
              <w:rPr>
                <w:rFonts w:eastAsiaTheme="minorEastAsia" w:cs="Times New Roman"/>
                <w:color w:val="000000"/>
                <w:sz w:val="22"/>
                <w:szCs w:val="22"/>
                <w:vertAlign w:val="superscript"/>
                <w:lang w:eastAsia="zh-CN"/>
              </w:rPr>
              <w:t>a</w:t>
            </w:r>
          </w:p>
        </w:tc>
        <w:tc>
          <w:tcPr>
            <w:tcW w:w="855" w:type="dxa"/>
            <w:vAlign w:val="center"/>
          </w:tcPr>
          <w:p w14:paraId="687871FF"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100</w:t>
            </w:r>
            <w:r>
              <w:rPr>
                <w:rFonts w:eastAsiaTheme="minorEastAsia" w:cs="Times New Roman"/>
                <w:color w:val="000000"/>
                <w:sz w:val="22"/>
                <w:szCs w:val="22"/>
                <w:vertAlign w:val="superscript"/>
                <w:lang w:eastAsia="zh-CN"/>
              </w:rPr>
              <w:t>b</w:t>
            </w:r>
          </w:p>
        </w:tc>
        <w:tc>
          <w:tcPr>
            <w:tcW w:w="1129" w:type="dxa"/>
            <w:vAlign w:val="center"/>
          </w:tcPr>
          <w:p w14:paraId="6FBA384C"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4%</w:t>
            </w:r>
          </w:p>
        </w:tc>
        <w:tc>
          <w:tcPr>
            <w:tcW w:w="1134" w:type="dxa"/>
            <w:vAlign w:val="center"/>
          </w:tcPr>
          <w:p w14:paraId="560EB4B1"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&lt;EndNote&gt;&lt;Cite&gt;&lt;Author&gt;Xie&lt;/Author&gt;&lt;Year&gt;2019&lt;/Year&gt;&lt;RecNum&gt;172&lt;/RecNum&gt;&lt;DisplayText&gt;&lt;style face="superscript"&gt;20&lt;/style&gt;&lt;/DisplayText&gt;&lt;record&gt;&lt;rec-number&gt;172&lt;/rec-number&gt;&lt;foreign-keys&gt;&lt;key app="EN" db-id="s5z2zsz04waeexe29v3pzvfl2x5z0s5f0vvs" timestamp="1648987777"&gt;172&lt;/key&gt;&lt;/foreign-keys&gt;&lt;ref-type name="Journal Article"&gt;17&lt;/ref-type&gt;&lt;contributors&gt;&lt;authors&gt;&lt;author&gt;Xie, Pengfei&lt;/author&gt;&lt;author&gt;Yao, Yonggang&lt;/author&gt;&lt;author&gt;Huang, Zhennan&lt;/author&gt;&lt;author&gt;Liu, Zhenyu&lt;/author&gt;&lt;author&gt;Zhang, Junlei&lt;/author&gt;&lt;author&gt;Li, Tangyuan&lt;/author&gt;&lt;author&gt;Wang, Guofeng&lt;/author&gt;&lt;author&gt;Shahbazian-Yassar, Reza&lt;/author&gt;&lt;author&gt;Hu, Liangbing&lt;/author&gt;&lt;author&gt;Wang, Chao&lt;/author&gt;&lt;/authors&gt;&lt;/contributors&gt;&lt;titles&gt;&lt;title&gt;Highly efficient decomposition of ammonia using high-entropy alloy catalysts&lt;/title&gt;&lt;secondary-title&gt;Nature Communications&lt;/secondary-title&gt;&lt;/titles&gt;&lt;periodical&gt;&lt;full-title&gt;Nature Communications&lt;/full-title&gt;&lt;abbr-1&gt;Nat. Commun.&lt;/abbr-1&gt;&lt;abbr-2&gt;Nat Commun&lt;/abbr-2&gt;&lt;/periodical&gt;&lt;pages&gt;4011&lt;/pages&gt;&lt;volume&gt;10&lt;/volume&gt;&lt;number&gt;1&lt;/number&gt;&lt;dates&gt;&lt;year&gt;2019&lt;/year&gt;&lt;pub-dates&gt;&lt;date&gt;2019/09/05&lt;/date&gt;&lt;/pub-dates&gt;&lt;/dates&gt;&lt;isbn&gt;2041-1723&lt;/isbn&gt;&lt;urls&gt;&lt;related-urls&gt;&lt;url&gt;https://doi.org/10.1038/s41467-019-11848-9&lt;/url&gt;&lt;/related-urls&gt;&lt;/urls&gt;&lt;electronic-resource-num&gt;10.1038/s41467-019-11848-9&lt;/electronic-resource-num&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20</w:t>
            </w:r>
            <w:r>
              <w:rPr>
                <w:rFonts w:eastAsiaTheme="minorEastAsia" w:cs="Times New Roman"/>
                <w:color w:val="000000"/>
                <w:sz w:val="22"/>
                <w:szCs w:val="22"/>
                <w:lang w:eastAsia="zh-CN"/>
              </w:rPr>
              <w:fldChar w:fldCharType="end"/>
            </w:r>
          </w:p>
        </w:tc>
      </w:tr>
      <w:tr w:rsidR="00092E5F" w14:paraId="4C66BBA4" w14:textId="77777777">
        <w:tc>
          <w:tcPr>
            <w:tcW w:w="1277" w:type="dxa"/>
            <w:vAlign w:val="center"/>
          </w:tcPr>
          <w:p w14:paraId="0C1D479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lastRenderedPageBreak/>
              <w:t>(Auto)thermal</w:t>
            </w:r>
          </w:p>
        </w:tc>
        <w:tc>
          <w:tcPr>
            <w:tcW w:w="1417" w:type="dxa"/>
            <w:vAlign w:val="center"/>
          </w:tcPr>
          <w:p w14:paraId="5A4FA366"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Ru/Al</w:t>
            </w:r>
            <w:r>
              <w:rPr>
                <w:rFonts w:eastAsiaTheme="minorEastAsia" w:cs="Times New Roman"/>
                <w:color w:val="000000"/>
                <w:sz w:val="22"/>
                <w:szCs w:val="22"/>
                <w:vertAlign w:val="subscript"/>
                <w:lang w:eastAsia="zh-CN"/>
              </w:rPr>
              <w:t>2</w:t>
            </w:r>
            <w:r>
              <w:rPr>
                <w:rFonts w:eastAsiaTheme="minorEastAsia" w:cs="Times New Roman"/>
                <w:color w:val="000000"/>
                <w:sz w:val="22"/>
                <w:szCs w:val="22"/>
                <w:lang w:eastAsia="zh-CN"/>
              </w:rPr>
              <w:t>O</w:t>
            </w:r>
            <w:r>
              <w:rPr>
                <w:rFonts w:eastAsiaTheme="minorEastAsia" w:cs="Times New Roman"/>
                <w:color w:val="000000"/>
                <w:sz w:val="22"/>
                <w:szCs w:val="22"/>
                <w:vertAlign w:val="subscript"/>
                <w:lang w:eastAsia="zh-CN"/>
              </w:rPr>
              <w:t>3</w:t>
            </w:r>
          </w:p>
        </w:tc>
        <w:tc>
          <w:tcPr>
            <w:tcW w:w="992" w:type="dxa"/>
            <w:vAlign w:val="center"/>
          </w:tcPr>
          <w:p w14:paraId="3C3C6775"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6000</w:t>
            </w:r>
          </w:p>
        </w:tc>
        <w:tc>
          <w:tcPr>
            <w:tcW w:w="1366" w:type="dxa"/>
            <w:vAlign w:val="center"/>
          </w:tcPr>
          <w:p w14:paraId="7459C07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99%</w:t>
            </w:r>
          </w:p>
        </w:tc>
        <w:tc>
          <w:tcPr>
            <w:tcW w:w="907" w:type="dxa"/>
            <w:vAlign w:val="center"/>
          </w:tcPr>
          <w:p w14:paraId="323910E3"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12.17</w:t>
            </w:r>
          </w:p>
        </w:tc>
        <w:tc>
          <w:tcPr>
            <w:tcW w:w="855" w:type="dxa"/>
            <w:vAlign w:val="center"/>
          </w:tcPr>
          <w:p w14:paraId="524999C6"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905</w:t>
            </w:r>
            <w:r>
              <w:rPr>
                <w:rFonts w:eastAsiaTheme="minorEastAsia" w:cs="Times New Roman"/>
                <w:color w:val="000000"/>
                <w:sz w:val="22"/>
                <w:szCs w:val="22"/>
                <w:vertAlign w:val="superscript"/>
                <w:lang w:eastAsia="zh-CN"/>
              </w:rPr>
              <w:t>c</w:t>
            </w:r>
          </w:p>
        </w:tc>
        <w:tc>
          <w:tcPr>
            <w:tcW w:w="1129" w:type="dxa"/>
            <w:vAlign w:val="center"/>
          </w:tcPr>
          <w:p w14:paraId="6C9D1B71"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75%</w:t>
            </w:r>
          </w:p>
        </w:tc>
        <w:tc>
          <w:tcPr>
            <w:tcW w:w="1134" w:type="dxa"/>
            <w:vAlign w:val="center"/>
          </w:tcPr>
          <w:p w14:paraId="6232A813"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&lt;EndNote&gt;&lt;Cite&gt;&lt;Author&gt;Engelbrecht&lt;/Author&gt;&lt;Year&gt;2018&lt;/Year&gt;&lt;RecNum&gt;113&lt;/RecNum&gt;&lt;DisplayText&gt;&lt;style face="superscript"&gt;21&lt;/style&gt;&lt;/DisplayText&gt;&lt;record&gt;&lt;rec-number&gt;113&lt;/rec-number&gt;&lt;foreign-keys&gt;&lt;key app="EN" db-id="s5z2zsz04waeexe29v3pzvfl2x5z0s5f0vvs" timestamp="1640190312"&gt;113&lt;/key&gt;&lt;/foreign-keys&gt;&lt;ref-type name="Journal Article"&gt;17&lt;/ref-type&gt;&lt;contributors&gt;&lt;authors&gt;&lt;author&gt;Engelbrecht, N.&lt;/author&gt;&lt;author&gt;Chiuta, S.&lt;/author&gt;&lt;author&gt;Bessarabov, D. G.&lt;/author&gt;&lt;/authors&gt;&lt;/contributors&gt;&lt;titles&gt;&lt;title&gt;A highly efficient autothermal microchannel reactor for ammonia decomposition: Analysis of hydrogen production in transient and steady-state regimes&lt;/title&gt;&lt;secondary-title&gt;Journal of Power Sources&lt;/secondary-title&gt;&lt;/titles&gt;&lt;periodical&gt;&lt;full-title&gt;Journal of Power Sources&lt;/full-title&gt;&lt;abbr-1&gt;J. Power Sources&lt;/abbr-1&gt;&lt;abbr-2&gt;J Power Sources&lt;/abbr-2&gt;&lt;/periodical&gt;&lt;pages&gt;47-55&lt;/pages&gt;&lt;volume&gt;386&lt;/volume&gt;&lt;dates&gt;&lt;year&gt;2018&lt;/year&gt;&lt;/dates&gt;&lt;work-type&gt;Article&lt;/work-type&gt;&lt;urls&gt;&lt;related-urls&gt;&lt;url&gt;https://www.scopus.com/inward/record.uri?eid=2-s2.0-85044137572&amp;amp;doi=10.1016%2fj.jpowsour.2018.03.043&amp;amp;partnerID=40&amp;amp;md5=edd1b1a548b5c2b97c6349a969fdc53d&lt;/url&gt;&lt;/related-urls&gt;&lt;/urls&gt;&lt;electronic-resource-num&gt;10.1016/j.jpowsour.2018.03.043&lt;/electronic-resource-num&gt;&lt;remote-database-name&gt;Scopus&lt;/remote-database-name&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21</w:t>
            </w:r>
            <w:r>
              <w:rPr>
                <w:rFonts w:eastAsiaTheme="minorEastAsia" w:cs="Times New Roman"/>
                <w:color w:val="000000"/>
                <w:sz w:val="22"/>
                <w:szCs w:val="22"/>
                <w:lang w:eastAsia="zh-CN"/>
              </w:rPr>
              <w:fldChar w:fldCharType="end"/>
            </w:r>
          </w:p>
        </w:tc>
      </w:tr>
      <w:tr w:rsidR="00092E5F" w14:paraId="0C1FE928" w14:textId="77777777">
        <w:tc>
          <w:tcPr>
            <w:tcW w:w="1277" w:type="dxa"/>
            <w:vAlign w:val="center"/>
          </w:tcPr>
          <w:p w14:paraId="1C395B25"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(Auto)thermal</w:t>
            </w:r>
          </w:p>
        </w:tc>
        <w:tc>
          <w:tcPr>
            <w:tcW w:w="1417" w:type="dxa"/>
            <w:vAlign w:val="center"/>
          </w:tcPr>
          <w:p w14:paraId="5F6A68BD"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Ru/La-Al</w:t>
            </w:r>
            <w:r>
              <w:rPr>
                <w:rFonts w:eastAsiaTheme="minorEastAsia" w:cs="Times New Roman"/>
                <w:color w:val="000000"/>
                <w:sz w:val="22"/>
                <w:szCs w:val="22"/>
                <w:vertAlign w:val="subscript"/>
                <w:lang w:eastAsia="zh-CN"/>
              </w:rPr>
              <w:t>2</w:t>
            </w:r>
            <w:r>
              <w:rPr>
                <w:rFonts w:eastAsiaTheme="minorEastAsia" w:cs="Times New Roman"/>
                <w:color w:val="000000"/>
                <w:sz w:val="22"/>
                <w:szCs w:val="22"/>
                <w:lang w:eastAsia="zh-CN"/>
              </w:rPr>
              <w:t>O</w:t>
            </w:r>
            <w:r>
              <w:rPr>
                <w:rFonts w:eastAsiaTheme="minorEastAsia" w:cs="Times New Roman"/>
                <w:color w:val="000000"/>
                <w:sz w:val="22"/>
                <w:szCs w:val="22"/>
                <w:vertAlign w:val="subscript"/>
                <w:lang w:eastAsia="zh-CN"/>
              </w:rPr>
              <w:t>3</w:t>
            </w:r>
          </w:p>
        </w:tc>
        <w:tc>
          <w:tcPr>
            <w:tcW w:w="992" w:type="dxa"/>
            <w:vAlign w:val="center"/>
          </w:tcPr>
          <w:p w14:paraId="104113BF"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1000</w:t>
            </w:r>
          </w:p>
        </w:tc>
        <w:tc>
          <w:tcPr>
            <w:tcW w:w="1366" w:type="dxa"/>
            <w:vAlign w:val="center"/>
          </w:tcPr>
          <w:p w14:paraId="2B9F4E3F"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98%</w:t>
            </w:r>
          </w:p>
        </w:tc>
        <w:tc>
          <w:tcPr>
            <w:tcW w:w="907" w:type="dxa"/>
            <w:vAlign w:val="center"/>
          </w:tcPr>
          <w:p w14:paraId="198981C8"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3.78</w:t>
            </w:r>
            <w:r>
              <w:rPr>
                <w:rFonts w:eastAsiaTheme="minorEastAsia" w:cs="Times New Roman"/>
                <w:color w:val="000000"/>
                <w:sz w:val="22"/>
                <w:szCs w:val="22"/>
                <w:vertAlign w:val="superscript"/>
                <w:lang w:eastAsia="zh-CN"/>
              </w:rPr>
              <w:t>a</w:t>
            </w:r>
          </w:p>
        </w:tc>
        <w:tc>
          <w:tcPr>
            <w:tcW w:w="855" w:type="dxa"/>
            <w:vAlign w:val="center"/>
          </w:tcPr>
          <w:p w14:paraId="4B44A6A7"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146</w:t>
            </w:r>
            <w:r>
              <w:rPr>
                <w:rFonts w:eastAsiaTheme="minorEastAsia" w:cs="Times New Roman"/>
                <w:color w:val="000000"/>
                <w:sz w:val="22"/>
                <w:szCs w:val="22"/>
                <w:vertAlign w:val="superscript"/>
                <w:lang w:eastAsia="zh-CN"/>
              </w:rPr>
              <w:t>d</w:t>
            </w:r>
          </w:p>
        </w:tc>
        <w:tc>
          <w:tcPr>
            <w:tcW w:w="1129" w:type="dxa"/>
            <w:vAlign w:val="center"/>
          </w:tcPr>
          <w:p w14:paraId="23BA3C12"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71%</w:t>
            </w:r>
          </w:p>
        </w:tc>
        <w:tc>
          <w:tcPr>
            <w:tcW w:w="1134" w:type="dxa"/>
            <w:vAlign w:val="center"/>
          </w:tcPr>
          <w:p w14:paraId="3A9F4B7E"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&lt;EndNote&gt;&lt;Cite&gt;&lt;Author&gt;Badakhsh&lt;/Author&gt;&lt;Year&gt;2021&lt;/Year&gt;&lt;RecNum&gt;117&lt;/RecNum&gt;&lt;DisplayText&gt;&lt;style face="superscript"&gt;22&lt;/style&gt;&lt;/DisplayText&gt;&lt;record&gt;&lt;rec-number&gt;117&lt;/rec-number&gt;&lt;foreign-keys&gt;&lt;key app="EN" db-id="s5z2zsz04waeexe29v3pzvfl2x5z0s5f0vvs" timestamp="1640190312"&gt;117&lt;/key&gt;&lt;/foreign-keys&gt;&lt;ref-type name="Journal Article"&gt;17&lt;/ref-type&gt;&lt;contributors&gt;&lt;authors&gt;&lt;author&gt;Badakhsh, A.&lt;/author&gt;&lt;author&gt;Cha, J.&lt;/author&gt;&lt;author&gt;Park, Y.&lt;/author&gt;&lt;author&gt;Lee, Y. J.&lt;/author&gt;&lt;author&gt;Jeong, H.&lt;/author&gt;&lt;author&gt;Kim, Y.&lt;/author&gt;&lt;author&gt;Sohn, H.&lt;/author&gt;&lt;author&gt;Nam, S. W.&lt;/author&gt;&lt;author&gt;Yoon, C. W.&lt;/author&gt;&lt;author&gt;Park, C. W.&lt;/author&gt;&lt;author&gt;Jo, Y. S.&lt;/author&gt;&lt;/authors&gt;&lt;/contributors&gt;&lt;titles&gt;&lt;title&gt;Autothermal recirculating reactor (ARR) with Cu-BN composite as a stable reactor material for sustainable hydrogen release from ammonia&lt;/title&gt;&lt;secondary-title&gt;Journal of Power Sources&lt;/secondary-title&gt;&lt;/titles&gt;&lt;periodical&gt;&lt;full-title&gt;Journal of Power Sources&lt;/full-title&gt;&lt;abbr-1&gt;J. Power Sources&lt;/abbr-1&gt;&lt;abbr-2&gt;J Power Sources&lt;/abbr-2&gt;&lt;/periodical&gt;&lt;volume&gt;506&lt;/volume&gt;&lt;dates&gt;&lt;year&gt;2021&lt;/year&gt;&lt;/dates&gt;&lt;work-type&gt;Article&lt;/work-type&gt;&lt;urls&gt;&lt;related-urls&gt;&lt;url&gt;https://www.scopus.com/inward/record.uri?eid=2-s2.0-85108005872&amp;amp;doi=10.1016%2fj.jpowsour.2021.230081&amp;amp;partnerID=40&amp;amp;md5=78030a4b4cc66f4a641232d31b01fc9f&lt;/url&gt;&lt;/related-urls&gt;&lt;/urls&gt;&lt;custom7&gt;230081&lt;/custom7&gt;&lt;electronic-resource-num&gt;10.1016/j.jpowsour.2021.230081&lt;/electronic-resource-num&gt;&lt;remote-database-name&gt;Scopus&lt;/remote-database-name&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22</w:t>
            </w:r>
            <w:r>
              <w:rPr>
                <w:rFonts w:eastAsiaTheme="minorEastAsia" w:cs="Times New Roman"/>
                <w:color w:val="000000"/>
                <w:sz w:val="22"/>
                <w:szCs w:val="22"/>
                <w:lang w:eastAsia="zh-CN"/>
              </w:rPr>
              <w:fldChar w:fldCharType="end"/>
            </w:r>
          </w:p>
        </w:tc>
      </w:tr>
      <w:tr w:rsidR="00092E5F" w14:paraId="22FAD091" w14:textId="77777777">
        <w:tc>
          <w:tcPr>
            <w:tcW w:w="1277" w:type="dxa"/>
            <w:vAlign w:val="center"/>
          </w:tcPr>
          <w:p w14:paraId="3F4068D7"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Thermal</w:t>
            </w:r>
          </w:p>
        </w:tc>
        <w:tc>
          <w:tcPr>
            <w:tcW w:w="1417" w:type="dxa"/>
            <w:vAlign w:val="center"/>
          </w:tcPr>
          <w:p w14:paraId="2502DA9F"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Ru/h-BN</w:t>
            </w:r>
          </w:p>
        </w:tc>
        <w:tc>
          <w:tcPr>
            <w:tcW w:w="992" w:type="dxa"/>
            <w:vAlign w:val="center"/>
          </w:tcPr>
          <w:p w14:paraId="7989C96B"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40</w:t>
            </w:r>
          </w:p>
        </w:tc>
        <w:tc>
          <w:tcPr>
            <w:tcW w:w="1366" w:type="dxa"/>
            <w:vAlign w:val="center"/>
          </w:tcPr>
          <w:p w14:paraId="36010EE6"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27%</w:t>
            </w:r>
          </w:p>
        </w:tc>
        <w:tc>
          <w:tcPr>
            <w:tcW w:w="907" w:type="dxa"/>
            <w:vAlign w:val="center"/>
          </w:tcPr>
          <w:p w14:paraId="61A55F26"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0.02</w:t>
            </w:r>
            <w:r>
              <w:rPr>
                <w:rFonts w:eastAsiaTheme="minorEastAsia" w:cs="Times New Roman"/>
                <w:color w:val="000000"/>
                <w:sz w:val="22"/>
                <w:szCs w:val="22"/>
                <w:vertAlign w:val="superscript"/>
                <w:lang w:eastAsia="zh-CN"/>
              </w:rPr>
              <w:t>a</w:t>
            </w:r>
          </w:p>
        </w:tc>
        <w:tc>
          <w:tcPr>
            <w:tcW w:w="855" w:type="dxa"/>
            <w:vAlign w:val="center"/>
          </w:tcPr>
          <w:p w14:paraId="20402D97"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100</w:t>
            </w:r>
            <w:r>
              <w:rPr>
                <w:rFonts w:eastAsiaTheme="minorEastAsia" w:cs="Times New Roman"/>
                <w:color w:val="000000"/>
                <w:sz w:val="22"/>
                <w:szCs w:val="22"/>
                <w:vertAlign w:val="superscript"/>
                <w:lang w:eastAsia="zh-CN"/>
              </w:rPr>
              <w:t>b</w:t>
            </w:r>
          </w:p>
        </w:tc>
        <w:tc>
          <w:tcPr>
            <w:tcW w:w="1129" w:type="dxa"/>
            <w:vAlign w:val="center"/>
          </w:tcPr>
          <w:p w14:paraId="5921CC33"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3%</w:t>
            </w:r>
          </w:p>
        </w:tc>
        <w:tc>
          <w:tcPr>
            <w:tcW w:w="1134" w:type="dxa"/>
            <w:vAlign w:val="center"/>
          </w:tcPr>
          <w:p w14:paraId="00A3B246"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fldData xml:space="preserve">PEVuZE5vdGU+PENpdGU+PEF1dGhvcj5LYW5nPC9BdXRob3I+PFllYXI+MjAyMzwvWWVhcj48UmVj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</w:fldData>
              </w:fldChar>
            </w:r>
            <w:r>
              <w:rPr>
                <w:rFonts w:eastAsiaTheme="minorEastAsia" w:cs="Times New Roman"/>
                <w:color w:val="000000"/>
                <w:sz w:val="22"/>
                <w:szCs w:val="22"/>
                <w:lang w:eastAsia="zh-CN"/>
              </w:rPr>
              <w:instrText xml:space="preserve"> ADDIN EN.CITE </w:instrText>
            </w:r>
            <w:r>
              <w:rPr>
                <w:rFonts w:eastAsiaTheme="minorEastAsia" w:cs="Times New Roman"/>
                <w:color w:val="000000"/>
                <w:sz w:val="22"/>
                <w:szCs w:val="22"/>
                <w:lang w:eastAsia="zh-CN"/>
              </w:rPr>
              <w:fldChar w:fldCharType="begin">
                <w:fldData xml:space="preserve">PEVuZE5vdGU+PENpdGU+PEF1dGhvcj5LYW5nPC9BdXRob3I+PFllYXI+MjAyMzwvWWVhcj48UmVj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</w:fldData>
              </w:fldChar>
            </w:r>
            <w:r>
              <w:rPr>
                <w:rFonts w:eastAsiaTheme="minorEastAsia" w:cs="Times New Roman"/>
                <w:color w:val="000000"/>
                <w:sz w:val="22"/>
                <w:szCs w:val="22"/>
                <w:lang w:eastAsia="zh-CN"/>
              </w:rPr>
              <w:instrText xml:space="preserve"> ADDIN EN.CITE.DATA </w:instrText>
            </w:r>
            <w:r>
              <w:rPr>
                <w:rFonts w:eastAsiaTheme="minorEastAsia" w:cs="Times New Roman"/>
                <w:color w:val="000000"/>
                <w:sz w:val="22"/>
                <w:szCs w:val="22"/>
                <w:lang w:eastAsia="zh-CN"/>
              </w:rPr>
            </w:r>
            <w:r>
              <w:rPr>
                <w:rFonts w:eastAsiaTheme="minorEastAsia" w:cs="Times New Roman"/>
                <w:color w:val="000000"/>
                <w:sz w:val="22"/>
                <w:szCs w:val="22"/>
                <w:lang w:eastAsia="zh-CN"/>
              </w:rPr>
              <w:fldChar w:fldCharType="end"/>
            </w:r>
            <w:r>
              <w:rPr>
                <w:rFonts w:eastAsiaTheme="minorEastAsia" w:cs="Times New Roman"/>
                <w:color w:val="000000"/>
                <w:sz w:val="22"/>
                <w:szCs w:val="22"/>
                <w:lang w:eastAsia="zh-CN"/>
              </w:rPr>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23</w:t>
            </w:r>
            <w:r>
              <w:rPr>
                <w:rFonts w:eastAsiaTheme="minorEastAsia" w:cs="Times New Roman"/>
                <w:color w:val="000000"/>
                <w:sz w:val="22"/>
                <w:szCs w:val="22"/>
                <w:lang w:eastAsia="zh-CN"/>
              </w:rPr>
              <w:fldChar w:fldCharType="end"/>
            </w:r>
          </w:p>
        </w:tc>
      </w:tr>
      <w:tr w:rsidR="00092E5F" w14:paraId="042A0F94" w14:textId="77777777">
        <w:tc>
          <w:tcPr>
            <w:tcW w:w="1277" w:type="dxa"/>
            <w:vAlign w:val="center"/>
          </w:tcPr>
          <w:p w14:paraId="0B2019CE"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Thermal</w:t>
            </w:r>
          </w:p>
        </w:tc>
        <w:tc>
          <w:tcPr>
            <w:tcW w:w="1417" w:type="dxa"/>
            <w:vAlign w:val="center"/>
          </w:tcPr>
          <w:p w14:paraId="698AAB9E"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Ni/BaTiO</w:t>
            </w:r>
            <w:r>
              <w:rPr>
                <w:rFonts w:eastAsiaTheme="minorEastAsia" w:cs="Times New Roman"/>
                <w:color w:val="000000"/>
                <w:sz w:val="22"/>
                <w:szCs w:val="22"/>
                <w:vertAlign w:val="subscript"/>
                <w:lang w:eastAsia="zh-CN"/>
              </w:rPr>
              <w:t>3-x</w:t>
            </w:r>
            <w:r>
              <w:rPr>
                <w:rFonts w:eastAsiaTheme="minorEastAsia" w:cs="Times New Roman"/>
                <w:color w:val="000000"/>
                <w:sz w:val="22"/>
                <w:szCs w:val="22"/>
                <w:lang w:eastAsia="zh-CN"/>
              </w:rPr>
              <w:t>N</w:t>
            </w:r>
            <w:r>
              <w:rPr>
                <w:rFonts w:eastAsiaTheme="minorEastAsia" w:cs="Times New Roman"/>
                <w:color w:val="000000"/>
                <w:sz w:val="22"/>
                <w:szCs w:val="22"/>
                <w:vertAlign w:val="subscript"/>
                <w:lang w:eastAsia="zh-CN"/>
              </w:rPr>
              <w:t>y</w:t>
            </w:r>
          </w:p>
        </w:tc>
        <w:tc>
          <w:tcPr>
            <w:tcW w:w="992" w:type="dxa"/>
            <w:vAlign w:val="center"/>
          </w:tcPr>
          <w:p w14:paraId="07E6C24D"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25</w:t>
            </w:r>
          </w:p>
        </w:tc>
        <w:tc>
          <w:tcPr>
            <w:tcW w:w="1366" w:type="dxa"/>
            <w:vAlign w:val="center"/>
          </w:tcPr>
          <w:p w14:paraId="3AB8C370"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99%</w:t>
            </w:r>
          </w:p>
        </w:tc>
        <w:tc>
          <w:tcPr>
            <w:tcW w:w="907" w:type="dxa"/>
            <w:vAlign w:val="center"/>
          </w:tcPr>
          <w:p w14:paraId="5D2E73C1"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0.02</w:t>
            </w:r>
            <w:r>
              <w:rPr>
                <w:rFonts w:eastAsiaTheme="minorEastAsia" w:cs="Times New Roman"/>
                <w:color w:val="000000"/>
                <w:sz w:val="22"/>
                <w:szCs w:val="22"/>
                <w:vertAlign w:val="superscript"/>
                <w:lang w:eastAsia="zh-CN"/>
              </w:rPr>
              <w:t>a</w:t>
            </w:r>
          </w:p>
        </w:tc>
        <w:tc>
          <w:tcPr>
            <w:tcW w:w="855" w:type="dxa"/>
            <w:vAlign w:val="center"/>
          </w:tcPr>
          <w:p w14:paraId="5A1BABAC"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100</w:t>
            </w:r>
            <w:r>
              <w:rPr>
                <w:rFonts w:eastAsiaTheme="minorEastAsia" w:cs="Times New Roman"/>
                <w:color w:val="000000"/>
                <w:sz w:val="22"/>
                <w:szCs w:val="22"/>
                <w:vertAlign w:val="superscript"/>
                <w:lang w:eastAsia="zh-CN"/>
              </w:rPr>
              <w:t>b</w:t>
            </w:r>
          </w:p>
        </w:tc>
        <w:tc>
          <w:tcPr>
            <w:tcW w:w="1129" w:type="dxa"/>
            <w:vAlign w:val="center"/>
          </w:tcPr>
          <w:p w14:paraId="7295C949"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7%</w:t>
            </w:r>
          </w:p>
        </w:tc>
        <w:tc>
          <w:tcPr>
            <w:tcW w:w="1134" w:type="dxa"/>
            <w:vAlign w:val="center"/>
          </w:tcPr>
          <w:p w14:paraId="7757F39F"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&lt;EndNote&gt;&lt;Cite&gt;&lt;Author&gt;Ogasawara&lt;/Author&gt;&lt;Year&gt;2023&lt;/Year&gt;&lt;RecNum&gt;490&lt;/RecNum&gt;&lt;DisplayText&gt;&lt;style face="superscript"&gt;24&lt;/style&gt;&lt;/DisplayText&gt;&lt;record&gt;&lt;rec-number&gt;490&lt;/rec-number&gt;&lt;foreign-keys&gt;&lt;key app="EN" db-id="s5z2zsz04waeexe29v3pzvfl2x5z0s5f0vvs" timestamp="1717944596"&gt;490&lt;/key&gt;&lt;/foreign-keys&gt;&lt;ref-type name="Journal Article"&gt;17&lt;/ref-type&gt;&lt;contributors&gt;&lt;authors&gt;&lt;author&gt;Ogasawara, Kiya&lt;/author&gt;&lt;author&gt;Miyazaki, Masayoshi&lt;/author&gt;&lt;author&gt;Miyashita, Kazuki&lt;/author&gt;&lt;author&gt;Abe, Hitoshi&lt;/author&gt;&lt;author&gt;Niwa, Yasuhiro&lt;/author&gt;&lt;author&gt;Sasase, Masato&lt;/author&gt;&lt;author&gt;Kitano, Masaaki&lt;/author&gt;&lt;author&gt;Hosono, Hideo&lt;/author&gt;&lt;/authors&gt;&lt;/contributors&gt;&lt;titles&gt;&lt;title&gt;Ammonia Decomposition over Water</w:instrText>
            </w:r>
            <w:r>
              <w:rPr>
                <w:rFonts w:eastAsiaTheme="minorEastAsia" w:cs="Times New Roman" w:hint="eastAsia"/>
                <w:color w:val="000000"/>
                <w:sz w:val="22"/>
                <w:szCs w:val="22"/>
                <w:lang w:eastAsia="zh-CN"/>
              </w:rPr>
              <w:instrText>‐</w:instrText>
            </w:r>
            <w:r>
              <w:rPr>
                <w:rFonts w:eastAsiaTheme="minorEastAsia" w:cs="Times New Roman"/>
                <w:color w:val="000000"/>
                <w:sz w:val="22"/>
                <w:szCs w:val="22"/>
                <w:lang w:eastAsia="zh-CN"/>
              </w:rPr>
              <w:instrText>Durable Hexagonal BaTiO3−xNy</w:instrText>
            </w:r>
            <w:r>
              <w:rPr>
                <w:rFonts w:eastAsiaTheme="minorEastAsia" w:cs="Times New Roman" w:hint="eastAsia"/>
                <w:color w:val="000000"/>
                <w:sz w:val="22"/>
                <w:szCs w:val="22"/>
                <w:lang w:eastAsia="zh-CN"/>
              </w:rPr>
              <w:instrText>‐</w:instrText>
            </w:r>
            <w:r>
              <w:rPr>
                <w:rFonts w:eastAsiaTheme="minorEastAsia" w:cs="Times New Roman"/>
                <w:color w:val="000000"/>
                <w:sz w:val="22"/>
                <w:szCs w:val="22"/>
                <w:lang w:eastAsia="zh-CN"/>
              </w:rPr>
              <w:instrText>Supported Ni Catalysts&lt;/title&gt;&lt;secondary-title&gt;Advanced Energy Materials&lt;/secondary-title&gt;&lt;/titles&gt;&lt;periodical&gt;&lt;full-title&gt;Advanced Energy Materials&lt;/full-title&gt;&lt;abbr-1&gt;Adv. Energy Mater.&lt;/abbr-1&gt;&lt;abbr-2&gt;Adv Energy Mater&lt;/abbr-2&gt;&lt;/periodical&gt;&lt;volume&gt;13&lt;/volume&gt;&lt;number&gt;35&lt;/number&gt;&lt;dates&gt;&lt;year&gt;2023&lt;/year&gt;&lt;/dates&gt;&lt;isbn&gt;1614-6832&amp;#xD;1614-6840&lt;/isbn&gt;&lt;urls&gt;&lt;/urls&gt;&lt;electronic-resource-num&gt;10.1002/aenm.202301286&lt;/electronic-resource-num&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24</w:t>
            </w:r>
            <w:r>
              <w:rPr>
                <w:rFonts w:eastAsiaTheme="minorEastAsia" w:cs="Times New Roman"/>
                <w:color w:val="000000"/>
                <w:sz w:val="22"/>
                <w:szCs w:val="22"/>
                <w:lang w:eastAsia="zh-CN"/>
              </w:rPr>
              <w:fldChar w:fldCharType="end"/>
            </w:r>
          </w:p>
        </w:tc>
      </w:tr>
      <w:tr w:rsidR="00092E5F" w14:paraId="6568A4D1" w14:textId="77777777">
        <w:tc>
          <w:tcPr>
            <w:tcW w:w="1277" w:type="dxa"/>
            <w:vAlign w:val="center"/>
          </w:tcPr>
          <w:p w14:paraId="5CA45B22"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Thermal</w:t>
            </w:r>
          </w:p>
        </w:tc>
        <w:tc>
          <w:tcPr>
            <w:tcW w:w="1417" w:type="dxa"/>
            <w:vAlign w:val="center"/>
          </w:tcPr>
          <w:p w14:paraId="2849144D"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Fe/MgO</w:t>
            </w:r>
          </w:p>
        </w:tc>
        <w:tc>
          <w:tcPr>
            <w:tcW w:w="992" w:type="dxa"/>
            <w:vAlign w:val="center"/>
          </w:tcPr>
          <w:p w14:paraId="169C857F"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2.4</w:t>
            </w:r>
          </w:p>
        </w:tc>
        <w:tc>
          <w:tcPr>
            <w:tcW w:w="1366" w:type="dxa"/>
            <w:vAlign w:val="center"/>
          </w:tcPr>
          <w:p w14:paraId="0DBA2378"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50%</w:t>
            </w:r>
          </w:p>
        </w:tc>
        <w:tc>
          <w:tcPr>
            <w:tcW w:w="907" w:type="dxa"/>
            <w:vAlign w:val="center"/>
          </w:tcPr>
          <w:p w14:paraId="38EF6D43"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0.01</w:t>
            </w:r>
            <w:r>
              <w:rPr>
                <w:rFonts w:eastAsiaTheme="minorEastAsia" w:cs="Times New Roman"/>
                <w:color w:val="000000"/>
                <w:sz w:val="22"/>
                <w:szCs w:val="22"/>
                <w:vertAlign w:val="superscript"/>
                <w:lang w:eastAsia="zh-CN"/>
              </w:rPr>
              <w:t>a</w:t>
            </w:r>
          </w:p>
        </w:tc>
        <w:tc>
          <w:tcPr>
            <w:tcW w:w="855" w:type="dxa"/>
            <w:vAlign w:val="center"/>
          </w:tcPr>
          <w:p w14:paraId="543F85CB"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100</w:t>
            </w:r>
            <w:r>
              <w:rPr>
                <w:rFonts w:eastAsiaTheme="minorEastAsia" w:cs="Times New Roman"/>
                <w:color w:val="000000"/>
                <w:sz w:val="22"/>
                <w:szCs w:val="22"/>
                <w:vertAlign w:val="superscript"/>
                <w:lang w:eastAsia="zh-CN"/>
              </w:rPr>
              <w:t>b</w:t>
            </w:r>
          </w:p>
        </w:tc>
        <w:tc>
          <w:tcPr>
            <w:tcW w:w="1129" w:type="dxa"/>
            <w:vAlign w:val="center"/>
          </w:tcPr>
          <w:p w14:paraId="23FCB083"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0.3%</w:t>
            </w:r>
          </w:p>
        </w:tc>
        <w:tc>
          <w:tcPr>
            <w:tcW w:w="1134" w:type="dxa"/>
            <w:vAlign w:val="center"/>
          </w:tcPr>
          <w:p w14:paraId="300C5D6B"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fldData xml:space="preserve">PEVuZE5vdGU+PENpdGU+PEF1dGhvcj5DaGVuPC9BdXRob3I+PFllYXI+MjAyNDwvWWVhcj48UmVj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</w:fldData>
              </w:fldChar>
            </w:r>
            <w:r>
              <w:rPr>
                <w:rFonts w:eastAsiaTheme="minorEastAsia" w:cs="Times New Roman"/>
                <w:color w:val="000000"/>
                <w:sz w:val="22"/>
                <w:szCs w:val="22"/>
                <w:lang w:eastAsia="zh-CN"/>
              </w:rPr>
              <w:instrText xml:space="preserve"> ADDIN EN.CITE </w:instrText>
            </w:r>
            <w:r>
              <w:rPr>
                <w:rFonts w:eastAsiaTheme="minorEastAsia" w:cs="Times New Roman"/>
                <w:color w:val="000000"/>
                <w:sz w:val="22"/>
                <w:szCs w:val="22"/>
                <w:lang w:eastAsia="zh-CN"/>
              </w:rPr>
              <w:fldChar w:fldCharType="begin">
                <w:fldData xml:space="preserve">PEVuZE5vdGU+PENpdGU+PEF1dGhvcj5DaGVuPC9BdXRob3I+PFllYXI+MjAyNDwvWWVhcj48UmVj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</w:fldData>
              </w:fldChar>
            </w:r>
            <w:r>
              <w:rPr>
                <w:rFonts w:eastAsiaTheme="minorEastAsia" w:cs="Times New Roman"/>
                <w:color w:val="000000"/>
                <w:sz w:val="22"/>
                <w:szCs w:val="22"/>
                <w:lang w:eastAsia="zh-CN"/>
              </w:rPr>
              <w:instrText xml:space="preserve"> ADDIN EN.CITE.DATA </w:instrText>
            </w:r>
            <w:r>
              <w:rPr>
                <w:rFonts w:eastAsiaTheme="minorEastAsia" w:cs="Times New Roman"/>
                <w:color w:val="000000"/>
                <w:sz w:val="22"/>
                <w:szCs w:val="22"/>
                <w:lang w:eastAsia="zh-CN"/>
              </w:rPr>
            </w:r>
            <w:r>
              <w:rPr>
                <w:rFonts w:eastAsiaTheme="minorEastAsia" w:cs="Times New Roman"/>
                <w:color w:val="000000"/>
                <w:sz w:val="22"/>
                <w:szCs w:val="22"/>
                <w:lang w:eastAsia="zh-CN"/>
              </w:rPr>
              <w:fldChar w:fldCharType="end"/>
            </w:r>
            <w:r>
              <w:rPr>
                <w:rFonts w:eastAsiaTheme="minorEastAsia" w:cs="Times New Roman"/>
                <w:color w:val="000000"/>
                <w:sz w:val="22"/>
                <w:szCs w:val="22"/>
                <w:lang w:eastAsia="zh-CN"/>
              </w:rPr>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25</w:t>
            </w:r>
            <w:r>
              <w:rPr>
                <w:rFonts w:eastAsiaTheme="minorEastAsia" w:cs="Times New Roman"/>
                <w:color w:val="000000"/>
                <w:sz w:val="22"/>
                <w:szCs w:val="22"/>
                <w:lang w:eastAsia="zh-CN"/>
              </w:rPr>
              <w:fldChar w:fldCharType="end"/>
            </w:r>
          </w:p>
        </w:tc>
      </w:tr>
      <w:tr w:rsidR="00092E5F" w14:paraId="1F9780F6" w14:textId="77777777">
        <w:tc>
          <w:tcPr>
            <w:tcW w:w="1277" w:type="dxa"/>
            <w:vAlign w:val="center"/>
          </w:tcPr>
          <w:p w14:paraId="7A87C2AF"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Thermal</w:t>
            </w:r>
          </w:p>
        </w:tc>
        <w:tc>
          <w:tcPr>
            <w:tcW w:w="1417" w:type="dxa"/>
            <w:vAlign w:val="center"/>
          </w:tcPr>
          <w:p w14:paraId="4544AED5"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CoRe</w:t>
            </w:r>
            <w:r>
              <w:rPr>
                <w:rFonts w:eastAsiaTheme="minorEastAsia" w:cs="Times New Roman"/>
                <w:color w:val="000000"/>
                <w:sz w:val="22"/>
                <w:szCs w:val="22"/>
                <w:vertAlign w:val="subscript"/>
                <w:lang w:eastAsia="zh-CN"/>
              </w:rPr>
              <w:t>1.6</w:t>
            </w:r>
          </w:p>
        </w:tc>
        <w:tc>
          <w:tcPr>
            <w:tcW w:w="992" w:type="dxa"/>
            <w:vAlign w:val="center"/>
          </w:tcPr>
          <w:p w14:paraId="76F3F392"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2.5</w:t>
            </w:r>
          </w:p>
        </w:tc>
        <w:tc>
          <w:tcPr>
            <w:tcW w:w="1366" w:type="dxa"/>
            <w:vAlign w:val="center"/>
          </w:tcPr>
          <w:p w14:paraId="07D43236"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90%</w:t>
            </w:r>
          </w:p>
        </w:tc>
        <w:tc>
          <w:tcPr>
            <w:tcW w:w="907" w:type="dxa"/>
            <w:vAlign w:val="center"/>
          </w:tcPr>
          <w:p w14:paraId="7296F2FE"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0.003</w:t>
            </w:r>
            <w:r>
              <w:rPr>
                <w:rFonts w:eastAsiaTheme="minorEastAsia" w:cs="Times New Roman"/>
                <w:color w:val="000000"/>
                <w:sz w:val="22"/>
                <w:szCs w:val="22"/>
                <w:vertAlign w:val="superscript"/>
                <w:lang w:eastAsia="zh-CN"/>
              </w:rPr>
              <w:t>a</w:t>
            </w:r>
          </w:p>
        </w:tc>
        <w:tc>
          <w:tcPr>
            <w:tcW w:w="855" w:type="dxa"/>
            <w:vAlign w:val="center"/>
          </w:tcPr>
          <w:p w14:paraId="23F4EF0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100</w:t>
            </w:r>
            <w:r>
              <w:rPr>
                <w:rFonts w:eastAsiaTheme="minorEastAsia" w:cs="Times New Roman"/>
                <w:color w:val="000000"/>
                <w:sz w:val="22"/>
                <w:szCs w:val="22"/>
                <w:vertAlign w:val="superscript"/>
                <w:lang w:eastAsia="zh-CN"/>
              </w:rPr>
              <w:t>b</w:t>
            </w:r>
          </w:p>
        </w:tc>
        <w:tc>
          <w:tcPr>
            <w:tcW w:w="1129" w:type="dxa"/>
            <w:vAlign w:val="center"/>
          </w:tcPr>
          <w:p w14:paraId="06821FC8"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w:t>
            </w:r>
          </w:p>
        </w:tc>
        <w:tc>
          <w:tcPr>
            <w:tcW w:w="1134" w:type="dxa"/>
            <w:vAlign w:val="center"/>
          </w:tcPr>
          <w:p w14:paraId="4909FF6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&lt;EndNote&gt;&lt;Cite&gt;&lt;Author&gt;Kirste&lt;/Author&gt;&lt;Year&gt;2021&lt;/Year&gt;&lt;RecNum&gt;85&lt;/RecNum&gt;&lt;DisplayText&gt;&lt;style face="superscript"&gt;26&lt;/style&gt;&lt;/DisplayText&gt;&lt;record&gt;&lt;rec-number&gt;85&lt;/rec-number&gt;&lt;foreign-keys&gt;&lt;key app="EN" db-id="s5z2zsz04waeexe29v3pzvfl2x5z0s5f0vvs" timestamp="1640147731"&gt;85&lt;/key&gt;&lt;/foreign-keys&gt;&lt;ref-type name="Journal Article"&gt;17&lt;/ref-type&gt;&lt;contributors&gt;&lt;authors&gt;&lt;author&gt;Kirste, K. G.&lt;/author&gt;&lt;author&gt;McAulay, K.&lt;/author&gt;&lt;author&gt;Bell, T. E.&lt;/author&gt;&lt;author&gt;Stoian, D.&lt;/author&gt;&lt;author&gt;Laassiri, S.&lt;/author&gt;&lt;author&gt;Daisley, A.&lt;/author&gt;&lt;author&gt;Hargreaves, J. S. J.&lt;/author&gt;&lt;author&gt;Mathisen, K.&lt;/author&gt;&lt;author&gt;Torrente-Murciano, L.&lt;/author&gt;&lt;/authors&gt;&lt;/contributors&gt;&lt;titles&gt;&lt;title&gt;COx-free hydrogen production from ammonia – mimicking the activity of Ru catalysts with unsupported Co-Re alloys&lt;/title&gt;&lt;secondary-title&gt;Applied Catalysis B: Environmental&lt;/secondary-title&gt;&lt;/titles&gt;&lt;periodical&gt;&lt;full-title&gt;Applied Catalysis B: Environmental&lt;/full-title&gt;&lt;abbr-1&gt;Appl. Catal. B&lt;/abbr-1&gt;&lt;abbr-2&gt;Appl Catal B&lt;/abbr-2&gt;&lt;/periodical&gt;&lt;volume&gt;280&lt;/volume&gt;&lt;dates&gt;&lt;year&gt;2021&lt;/year&gt;&lt;/dates&gt;&lt;work-type&gt;Article&lt;/work-type&gt;&lt;urls&gt;&lt;related-urls&gt;&lt;url&gt;https://www.scopus.com/inward/record.uri?eid=2-s2.0-85089810528&amp;amp;doi=10.1016%2fj.apcatb.2020.119405&amp;amp;partnerID=40&amp;amp;md5=a59842156d8abe92b7fea36def390ec7&lt;/url&gt;&lt;/related-urls&gt;&lt;/urls&gt;&lt;custom7&gt;119405&lt;/custom7&gt;&lt;electronic-resource-num&gt;10.1016/j.apcatb.2020.119405&lt;/electronic-resource-num&gt;&lt;remote-database-name&gt;Scopus&lt;/remote-database-name&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26</w:t>
            </w:r>
            <w:r>
              <w:rPr>
                <w:rFonts w:eastAsiaTheme="minorEastAsia" w:cs="Times New Roman"/>
                <w:color w:val="000000"/>
                <w:sz w:val="22"/>
                <w:szCs w:val="22"/>
                <w:lang w:eastAsia="zh-CN"/>
              </w:rPr>
              <w:fldChar w:fldCharType="end"/>
            </w:r>
          </w:p>
        </w:tc>
      </w:tr>
      <w:tr w:rsidR="00092E5F" w14:paraId="4E4401E6" w14:textId="77777777">
        <w:tc>
          <w:tcPr>
            <w:tcW w:w="1277" w:type="dxa"/>
            <w:vAlign w:val="center"/>
          </w:tcPr>
          <w:p w14:paraId="123B2AD9"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Thermal</w:t>
            </w:r>
          </w:p>
        </w:tc>
        <w:tc>
          <w:tcPr>
            <w:tcW w:w="1417" w:type="dxa"/>
            <w:vAlign w:val="center"/>
          </w:tcPr>
          <w:p w14:paraId="02E77345"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1F1F1F"/>
                <w:sz w:val="22"/>
                <w:szCs w:val="22"/>
                <w:lang w:eastAsia="zh-CN"/>
              </w:rPr>
              <w:t>La</w:t>
            </w:r>
            <w:r>
              <w:rPr>
                <w:rFonts w:eastAsiaTheme="minorEastAsia" w:cs="Times New Roman"/>
                <w:color w:val="1F1F1F"/>
                <w:sz w:val="22"/>
                <w:szCs w:val="22"/>
                <w:vertAlign w:val="subscript"/>
                <w:lang w:eastAsia="zh-CN"/>
              </w:rPr>
              <w:t>0.5</w:t>
            </w:r>
            <w:r>
              <w:rPr>
                <w:rFonts w:eastAsiaTheme="minorEastAsia" w:cs="Times New Roman"/>
                <w:color w:val="1F1F1F"/>
                <w:sz w:val="22"/>
                <w:szCs w:val="22"/>
                <w:lang w:eastAsia="zh-CN"/>
              </w:rPr>
              <w:t>Sr</w:t>
            </w:r>
            <w:r>
              <w:rPr>
                <w:rFonts w:eastAsiaTheme="minorEastAsia" w:cs="Times New Roman"/>
                <w:color w:val="1F1F1F"/>
                <w:sz w:val="22"/>
                <w:szCs w:val="22"/>
                <w:vertAlign w:val="subscript"/>
                <w:lang w:eastAsia="zh-CN"/>
              </w:rPr>
              <w:t>0.5</w:t>
            </w:r>
            <w:r>
              <w:rPr>
                <w:rFonts w:eastAsiaTheme="minorEastAsia" w:cs="Times New Roman"/>
                <w:color w:val="1F1F1F"/>
                <w:sz w:val="22"/>
                <w:szCs w:val="22"/>
                <w:lang w:eastAsia="zh-CN"/>
              </w:rPr>
              <w:t>NiO</w:t>
            </w:r>
            <w:r>
              <w:rPr>
                <w:rFonts w:eastAsiaTheme="minorEastAsia" w:cs="Times New Roman"/>
                <w:color w:val="1F1F1F"/>
                <w:sz w:val="22"/>
                <w:szCs w:val="22"/>
                <w:vertAlign w:val="subscript"/>
                <w:lang w:eastAsia="zh-CN"/>
              </w:rPr>
              <w:t>3-δ</w:t>
            </w:r>
          </w:p>
        </w:tc>
        <w:tc>
          <w:tcPr>
            <w:tcW w:w="992" w:type="dxa"/>
            <w:vAlign w:val="center"/>
          </w:tcPr>
          <w:p w14:paraId="043DC688"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15</w:t>
            </w:r>
          </w:p>
        </w:tc>
        <w:tc>
          <w:tcPr>
            <w:tcW w:w="1366" w:type="dxa"/>
            <w:vAlign w:val="center"/>
          </w:tcPr>
          <w:p w14:paraId="50F6062E"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90%</w:t>
            </w:r>
          </w:p>
        </w:tc>
        <w:tc>
          <w:tcPr>
            <w:tcW w:w="907" w:type="dxa"/>
            <w:vAlign w:val="center"/>
          </w:tcPr>
          <w:p w14:paraId="0957FB16"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0.19</w:t>
            </w:r>
          </w:p>
        </w:tc>
        <w:tc>
          <w:tcPr>
            <w:tcW w:w="855" w:type="dxa"/>
            <w:vAlign w:val="center"/>
          </w:tcPr>
          <w:p w14:paraId="0F4827CD"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100</w:t>
            </w:r>
            <w:r>
              <w:rPr>
                <w:rFonts w:eastAsiaTheme="minorEastAsia" w:cs="Times New Roman"/>
                <w:color w:val="000000"/>
                <w:sz w:val="22"/>
                <w:szCs w:val="22"/>
                <w:vertAlign w:val="superscript"/>
                <w:lang w:eastAsia="zh-CN"/>
              </w:rPr>
              <w:t>b</w:t>
            </w:r>
          </w:p>
        </w:tc>
        <w:tc>
          <w:tcPr>
            <w:tcW w:w="1129" w:type="dxa"/>
            <w:vAlign w:val="center"/>
          </w:tcPr>
          <w:p w14:paraId="5E2BAEC6"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4%</w:t>
            </w:r>
          </w:p>
        </w:tc>
        <w:tc>
          <w:tcPr>
            <w:tcW w:w="1134" w:type="dxa"/>
            <w:vAlign w:val="center"/>
          </w:tcPr>
          <w:p w14:paraId="4CDCD0D3"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&lt;EndNote&gt;&lt;Cite&gt;&lt;Author&gt;Guo&lt;/Author&gt;&lt;Year&gt;2024&lt;/Year&gt;&lt;RecNum&gt;492&lt;/RecNum&gt;&lt;DisplayText&gt;&lt;style face="superscript"&gt;27&lt;/style&gt;&lt;/DisplayText&gt;&lt;record&gt;&lt;rec-number&gt;492&lt;/rec-number&gt;&lt;foreign-keys&gt;&lt;key app="EN" db-id="s5z2zsz04waeexe29v3pzvfl2x5z0s5f0vvs" timestamp="1717944732"&gt;492&lt;/key&gt;&lt;/foreign-keys&gt;&lt;ref-type name="Journal Article"&gt;17&lt;/ref-type&gt;&lt;contributors&gt;&lt;authors&gt;&lt;author&gt;Guo, Xiao-Yu&lt;/author&gt;&lt;author&gt;Wang, Jun-Hao&lt;/author&gt;&lt;author&gt;Zhang, Qian&lt;/author&gt;&lt;author&gt;Li, Ting-Zhou&lt;/author&gt;&lt;author&gt;Dong, Hao&lt;/author&gt;&lt;author&gt;Jia, Chun-Jiang&lt;/author&gt;&lt;author&gt;Li, Chen&lt;/author&gt;&lt;author&gt;Zhang, Ya-Wen&lt;/author&gt;&lt;/authors&gt;&lt;/contributors&gt;&lt;titles&gt;&lt;title&gt;Alkaline earth metal promoted hydrogen production from ammonia decomposition over Ni/La2O3-based catalysts&lt;/title&gt;&lt;secondary-title&gt;Applied Catalysis B: Environment and Energy&lt;/secondary-title&gt;&lt;/titles&gt;&lt;periodical&gt;&lt;full-title&gt;Applied Catalysis B: Environment and Energy&lt;/full-title&gt;&lt;/periodical&gt;&lt;pages&gt;123844&lt;/pages&gt;&lt;volume&gt;348&lt;/volume&gt;&lt;keywords&gt;&lt;keyword&gt;Ammonia decomposition&lt;/keyword&gt;&lt;keyword&gt;Hydrogen production&lt;/keyword&gt;&lt;keyword&gt;Ni-based catalysts&lt;/keyword&gt;&lt;keyword&gt;Alkaline earth metal&lt;/keyword&gt;&lt;keyword&gt;Promoter&lt;/keyword&gt;&lt;/keywords&gt;&lt;dates&gt;&lt;year&gt;2024&lt;/year&gt;&lt;pub-dates&gt;&lt;date&gt;2024/07/05/&lt;/date&gt;&lt;/pub-dates&gt;&lt;/dates&gt;&lt;isbn&gt;0926-3373&lt;/isbn&gt;&lt;urls&gt;&lt;related-urls&gt;&lt;url&gt;https://www.sciencedirect.com/science/article/pii/S0926337324001565&lt;/url&gt;&lt;/related-urls&gt;&lt;/urls&gt;&lt;electronic-resource-num&gt;https://doi.org/10.1016/j.apcatb.2024.123844&lt;/electronic-resource-num&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27</w:t>
            </w:r>
            <w:r>
              <w:rPr>
                <w:rFonts w:eastAsiaTheme="minorEastAsia" w:cs="Times New Roman"/>
                <w:color w:val="000000"/>
                <w:sz w:val="22"/>
                <w:szCs w:val="22"/>
                <w:lang w:eastAsia="zh-CN"/>
              </w:rPr>
              <w:fldChar w:fldCharType="end"/>
            </w:r>
          </w:p>
        </w:tc>
      </w:tr>
      <w:tr w:rsidR="00092E5F" w14:paraId="40BD005D" w14:textId="77777777">
        <w:tc>
          <w:tcPr>
            <w:tcW w:w="1277" w:type="dxa"/>
            <w:vAlign w:val="center"/>
          </w:tcPr>
          <w:p w14:paraId="2209A6D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Thermal</w:t>
            </w:r>
          </w:p>
        </w:tc>
        <w:tc>
          <w:tcPr>
            <w:tcW w:w="1417" w:type="dxa"/>
            <w:vAlign w:val="center"/>
          </w:tcPr>
          <w:p w14:paraId="6751D76C"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Ni-Ru/CeO</w:t>
            </w:r>
            <w:r>
              <w:rPr>
                <w:rFonts w:eastAsiaTheme="minorEastAsia" w:cs="Times New Roman"/>
                <w:color w:val="000000"/>
                <w:sz w:val="22"/>
                <w:szCs w:val="22"/>
                <w:vertAlign w:val="subscript"/>
                <w:lang w:eastAsia="zh-CN"/>
              </w:rPr>
              <w:t>2</w:t>
            </w:r>
          </w:p>
        </w:tc>
        <w:tc>
          <w:tcPr>
            <w:tcW w:w="992" w:type="dxa"/>
            <w:vAlign w:val="center"/>
          </w:tcPr>
          <w:p w14:paraId="49C24438"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25</w:t>
            </w:r>
          </w:p>
        </w:tc>
        <w:tc>
          <w:tcPr>
            <w:tcW w:w="1366" w:type="dxa"/>
            <w:vAlign w:val="center"/>
          </w:tcPr>
          <w:p w14:paraId="3CBFE718"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72%</w:t>
            </w:r>
          </w:p>
        </w:tc>
        <w:tc>
          <w:tcPr>
            <w:tcW w:w="907" w:type="dxa"/>
            <w:vAlign w:val="center"/>
          </w:tcPr>
          <w:p w14:paraId="291159E3"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0.41</w:t>
            </w:r>
          </w:p>
        </w:tc>
        <w:tc>
          <w:tcPr>
            <w:tcW w:w="855" w:type="dxa"/>
            <w:vAlign w:val="center"/>
          </w:tcPr>
          <w:p w14:paraId="19B22EF6"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100</w:t>
            </w:r>
            <w:r>
              <w:rPr>
                <w:rFonts w:eastAsiaTheme="minorEastAsia" w:cs="Times New Roman"/>
                <w:color w:val="000000"/>
                <w:sz w:val="22"/>
                <w:szCs w:val="22"/>
                <w:vertAlign w:val="superscript"/>
                <w:lang w:eastAsia="zh-CN"/>
              </w:rPr>
              <w:t>b</w:t>
            </w:r>
          </w:p>
        </w:tc>
        <w:tc>
          <w:tcPr>
            <w:tcW w:w="1129" w:type="dxa"/>
            <w:vAlign w:val="center"/>
          </w:tcPr>
          <w:p w14:paraId="63C05082"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5%</w:t>
            </w:r>
          </w:p>
        </w:tc>
        <w:tc>
          <w:tcPr>
            <w:tcW w:w="1134" w:type="dxa"/>
            <w:vAlign w:val="center"/>
          </w:tcPr>
          <w:p w14:paraId="63DD6D75"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&lt;EndNote&gt;&lt;Cite&gt;&lt;Author&gt;Lucentini&lt;/Author&gt;&lt;Year&gt;2024&lt;/Year&gt;&lt;RecNum&gt;493&lt;/RecNum&gt;&lt;DisplayText&gt;&lt;style face="superscript"&gt;28&lt;/style&gt;&lt;/DisplayText&gt;&lt;record&gt;&lt;rec-number&gt;493&lt;/rec-number&gt;&lt;foreign-keys&gt;&lt;key app="EN" db-id="s5z2zsz04waeexe29v3pzvfl2x5z0s5f0vvs" timestamp="1717944773"&gt;493&lt;/key&gt;&lt;/foreign-keys&gt;&lt;ref-type name="Journal Article"&gt;17&lt;/ref-type&gt;&lt;contributors&gt;&lt;authors&gt;&lt;author&gt;Lucentini, Ilaria&lt;/author&gt;&lt;author&gt;Serrano, Isabel&lt;/author&gt;&lt;author&gt;Garcia, Xènia&lt;/author&gt;&lt;author&gt;Manjón, Alba Garzón&lt;/author&gt;&lt;author&gt;Hu, Xinxin&lt;/author&gt;&lt;author&gt;Arbiol, Jordi&lt;/author&gt;&lt;author&gt;Pascua-Solé, Laia&lt;/author&gt;&lt;author&gt;Prat, Jordi&lt;/author&gt;&lt;author&gt;Villalobos-Portillo, Edgar Eduardo&lt;/author&gt;&lt;author&gt;Marini, Carlo&lt;/author&gt;&lt;author&gt;Escudero, Carlos&lt;/author&gt;&lt;author&gt;Llorca, Jordi&lt;/author&gt;&lt;/authors&gt;&lt;/contributors&gt;&lt;titles&gt;&lt;title&gt;Ni-Ru supported on CeO2 obtained by mechanochemical milling for catalytic hydrogen production from ammonia&lt;/title&gt;&lt;secondary-title&gt;iScience&lt;/secondary-title&gt;&lt;/titles&gt;&lt;periodical&gt;&lt;full-title&gt;iScience&lt;/full-title&gt;&lt;/periodical&gt;&lt;pages&gt;110028&lt;/pages&gt;&lt;volume&gt;27&lt;/volume&gt;&lt;number&gt;6&lt;/number&gt;&lt;keywords&gt;&lt;keyword&gt;Catalysis&lt;/keyword&gt;&lt;keyword&gt;Energy application&lt;/keyword&gt;&lt;/keywords&gt;&lt;dates&gt;&lt;year&gt;2024&lt;/year&gt;&lt;pub-dates&gt;&lt;date&gt;2024/06/21/&lt;/date&gt;&lt;/pub-dates&gt;&lt;/dates&gt;&lt;isbn&gt;2589-0042&lt;/isbn&gt;&lt;urls&gt;&lt;related-urls&gt;&lt;url&gt;https://www.sciencedirect.com/science/article/pii/S2589004224012537&lt;/url&gt;&lt;/related-urls&gt;&lt;/urls&gt;&lt;electronic-resource-num&gt;https://doi.org/10.1016/j.isci.2024.110028&lt;/electronic-resource-num&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28</w:t>
            </w:r>
            <w:r>
              <w:rPr>
                <w:rFonts w:eastAsiaTheme="minorEastAsia" w:cs="Times New Roman"/>
                <w:color w:val="000000"/>
                <w:sz w:val="22"/>
                <w:szCs w:val="22"/>
                <w:lang w:eastAsia="zh-CN"/>
              </w:rPr>
              <w:fldChar w:fldCharType="end"/>
            </w:r>
          </w:p>
        </w:tc>
      </w:tr>
      <w:tr w:rsidR="00092E5F" w14:paraId="48F2B25E" w14:textId="77777777">
        <w:tc>
          <w:tcPr>
            <w:tcW w:w="1277" w:type="dxa"/>
            <w:vAlign w:val="center"/>
          </w:tcPr>
          <w:p w14:paraId="2DC3C7FA"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Microwave</w:t>
            </w:r>
          </w:p>
        </w:tc>
        <w:tc>
          <w:tcPr>
            <w:tcW w:w="1417" w:type="dxa"/>
            <w:vAlign w:val="center"/>
          </w:tcPr>
          <w:p w14:paraId="4ADB93A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Co</w:t>
            </w:r>
            <w:r>
              <w:rPr>
                <w:rFonts w:eastAsiaTheme="minorEastAsia" w:cs="Times New Roman"/>
                <w:color w:val="000000"/>
                <w:sz w:val="22"/>
                <w:szCs w:val="22"/>
                <w:vertAlign w:val="subscript"/>
                <w:lang w:eastAsia="zh-CN"/>
              </w:rPr>
              <w:t>2</w:t>
            </w:r>
            <w:r>
              <w:rPr>
                <w:rFonts w:eastAsiaTheme="minorEastAsia" w:cs="Times New Roman"/>
                <w:color w:val="000000"/>
                <w:sz w:val="22"/>
                <w:szCs w:val="22"/>
                <w:lang w:eastAsia="zh-CN"/>
              </w:rPr>
              <w:t>Mo</w:t>
            </w:r>
            <w:r>
              <w:rPr>
                <w:rFonts w:eastAsiaTheme="minorEastAsia" w:cs="Times New Roman"/>
                <w:color w:val="000000"/>
                <w:sz w:val="22"/>
                <w:szCs w:val="22"/>
                <w:vertAlign w:val="subscript"/>
                <w:lang w:eastAsia="zh-CN"/>
              </w:rPr>
              <w:t>3</w:t>
            </w:r>
            <w:r>
              <w:rPr>
                <w:rFonts w:eastAsiaTheme="minorEastAsia" w:cs="Times New Roman"/>
                <w:color w:val="000000"/>
                <w:sz w:val="22"/>
                <w:szCs w:val="22"/>
                <w:lang w:eastAsia="zh-CN"/>
              </w:rPr>
              <w:t>N</w:t>
            </w:r>
          </w:p>
        </w:tc>
        <w:tc>
          <w:tcPr>
            <w:tcW w:w="992" w:type="dxa"/>
            <w:vAlign w:val="center"/>
          </w:tcPr>
          <w:p w14:paraId="64BBE1E7"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6</w:t>
            </w:r>
          </w:p>
        </w:tc>
        <w:tc>
          <w:tcPr>
            <w:tcW w:w="1366" w:type="dxa"/>
            <w:vAlign w:val="center"/>
          </w:tcPr>
          <w:p w14:paraId="16D6474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90%</w:t>
            </w:r>
          </w:p>
        </w:tc>
        <w:tc>
          <w:tcPr>
            <w:tcW w:w="907" w:type="dxa"/>
            <w:vAlign w:val="center"/>
          </w:tcPr>
          <w:p w14:paraId="3578C835"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6.28</w:t>
            </w:r>
          </w:p>
        </w:tc>
        <w:tc>
          <w:tcPr>
            <w:tcW w:w="855" w:type="dxa"/>
            <w:vAlign w:val="center"/>
          </w:tcPr>
          <w:p w14:paraId="75A55E2F"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40</w:t>
            </w:r>
          </w:p>
        </w:tc>
        <w:tc>
          <w:tcPr>
            <w:tcW w:w="1129" w:type="dxa"/>
            <w:vAlign w:val="center"/>
          </w:tcPr>
          <w:p w14:paraId="641B3578"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4%</w:t>
            </w:r>
          </w:p>
        </w:tc>
        <w:tc>
          <w:tcPr>
            <w:tcW w:w="1134" w:type="dxa"/>
            <w:vAlign w:val="center"/>
          </w:tcPr>
          <w:p w14:paraId="02DF3B4D"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&lt;EndNote&gt;&lt;Cite&gt;&lt;Author&gt;Dutta&lt;/Author&gt;&lt;Year&gt;2024&lt;/Year&gt;&lt;RecNum&gt;494&lt;/RecNum&gt;&lt;DisplayText&gt;&lt;style face="superscript"&gt;29&lt;/style&gt;&lt;/DisplayText&gt;&lt;record&gt;&lt;rec-number&gt;494&lt;/rec-number&gt;&lt;foreign-keys&gt;&lt;key app="EN" db-id="s5z2zsz04waeexe29v3pzvfl2x5z0s5f0vvs" timestamp="1717945011"&gt;494&lt;/key&gt;&lt;/foreign-keys&gt;&lt;ref-type name="Journal Article"&gt;17&lt;/ref-type&gt;&lt;contributors&gt;&lt;authors&gt;&lt;author&gt;Dutta, Biswanath&lt;/author&gt;&lt;author&gt;Wildfire, Christina&lt;/author&gt;&lt;author&gt;Shekhawat, Dushyant&lt;/author&gt;&lt;/authors&gt;&lt;/contributors&gt;&lt;titles&gt;&lt;title&gt;Microwave-assisted ammonia decomposition over metal nitride catalysts at low temperatures&lt;/title&gt;&lt;secondary-title&gt;International Journal of Hydrogen Energy&lt;/secondary-title&gt;&lt;/titles&gt;&lt;periodical&gt;&lt;full-title&gt;International Journal of Hydrogen Energy&lt;/full-title&gt;&lt;abbr-1&gt;Int. J. Hydrog. Energy&lt;/abbr-1&gt;&lt;abbr-2&gt;Int J Hydrog Energy&lt;/abbr-2&gt;&lt;/periodical&gt;&lt;pages&gt;652-660&lt;/pages&gt;&lt;volume&gt;72&lt;/volume&gt;&lt;keywords&gt;&lt;keyword&gt;Ammonia decomposition&lt;/keyword&gt;&lt;keyword&gt;Microwave catalysis&lt;/keyword&gt;&lt;keyword&gt;Mixed metal nitride&lt;/keyword&gt;&lt;keyword&gt;And heterogeneous catalysis&lt;/keyword&gt;&lt;/keywords&gt;&lt;dates&gt;&lt;year&gt;2024&lt;/year&gt;&lt;pub-dates&gt;&lt;date&gt;2024/06/27/&lt;/date&gt;&lt;/pub-dates&gt;&lt;/dates&gt;&lt;isbn&gt;0360-3199&lt;/isbn&gt;&lt;urls&gt;&lt;related-urls&gt;&lt;url&gt;https://www.sciencedirect.com/science/article/pii/S0360319924020895&lt;/url&gt;&lt;/related-urls&gt;&lt;/urls&gt;&lt;electronic-resource-num&gt;https://doi.org/10.1016/j.ijhydene.2024.05.379&lt;/electronic-resource-num&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29</w:t>
            </w:r>
            <w:r>
              <w:rPr>
                <w:rFonts w:eastAsiaTheme="minorEastAsia" w:cs="Times New Roman"/>
                <w:color w:val="000000"/>
                <w:sz w:val="22"/>
                <w:szCs w:val="22"/>
                <w:lang w:eastAsia="zh-CN"/>
              </w:rPr>
              <w:fldChar w:fldCharType="end"/>
            </w:r>
          </w:p>
        </w:tc>
      </w:tr>
      <w:tr w:rsidR="00092E5F" w14:paraId="51D249C7" w14:textId="77777777">
        <w:tc>
          <w:tcPr>
            <w:tcW w:w="1277" w:type="dxa"/>
            <w:tcBorders>
              <w:bottom w:val="single" w:sz="4" w:space="0" w:color="auto"/>
            </w:tcBorders>
            <w:vAlign w:val="center"/>
          </w:tcPr>
          <w:p w14:paraId="21B19F3D"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Thermal</w:t>
            </w:r>
          </w:p>
        </w:tc>
        <w:tc>
          <w:tcPr>
            <w:tcW w:w="1417" w:type="dxa"/>
            <w:tcBorders>
              <w:bottom w:val="single" w:sz="4" w:space="0" w:color="auto"/>
            </w:tcBorders>
            <w:vAlign w:val="center"/>
          </w:tcPr>
          <w:p w14:paraId="36369E88" w14:textId="77777777" w:rsidR="00092E5F" w:rsidRDefault="00000000">
            <w:pPr>
              <w:spacing w:line="360" w:lineRule="auto"/>
              <w:jc w:val="center"/>
              <w:rPr>
                <w:rFonts w:eastAsiaTheme="minorEastAsia" w:cs="Times New Roman"/>
                <w:color w:val="000000"/>
                <w:sz w:val="22"/>
                <w:szCs w:val="22"/>
                <w:lang w:eastAsia="zh-CN"/>
              </w:rPr>
            </w:pPr>
            <w:proofErr w:type="spellStart"/>
            <w:r>
              <w:rPr>
                <w:rFonts w:eastAsiaTheme="minorEastAsia" w:cs="Times New Roman"/>
                <w:color w:val="000000"/>
                <w:sz w:val="22"/>
                <w:szCs w:val="22"/>
                <w:lang w:eastAsia="zh-CN"/>
              </w:rPr>
              <w:t>MoMgAl</w:t>
            </w:r>
            <w:proofErr w:type="spellEnd"/>
            <w:r>
              <w:rPr>
                <w:rFonts w:eastAsiaTheme="minorEastAsia" w:cs="Times New Roman"/>
                <w:color w:val="000000"/>
                <w:sz w:val="22"/>
                <w:szCs w:val="22"/>
                <w:lang w:eastAsia="zh-CN"/>
              </w:rPr>
              <w:t>-N</w:t>
            </w:r>
          </w:p>
        </w:tc>
        <w:tc>
          <w:tcPr>
            <w:tcW w:w="992" w:type="dxa"/>
            <w:tcBorders>
              <w:bottom w:val="single" w:sz="4" w:space="0" w:color="auto"/>
            </w:tcBorders>
            <w:vAlign w:val="center"/>
          </w:tcPr>
          <w:p w14:paraId="686CAA29"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25</w:t>
            </w:r>
          </w:p>
        </w:tc>
        <w:tc>
          <w:tcPr>
            <w:tcW w:w="1366" w:type="dxa"/>
            <w:tcBorders>
              <w:bottom w:val="single" w:sz="4" w:space="0" w:color="auto"/>
            </w:tcBorders>
            <w:vAlign w:val="center"/>
          </w:tcPr>
          <w:p w14:paraId="2BC8D02C"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99%</w:t>
            </w:r>
          </w:p>
        </w:tc>
        <w:tc>
          <w:tcPr>
            <w:tcW w:w="907" w:type="dxa"/>
            <w:tcBorders>
              <w:bottom w:val="single" w:sz="4" w:space="0" w:color="auto"/>
            </w:tcBorders>
            <w:vAlign w:val="center"/>
          </w:tcPr>
          <w:p w14:paraId="51E6E354"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0.03</w:t>
            </w:r>
          </w:p>
        </w:tc>
        <w:tc>
          <w:tcPr>
            <w:tcW w:w="855" w:type="dxa"/>
            <w:tcBorders>
              <w:bottom w:val="single" w:sz="4" w:space="0" w:color="auto"/>
            </w:tcBorders>
            <w:vAlign w:val="center"/>
          </w:tcPr>
          <w:p w14:paraId="21ABE1F6"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100</w:t>
            </w:r>
            <w:r>
              <w:rPr>
                <w:rFonts w:eastAsiaTheme="minorEastAsia" w:cs="Times New Roman"/>
                <w:color w:val="000000"/>
                <w:sz w:val="22"/>
                <w:szCs w:val="22"/>
                <w:vertAlign w:val="superscript"/>
                <w:lang w:eastAsia="zh-CN"/>
              </w:rPr>
              <w:t>b</w:t>
            </w:r>
          </w:p>
        </w:tc>
        <w:tc>
          <w:tcPr>
            <w:tcW w:w="1129" w:type="dxa"/>
            <w:tcBorders>
              <w:bottom w:val="single" w:sz="4" w:space="0" w:color="auto"/>
            </w:tcBorders>
            <w:vAlign w:val="center"/>
          </w:tcPr>
          <w:p w14:paraId="5A08690A"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t>7%</w:t>
            </w:r>
          </w:p>
        </w:tc>
        <w:tc>
          <w:tcPr>
            <w:tcW w:w="1134" w:type="dxa"/>
            <w:tcBorders>
              <w:bottom w:val="single" w:sz="4" w:space="0" w:color="auto"/>
            </w:tcBorders>
            <w:vAlign w:val="center"/>
          </w:tcPr>
          <w:p w14:paraId="0FB29A33" w14:textId="77777777" w:rsidR="00092E5F" w:rsidRDefault="00000000">
            <w:pPr>
              <w:spacing w:line="360" w:lineRule="auto"/>
              <w:jc w:val="center"/>
              <w:rPr>
                <w:rFonts w:eastAsiaTheme="minorEastAsia" w:cs="Times New Roman"/>
                <w:color w:val="000000"/>
                <w:sz w:val="22"/>
                <w:szCs w:val="22"/>
                <w:lang w:eastAsia="zh-CN"/>
              </w:rPr>
            </w:pPr>
            <w:r>
              <w:rPr>
                <w:rFonts w:eastAsiaTheme="minorEastAsia" w:cs="Times New Roman"/>
                <w:color w:val="000000"/>
                <w:sz w:val="22"/>
                <w:szCs w:val="22"/>
                <w:lang w:eastAsia="zh-CN"/>
              </w:rPr>
              <w:fldChar w:fldCharType="begin"/>
            </w:r>
            <w:r>
              <w:rPr>
                <w:rFonts w:eastAsiaTheme="minorEastAsia" w:cs="Times New Roman"/>
                <w:color w:val="000000"/>
                <w:sz w:val="22"/>
                <w:szCs w:val="22"/>
                <w:lang w:eastAsia="zh-CN"/>
              </w:rPr>
              <w:instrText xml:space="preserve"> ADDIN EN.CITE &lt;EndNote&gt;&lt;Cite&gt;&lt;Author&gt;Wei&lt;/Author&gt;&lt;Year&gt;2024&lt;/Year&gt;&lt;RecNum&gt;495&lt;/RecNum&gt;&lt;DisplayText&gt;&lt;style face="superscript"&gt;30&lt;/style&gt;&lt;/DisplayText&gt;&lt;record&gt;&lt;rec-number&gt;495&lt;/rec-number&gt;&lt;foreign-keys&gt;&lt;key app="EN" db-id="s5z2zsz04waeexe29v3pzvfl2x5z0s5f0vvs" timestamp="1717945026"&gt;495&lt;/key&gt;&lt;/foreign-keys&gt;&lt;ref-type name="Journal Article"&gt;17&lt;/ref-type&gt;&lt;contributors&gt;&lt;authors&gt;&lt;author&gt;Wei, Xiaofeng&lt;/author&gt;&lt;author&gt;Su, Jiaxin&lt;/author&gt;&lt;author&gt;Xie, Guanbao&lt;/author&gt;&lt;author&gt;Lian, Minli&lt;/author&gt;&lt;author&gt;Huang, Hongyang&lt;/author&gt;&lt;author&gt;Chen, Chongqi&lt;/author&gt;&lt;author&gt;Luo, Yu&lt;/author&gt;&lt;author&gt;Li, Dalin&lt;/author&gt;&lt;author&gt;Jiang, Lilong&lt;/author&gt;&lt;/authors&gt;&lt;/contributors&gt;&lt;titles&gt;&lt;title&gt;Supported highly dispersed molybdenum nitride derived from molybdate-intercalated Mg‒Al hydrotalcite-like compounds as a catalyst for ammonia decomposition&lt;/title&gt;&lt;secondary-title&gt;Molecular Catalysis&lt;/secondary-title&gt;&lt;/titles&gt;&lt;periodical&gt;&lt;full-title&gt;Molecular Catalysis&lt;/full-title&gt;&lt;/periodical&gt;&lt;pages&gt;114201&lt;/pages&gt;&lt;volume&gt;562&lt;/volume&gt;&lt;keywords&gt;&lt;keyword&gt;Catalytic ammonia decomposition&lt;/keyword&gt;&lt;keyword&gt;Hydrogen production&lt;/keyword&gt;&lt;keyword&gt;Molybdenum nitride&lt;/keyword&gt;&lt;keyword&gt;Hydrotalcite-like compounds&lt;/keyword&gt;&lt;/keywords&gt;&lt;dates&gt;&lt;year&gt;2024&lt;/year&gt;&lt;pub-dates&gt;&lt;date&gt;2024/06/01/&lt;/date&gt;&lt;/pub-dates&gt;&lt;/dates&gt;&lt;isbn&gt;2468-8231&lt;/isbn&gt;&lt;urls&gt;&lt;related-urls&gt;&lt;url&gt;https://www.sciencedirect.com/science/article/pii/S2468823124003845&lt;/url&gt;&lt;/related-urls&gt;&lt;/urls&gt;&lt;electronic-resource-num&gt;https://doi.org/10.1016/j.mcat.2024.114201&lt;/electronic-resource-num&gt;&lt;/record&gt;&lt;/Cite&gt;&lt;/EndNote&gt;</w:instrText>
            </w:r>
            <w:r>
              <w:rPr>
                <w:rFonts w:eastAsiaTheme="minorEastAsia" w:cs="Times New Roman"/>
                <w:color w:val="000000"/>
                <w:sz w:val="22"/>
                <w:szCs w:val="22"/>
                <w:lang w:eastAsia="zh-CN"/>
              </w:rPr>
              <w:fldChar w:fldCharType="separate"/>
            </w:r>
            <w:r>
              <w:rPr>
                <w:rFonts w:eastAsiaTheme="minorEastAsia" w:cs="Times New Roman"/>
                <w:color w:val="000000"/>
                <w:sz w:val="22"/>
                <w:szCs w:val="22"/>
                <w:vertAlign w:val="superscript"/>
                <w:lang w:eastAsia="zh-CN"/>
              </w:rPr>
              <w:t>30</w:t>
            </w:r>
            <w:r>
              <w:rPr>
                <w:rFonts w:eastAsiaTheme="minorEastAsia" w:cs="Times New Roman"/>
                <w:color w:val="000000"/>
                <w:sz w:val="22"/>
                <w:szCs w:val="22"/>
                <w:lang w:eastAsia="zh-CN"/>
              </w:rPr>
              <w:fldChar w:fldCharType="end"/>
            </w:r>
          </w:p>
        </w:tc>
      </w:tr>
    </w:tbl>
    <w:p w14:paraId="0B653A6D" w14:textId="77777777" w:rsidR="00092E5F" w:rsidRDefault="00092E5F">
      <w:pPr>
        <w:spacing w:line="360" w:lineRule="auto"/>
        <w:rPr>
          <w:lang w:val="en-US"/>
        </w:rPr>
      </w:pPr>
    </w:p>
    <w:p w14:paraId="457F26FD" w14:textId="77777777" w:rsidR="00092E5F" w:rsidRDefault="00000000">
      <w:pPr>
        <w:spacing w:line="360" w:lineRule="auto"/>
        <w:jc w:val="both"/>
        <w:rPr>
          <w:rFonts w:cs="Times New Roman"/>
          <w:lang w:val="en-US"/>
        </w:rPr>
      </w:pPr>
      <w:proofErr w:type="gramStart"/>
      <w:r>
        <w:rPr>
          <w:rFonts w:cs="Times New Roman"/>
          <w:vertAlign w:val="superscript"/>
          <w:lang w:val="en-US"/>
        </w:rPr>
        <w:t>a</w:t>
      </w:r>
      <w:r>
        <w:rPr>
          <w:rFonts w:cs="Times New Roman"/>
          <w:lang w:val="en-US"/>
        </w:rPr>
        <w:t xml:space="preserve"> Volume</w:t>
      </w:r>
      <w:proofErr w:type="gramEnd"/>
      <w:r>
        <w:rPr>
          <w:rFonts w:cs="Times New Roman"/>
          <w:lang w:val="en-US"/>
        </w:rPr>
        <w:t xml:space="preserve"> was calculated based on the catalyst mass and density of the support material. </w:t>
      </w:r>
    </w:p>
    <w:p w14:paraId="3A078503" w14:textId="77777777" w:rsidR="00092E5F" w:rsidRDefault="00000000">
      <w:pPr>
        <w:spacing w:line="360" w:lineRule="auto"/>
        <w:jc w:val="both"/>
        <w:rPr>
          <w:rFonts w:cs="Times New Roman"/>
          <w:lang w:val="en-US"/>
        </w:rPr>
      </w:pPr>
      <w:r>
        <w:rPr>
          <w:rFonts w:cs="Times New Roman"/>
          <w:vertAlign w:val="superscript"/>
          <w:lang w:val="en-US"/>
        </w:rPr>
        <w:t xml:space="preserve">b </w:t>
      </w:r>
      <w:proofErr w:type="gramStart"/>
      <w:r>
        <w:rPr>
          <w:rFonts w:cs="Times New Roman"/>
          <w:lang w:val="en-US"/>
        </w:rPr>
        <w:t>For</w:t>
      </w:r>
      <w:proofErr w:type="gramEnd"/>
      <w:r>
        <w:rPr>
          <w:rFonts w:cs="Times New Roman"/>
          <w:lang w:val="en-US"/>
        </w:rPr>
        <w:t xml:space="preserve"> thermal-catalytic systems, activity data at 450-500 ºC were taken and the energy input was assumed to be 100 W for the furnace to reach and maintain that temperature. This energy input is based on the performance of our </w:t>
      </w:r>
      <w:proofErr w:type="spellStart"/>
      <w:r>
        <w:rPr>
          <w:rFonts w:cs="Times New Roman"/>
          <w:lang w:val="en-US"/>
        </w:rPr>
        <w:t>ThermConcept</w:t>
      </w:r>
      <w:proofErr w:type="spellEnd"/>
      <w:r>
        <w:rPr>
          <w:rFonts w:cs="Times New Roman"/>
          <w:lang w:val="en-US"/>
        </w:rPr>
        <w:t xml:space="preserve"> ROK 70/250/11-S tube furnace, which has a power rating of 1 kW but uses only about 10% of that when operating at 500 ºC. </w:t>
      </w:r>
    </w:p>
    <w:p w14:paraId="4D869A68" w14:textId="77777777" w:rsidR="00092E5F" w:rsidRDefault="00000000">
      <w:pPr>
        <w:spacing w:line="360" w:lineRule="auto"/>
        <w:jc w:val="both"/>
        <w:rPr>
          <w:rFonts w:cs="Times New Roman"/>
          <w:lang w:val="en-US"/>
        </w:rPr>
      </w:pPr>
      <w:r>
        <w:rPr>
          <w:rFonts w:cs="Times New Roman"/>
          <w:vertAlign w:val="superscript"/>
          <w:lang w:val="en-US"/>
        </w:rPr>
        <w:t xml:space="preserve">c </w:t>
      </w:r>
      <w:r>
        <w:rPr>
          <w:rFonts w:cs="Times New Roman"/>
          <w:lang w:val="en-US"/>
        </w:rPr>
        <w:t>Power input was calculated from the flow rate of NH</w:t>
      </w:r>
      <w:r>
        <w:rPr>
          <w:rFonts w:cs="Times New Roman"/>
          <w:vertAlign w:val="subscript"/>
          <w:lang w:val="en-US"/>
        </w:rPr>
        <w:t>3</w:t>
      </w:r>
      <w:r>
        <w:rPr>
          <w:rFonts w:cs="Times New Roman"/>
          <w:lang w:val="en-US"/>
        </w:rPr>
        <w:t xml:space="preserve"> used as fuel and the lower heating value of NH</w:t>
      </w:r>
      <w:r>
        <w:rPr>
          <w:rFonts w:cs="Times New Roman"/>
          <w:vertAlign w:val="subscript"/>
          <w:lang w:val="en-US"/>
        </w:rPr>
        <w:t>3</w:t>
      </w:r>
      <w:r>
        <w:rPr>
          <w:rFonts w:cs="Times New Roman"/>
          <w:lang w:val="en-US"/>
        </w:rPr>
        <w:t>. Despite the high efficiency, a substantial amount of NO</w:t>
      </w:r>
      <w:r>
        <w:rPr>
          <w:rFonts w:cs="Times New Roman"/>
          <w:vertAlign w:val="subscript"/>
          <w:lang w:val="en-US"/>
        </w:rPr>
        <w:t>x</w:t>
      </w:r>
      <w:r>
        <w:rPr>
          <w:rFonts w:cs="Times New Roman"/>
          <w:lang w:val="en-US"/>
        </w:rPr>
        <w:t xml:space="preserve"> pollutant is released from the ammonia combustion used to generate heat. </w:t>
      </w:r>
    </w:p>
    <w:p w14:paraId="3FDE6B36" w14:textId="77777777" w:rsidR="00092E5F" w:rsidRDefault="00000000">
      <w:pPr>
        <w:spacing w:line="360" w:lineRule="auto"/>
        <w:jc w:val="both"/>
        <w:rPr>
          <w:rFonts w:cs="Times New Roman"/>
          <w:vertAlign w:val="superscript"/>
          <w:lang w:val="en-US"/>
        </w:rPr>
      </w:pPr>
      <w:r>
        <w:rPr>
          <w:rFonts w:cs="Times New Roman"/>
          <w:vertAlign w:val="superscript"/>
          <w:lang w:val="en-US"/>
        </w:rPr>
        <w:t>d</w:t>
      </w:r>
      <w:r>
        <w:rPr>
          <w:rFonts w:cs="Times New Roman"/>
          <w:lang w:val="en-US"/>
        </w:rPr>
        <w:t xml:space="preserve"> Power input was calculated from the flow rate of H</w:t>
      </w:r>
      <w:r>
        <w:rPr>
          <w:rFonts w:cs="Times New Roman"/>
          <w:vertAlign w:val="subscript"/>
          <w:lang w:val="en-US"/>
        </w:rPr>
        <w:t>2</w:t>
      </w:r>
      <w:r>
        <w:rPr>
          <w:rFonts w:cs="Times New Roman"/>
          <w:lang w:val="en-US"/>
        </w:rPr>
        <w:t xml:space="preserve"> used as fuel and the lower heating value of H</w:t>
      </w:r>
      <w:r>
        <w:rPr>
          <w:rFonts w:cs="Times New Roman"/>
          <w:vertAlign w:val="subscript"/>
          <w:lang w:val="en-US"/>
        </w:rPr>
        <w:t>2</w:t>
      </w:r>
      <w:r>
        <w:rPr>
          <w:rFonts w:cs="Times New Roman"/>
          <w:lang w:val="en-US"/>
        </w:rPr>
        <w:t>. Despite the high efficiency, more than half of the product H</w:t>
      </w:r>
      <w:r>
        <w:rPr>
          <w:rFonts w:cs="Times New Roman"/>
          <w:vertAlign w:val="subscript"/>
          <w:lang w:val="en-US"/>
        </w:rPr>
        <w:t>2</w:t>
      </w:r>
      <w:r>
        <w:rPr>
          <w:rFonts w:cs="Times New Roman"/>
          <w:lang w:val="en-US"/>
        </w:rPr>
        <w:t xml:space="preserve"> is required for combustion to generate the process heat. </w:t>
      </w:r>
      <w:r>
        <w:rPr>
          <w:rFonts w:cs="Times New Roman"/>
          <w:vertAlign w:val="superscript"/>
          <w:lang w:val="en-US"/>
        </w:rPr>
        <w:t xml:space="preserve"> </w:t>
      </w:r>
    </w:p>
    <w:p w14:paraId="2C42963C" w14:textId="77777777" w:rsidR="00092E5F" w:rsidRDefault="00092E5F">
      <w:pPr>
        <w:spacing w:line="360" w:lineRule="auto"/>
        <w:jc w:val="both"/>
        <w:rPr>
          <w:rFonts w:cs="Times New Roman"/>
          <w:vertAlign w:val="superscript"/>
          <w:lang w:val="en-US"/>
        </w:rPr>
      </w:pPr>
    </w:p>
    <w:p w14:paraId="57547505" w14:textId="77777777" w:rsidR="00092E5F" w:rsidRDefault="00092E5F">
      <w:pPr>
        <w:spacing w:line="360" w:lineRule="auto"/>
        <w:jc w:val="both"/>
        <w:rPr>
          <w:rFonts w:cs="Times New Roman"/>
          <w:vertAlign w:val="superscript"/>
          <w:lang w:val="en-US"/>
        </w:rPr>
      </w:pPr>
    </w:p>
    <w:p w14:paraId="2C51C500" w14:textId="77777777" w:rsidR="00092E5F" w:rsidRDefault="00092E5F">
      <w:pPr>
        <w:spacing w:line="360" w:lineRule="auto"/>
        <w:jc w:val="both"/>
        <w:rPr>
          <w:rFonts w:cs="Times New Roman"/>
          <w:vertAlign w:val="superscript"/>
          <w:lang w:val="en-US"/>
        </w:rPr>
      </w:pPr>
    </w:p>
    <w:p w14:paraId="7D0E87A3" w14:textId="77777777" w:rsidR="00092E5F" w:rsidRDefault="00092E5F">
      <w:pPr>
        <w:spacing w:line="360" w:lineRule="auto"/>
        <w:jc w:val="both"/>
        <w:rPr>
          <w:rFonts w:cs="Times New Roman"/>
          <w:vertAlign w:val="superscript"/>
          <w:lang w:val="en-US"/>
        </w:rPr>
      </w:pPr>
    </w:p>
    <w:p w14:paraId="2661505D" w14:textId="77777777" w:rsidR="00092E5F" w:rsidRDefault="00092E5F">
      <w:pPr>
        <w:spacing w:line="360" w:lineRule="auto"/>
        <w:jc w:val="both"/>
        <w:rPr>
          <w:rFonts w:cs="Times New Roman"/>
          <w:vertAlign w:val="superscript"/>
          <w:lang w:val="en-US"/>
        </w:rPr>
      </w:pPr>
    </w:p>
    <w:p w14:paraId="177888F2" w14:textId="77777777" w:rsidR="00092E5F" w:rsidRDefault="00092E5F">
      <w:pPr>
        <w:spacing w:line="360" w:lineRule="auto"/>
        <w:jc w:val="both"/>
        <w:rPr>
          <w:rFonts w:cs="Times New Roman"/>
          <w:vertAlign w:val="superscript"/>
          <w:lang w:val="en-US"/>
        </w:rPr>
      </w:pPr>
    </w:p>
    <w:p w14:paraId="26F59ED3" w14:textId="77777777" w:rsidR="00092E5F" w:rsidRDefault="00092E5F">
      <w:pPr>
        <w:spacing w:line="360" w:lineRule="auto"/>
        <w:jc w:val="both"/>
        <w:rPr>
          <w:rFonts w:cs="Times New Roman"/>
          <w:vertAlign w:val="superscript"/>
          <w:lang w:val="en-US"/>
        </w:rPr>
      </w:pPr>
    </w:p>
    <w:p w14:paraId="5E9CC73A" w14:textId="77777777" w:rsidR="00092E5F" w:rsidRDefault="00092E5F">
      <w:pPr>
        <w:spacing w:line="360" w:lineRule="auto"/>
        <w:jc w:val="both"/>
        <w:rPr>
          <w:rFonts w:cs="Times New Roman"/>
          <w:vertAlign w:val="superscript"/>
          <w:lang w:val="en-US"/>
        </w:rPr>
      </w:pPr>
    </w:p>
    <w:p w14:paraId="25991C49" w14:textId="77777777" w:rsidR="00092E5F" w:rsidRDefault="00092E5F">
      <w:pPr>
        <w:spacing w:line="360" w:lineRule="auto"/>
        <w:jc w:val="both"/>
        <w:rPr>
          <w:rFonts w:cs="Times New Roman"/>
          <w:vertAlign w:val="superscript"/>
          <w:lang w:val="en-US"/>
        </w:rPr>
      </w:pPr>
    </w:p>
    <w:p w14:paraId="689BF2C5" w14:textId="77777777" w:rsidR="00092E5F" w:rsidRDefault="00000000">
      <w:pPr>
        <w:pStyle w:val="Heading3"/>
        <w:rPr>
          <w:lang w:val="en-US"/>
        </w:rPr>
      </w:pPr>
      <w:bookmarkStart w:id="35" w:name="_Toc182485408"/>
      <w:r>
        <w:rPr>
          <w:lang w:val="en-US"/>
        </w:rPr>
        <w:lastRenderedPageBreak/>
        <w:t>Table S3. Comparison of tube arrangements in multi-tubular model.</w:t>
      </w:r>
      <w:bookmarkEnd w:id="35"/>
    </w:p>
    <w:p w14:paraId="3EF7BC1D" w14:textId="77777777" w:rsidR="00092E5F" w:rsidRDefault="00092E5F">
      <w:pPr>
        <w:rPr>
          <w:lang w:val="en-US"/>
        </w:rPr>
      </w:pPr>
    </w:p>
    <w:tbl>
      <w:tblPr>
        <w:tblStyle w:val="TableGrid"/>
        <w:tblW w:w="9067" w:type="dxa"/>
        <w:tblLook w:val="04A0" w:firstRow="1" w:lastRow="0" w:firstColumn="1" w:lastColumn="0" w:noHBand="0" w:noVBand="1"/>
      </w:tblPr>
      <w:tblGrid>
        <w:gridCol w:w="1830"/>
        <w:gridCol w:w="3576"/>
        <w:gridCol w:w="3661"/>
      </w:tblGrid>
      <w:tr w:rsidR="00092E5F" w14:paraId="383EDC9B" w14:textId="77777777">
        <w:tc>
          <w:tcPr>
            <w:tcW w:w="1980" w:type="dxa"/>
          </w:tcPr>
          <w:p w14:paraId="69A625CE" w14:textId="77777777" w:rsidR="00092E5F" w:rsidRDefault="00092E5F">
            <w:pPr>
              <w:spacing w:line="360" w:lineRule="auto"/>
              <w:jc w:val="both"/>
              <w:rPr>
                <w:rFonts w:eastAsiaTheme="minorEastAsia" w:cs="Times New Roman"/>
              </w:rPr>
            </w:pPr>
          </w:p>
        </w:tc>
        <w:tc>
          <w:tcPr>
            <w:tcW w:w="3402" w:type="dxa"/>
          </w:tcPr>
          <w:p w14:paraId="26055057" w14:textId="77777777" w:rsidR="00092E5F" w:rsidRDefault="00000000">
            <w:pPr>
              <w:spacing w:line="360" w:lineRule="auto"/>
              <w:jc w:val="both"/>
              <w:rPr>
                <w:rFonts w:eastAsiaTheme="minorEastAsia" w:cs="Times New Roman"/>
              </w:rPr>
            </w:pPr>
            <w:r>
              <w:rPr>
                <w:rFonts w:eastAsiaTheme="minorEastAsia" w:cs="Times New Roman"/>
              </w:rPr>
              <w:t>Square array</w:t>
            </w:r>
          </w:p>
        </w:tc>
        <w:tc>
          <w:tcPr>
            <w:tcW w:w="3685" w:type="dxa"/>
          </w:tcPr>
          <w:p w14:paraId="3EA76E4A" w14:textId="77777777" w:rsidR="00092E5F" w:rsidRDefault="00000000">
            <w:pPr>
              <w:spacing w:line="360" w:lineRule="auto"/>
              <w:jc w:val="both"/>
              <w:rPr>
                <w:rFonts w:eastAsiaTheme="minorEastAsia" w:cs="Times New Roman"/>
              </w:rPr>
            </w:pPr>
            <w:r>
              <w:rPr>
                <w:rFonts w:eastAsiaTheme="minorEastAsia" w:cs="Times New Roman"/>
              </w:rPr>
              <w:t>Triangular array</w:t>
            </w:r>
          </w:p>
        </w:tc>
      </w:tr>
      <w:tr w:rsidR="00092E5F" w14:paraId="3DD821E8" w14:textId="77777777">
        <w:tc>
          <w:tcPr>
            <w:tcW w:w="1980" w:type="dxa"/>
          </w:tcPr>
          <w:p w14:paraId="5EA20A56" w14:textId="77777777" w:rsidR="00092E5F" w:rsidRDefault="00000000">
            <w:pPr>
              <w:spacing w:line="360" w:lineRule="auto"/>
              <w:jc w:val="both"/>
              <w:rPr>
                <w:rFonts w:eastAsiaTheme="minorEastAsia" w:cs="Times New Roman"/>
                <w14:ligatures w14:val="none"/>
              </w:rPr>
            </w:pPr>
            <w:r>
              <w:rPr>
                <w:rFonts w:eastAsiaTheme="minorEastAsia" w:cs="Times New Roman"/>
                <w14:ligatures w14:val="none"/>
              </w:rPr>
              <w:t>Temperature distribution (K)</w:t>
            </w:r>
          </w:p>
        </w:tc>
        <w:tc>
          <w:tcPr>
            <w:tcW w:w="3402" w:type="dxa"/>
          </w:tcPr>
          <w:p w14:paraId="097371E4" w14:textId="77777777" w:rsidR="00092E5F" w:rsidRDefault="00000000">
            <w:pPr>
              <w:spacing w:line="360" w:lineRule="auto"/>
              <w:jc w:val="both"/>
              <w:rPr>
                <w:rFonts w:eastAsiaTheme="minorEastAsia" w:cs="Times New Roman"/>
              </w:rPr>
            </w:pPr>
            <w:r>
              <w:rPr>
                <w:rFonts w:eastAsiaTheme="minorEastAsia" w:cs="Times New Roman"/>
                <w:noProof/>
                <w14:ligatures w14:val="none"/>
              </w:rPr>
              <w:drawing>
                <wp:inline distT="0" distB="0" distL="0" distR="0" wp14:anchorId="56EADD77" wp14:editId="0B3EFA05">
                  <wp:extent cx="2129790" cy="1840865"/>
                  <wp:effectExtent l="0" t="0" r="3810" b="635"/>
                  <wp:docPr id="919351614" name="Picture 7" descr="A red and black circle patter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351614" name="Picture 7" descr="A red and black circle pattern&#10;&#10;AI-generated content may be incorrect."/>
                          <pic:cNvPicPr>
                            <a:picLocks noChangeAspect="1"/>
                          </pic:cNvPicPr>
                        </pic:nvPicPr>
                        <pic:blipFill>
                          <a:blip r:embed="rId35" cstate="print">
                            <a:extLst>
                              <a:ext uri="{28A0092B-C50C-407E-A947-70E740481C1C}">
                                <a14:useLocalDpi xmlns:a14="http://schemas.microsoft.com/office/drawing/2010/main" val="0"/>
                              </a:ext>
                            </a:extLst>
                          </a:blip>
                          <a:srcRect l="25373" t="4127"/>
                          <a:stretch>
                            <a:fillRect/>
                          </a:stretch>
                        </pic:blipFill>
                        <pic:spPr>
                          <a:xfrm>
                            <a:off x="0" y="0"/>
                            <a:ext cx="2160030" cy="1867039"/>
                          </a:xfrm>
                          <a:prstGeom prst="rect">
                            <a:avLst/>
                          </a:prstGeom>
                          <a:ln>
                            <a:noFill/>
                          </a:ln>
                        </pic:spPr>
                      </pic:pic>
                    </a:graphicData>
                  </a:graphic>
                </wp:inline>
              </w:drawing>
            </w:r>
          </w:p>
        </w:tc>
        <w:tc>
          <w:tcPr>
            <w:tcW w:w="3685" w:type="dxa"/>
          </w:tcPr>
          <w:p w14:paraId="675187EB" w14:textId="77777777" w:rsidR="00092E5F" w:rsidRDefault="00000000">
            <w:pPr>
              <w:spacing w:line="360" w:lineRule="auto"/>
              <w:jc w:val="center"/>
              <w:rPr>
                <w:rFonts w:eastAsiaTheme="minorEastAsia" w:cs="Times New Roman"/>
              </w:rPr>
            </w:pPr>
            <w:r>
              <w:rPr>
                <w:rFonts w:eastAsiaTheme="minorEastAsia" w:cs="Times New Roman"/>
                <w:noProof/>
                <w14:ligatures w14:val="none"/>
              </w:rPr>
              <w:drawing>
                <wp:inline distT="0" distB="0" distL="0" distR="0" wp14:anchorId="0A0A58DA" wp14:editId="49FF5E2A">
                  <wp:extent cx="2140585" cy="1810385"/>
                  <wp:effectExtent l="0" t="0" r="5715" b="5715"/>
                  <wp:docPr id="20143008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30089" name="Picture 6"/>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163965" cy="1830564"/>
                          </a:xfrm>
                          <a:prstGeom prst="rect">
                            <a:avLst/>
                          </a:prstGeom>
                        </pic:spPr>
                      </pic:pic>
                    </a:graphicData>
                  </a:graphic>
                </wp:inline>
              </w:drawing>
            </w:r>
          </w:p>
        </w:tc>
      </w:tr>
      <w:tr w:rsidR="00092E5F" w14:paraId="343597E3" w14:textId="77777777">
        <w:tc>
          <w:tcPr>
            <w:tcW w:w="1980" w:type="dxa"/>
          </w:tcPr>
          <w:p w14:paraId="27998B76" w14:textId="77777777" w:rsidR="00092E5F" w:rsidRDefault="00000000">
            <w:pPr>
              <w:spacing w:line="360" w:lineRule="auto"/>
              <w:jc w:val="both"/>
              <w:rPr>
                <w:rFonts w:eastAsiaTheme="minorEastAsia" w:cs="Times New Roman"/>
              </w:rPr>
            </w:pPr>
            <w:r>
              <w:rPr>
                <w:rFonts w:eastAsiaTheme="minorEastAsia" w:cs="Times New Roman"/>
              </w:rPr>
              <w:t>Conversion (%)</w:t>
            </w:r>
          </w:p>
        </w:tc>
        <w:tc>
          <w:tcPr>
            <w:tcW w:w="3402" w:type="dxa"/>
          </w:tcPr>
          <w:p w14:paraId="488800F6" w14:textId="77777777" w:rsidR="00092E5F" w:rsidRDefault="00000000">
            <w:pPr>
              <w:spacing w:line="360" w:lineRule="auto"/>
              <w:jc w:val="both"/>
              <w:rPr>
                <w:rFonts w:eastAsiaTheme="minorEastAsia" w:cs="Times New Roman"/>
              </w:rPr>
            </w:pPr>
            <w:r>
              <w:rPr>
                <w:rFonts w:eastAsiaTheme="minorEastAsia" w:cs="Times New Roman"/>
              </w:rPr>
              <w:t>92.16</w:t>
            </w:r>
          </w:p>
        </w:tc>
        <w:tc>
          <w:tcPr>
            <w:tcW w:w="3685" w:type="dxa"/>
          </w:tcPr>
          <w:p w14:paraId="3A9D00D4" w14:textId="77777777" w:rsidR="00092E5F" w:rsidRDefault="00000000">
            <w:pPr>
              <w:spacing w:line="360" w:lineRule="auto"/>
              <w:jc w:val="both"/>
              <w:rPr>
                <w:rFonts w:eastAsiaTheme="minorEastAsia" w:cs="Times New Roman"/>
              </w:rPr>
            </w:pPr>
            <w:r>
              <w:rPr>
                <w:rFonts w:eastAsiaTheme="minorEastAsia" w:cs="Times New Roman"/>
              </w:rPr>
              <w:t>96.76</w:t>
            </w:r>
          </w:p>
        </w:tc>
      </w:tr>
      <w:tr w:rsidR="00092E5F" w14:paraId="4DCBFE17" w14:textId="77777777">
        <w:tc>
          <w:tcPr>
            <w:tcW w:w="1980" w:type="dxa"/>
          </w:tcPr>
          <w:p w14:paraId="2B5EAD45" w14:textId="77777777" w:rsidR="00092E5F" w:rsidRDefault="00000000">
            <w:pPr>
              <w:spacing w:line="360" w:lineRule="auto"/>
              <w:jc w:val="both"/>
              <w:rPr>
                <w:rFonts w:eastAsiaTheme="minorEastAsia" w:cs="Times New Roman"/>
              </w:rPr>
            </w:pPr>
            <w:r>
              <w:rPr>
                <w:rFonts w:eastAsiaTheme="minorEastAsia" w:cs="Times New Roman"/>
              </w:rPr>
              <w:t>Wall temperature (K)</w:t>
            </w:r>
          </w:p>
        </w:tc>
        <w:tc>
          <w:tcPr>
            <w:tcW w:w="3402" w:type="dxa"/>
          </w:tcPr>
          <w:p w14:paraId="6A29F885" w14:textId="77777777" w:rsidR="00092E5F" w:rsidRDefault="00000000">
            <w:pPr>
              <w:spacing w:line="360" w:lineRule="auto"/>
              <w:jc w:val="both"/>
              <w:rPr>
                <w:rFonts w:eastAsiaTheme="minorEastAsia" w:cs="Times New Roman"/>
              </w:rPr>
            </w:pPr>
            <w:r>
              <w:rPr>
                <w:rFonts w:eastAsiaTheme="minorEastAsia" w:cs="Times New Roman"/>
              </w:rPr>
              <w:t>1032</w:t>
            </w:r>
          </w:p>
        </w:tc>
        <w:tc>
          <w:tcPr>
            <w:tcW w:w="3685" w:type="dxa"/>
          </w:tcPr>
          <w:p w14:paraId="366EA566" w14:textId="77777777" w:rsidR="00092E5F" w:rsidRDefault="00000000">
            <w:pPr>
              <w:spacing w:line="360" w:lineRule="auto"/>
              <w:jc w:val="both"/>
              <w:rPr>
                <w:rFonts w:eastAsiaTheme="minorEastAsia" w:cs="Times New Roman"/>
              </w:rPr>
            </w:pPr>
            <w:r>
              <w:rPr>
                <w:rFonts w:eastAsiaTheme="minorEastAsia" w:cs="Times New Roman"/>
              </w:rPr>
              <w:t>1035</w:t>
            </w:r>
          </w:p>
        </w:tc>
      </w:tr>
      <w:tr w:rsidR="00092E5F" w14:paraId="3BA6EFF8" w14:textId="77777777">
        <w:tc>
          <w:tcPr>
            <w:tcW w:w="1980" w:type="dxa"/>
          </w:tcPr>
          <w:p w14:paraId="0DDCFA56" w14:textId="77777777" w:rsidR="00092E5F" w:rsidRDefault="00000000">
            <w:pPr>
              <w:spacing w:line="360" w:lineRule="auto"/>
              <w:jc w:val="both"/>
              <w:rPr>
                <w:rFonts w:eastAsiaTheme="minorEastAsia" w:cs="Times New Roman"/>
              </w:rPr>
            </w:pPr>
            <w:r>
              <w:rPr>
                <w:rFonts w:eastAsiaTheme="minorEastAsia" w:cs="Times New Roman"/>
              </w:rPr>
              <w:t>Energy efficiency (%)</w:t>
            </w:r>
          </w:p>
        </w:tc>
        <w:tc>
          <w:tcPr>
            <w:tcW w:w="3402" w:type="dxa"/>
          </w:tcPr>
          <w:p w14:paraId="717C6618" w14:textId="77777777" w:rsidR="00092E5F" w:rsidRDefault="00000000">
            <w:pPr>
              <w:spacing w:line="360" w:lineRule="auto"/>
              <w:jc w:val="both"/>
              <w:rPr>
                <w:rFonts w:eastAsiaTheme="minorEastAsia" w:cs="Times New Roman"/>
              </w:rPr>
            </w:pPr>
            <w:r>
              <w:rPr>
                <w:rFonts w:eastAsiaTheme="minorEastAsia" w:cs="Times New Roman"/>
              </w:rPr>
              <w:t>73.62</w:t>
            </w:r>
          </w:p>
        </w:tc>
        <w:tc>
          <w:tcPr>
            <w:tcW w:w="3685" w:type="dxa"/>
          </w:tcPr>
          <w:p w14:paraId="6F7A233E" w14:textId="77777777" w:rsidR="00092E5F" w:rsidRDefault="00000000">
            <w:pPr>
              <w:spacing w:line="360" w:lineRule="auto"/>
              <w:jc w:val="both"/>
              <w:rPr>
                <w:rFonts w:eastAsiaTheme="minorEastAsia" w:cs="Times New Roman"/>
              </w:rPr>
            </w:pPr>
            <w:r>
              <w:rPr>
                <w:rFonts w:eastAsiaTheme="minorEastAsia" w:cs="Times New Roman"/>
              </w:rPr>
              <w:t>75.83</w:t>
            </w:r>
          </w:p>
        </w:tc>
      </w:tr>
      <w:tr w:rsidR="00092E5F" w14:paraId="0DB24FD4" w14:textId="77777777">
        <w:tc>
          <w:tcPr>
            <w:tcW w:w="1980" w:type="dxa"/>
          </w:tcPr>
          <w:p w14:paraId="1BFD3560" w14:textId="77777777" w:rsidR="00092E5F" w:rsidRDefault="00000000">
            <w:pPr>
              <w:spacing w:line="360" w:lineRule="auto"/>
              <w:jc w:val="both"/>
              <w:rPr>
                <w:rFonts w:eastAsiaTheme="minorEastAsia" w:cs="Times New Roman"/>
              </w:rPr>
            </w:pPr>
            <w:r>
              <w:rPr>
                <w:rFonts w:eastAsiaTheme="minorEastAsia" w:cs="Times New Roman"/>
              </w:rPr>
              <w:t>Volume (m</w:t>
            </w:r>
            <w:r>
              <w:rPr>
                <w:rFonts w:eastAsiaTheme="minorEastAsia" w:cs="Times New Roman"/>
                <w:vertAlign w:val="superscript"/>
              </w:rPr>
              <w:t>3</w:t>
            </w:r>
            <w:r>
              <w:rPr>
                <w:rFonts w:eastAsiaTheme="minorEastAsia" w:cs="Times New Roman"/>
              </w:rPr>
              <w:t>)</w:t>
            </w:r>
          </w:p>
        </w:tc>
        <w:tc>
          <w:tcPr>
            <w:tcW w:w="3402" w:type="dxa"/>
          </w:tcPr>
          <w:p w14:paraId="5BF56ECD" w14:textId="77777777" w:rsidR="00092E5F" w:rsidRDefault="00000000">
            <w:pPr>
              <w:spacing w:line="360" w:lineRule="auto"/>
              <w:jc w:val="both"/>
              <w:rPr>
                <w:rFonts w:eastAsiaTheme="minorEastAsia" w:cs="Times New Roman"/>
              </w:rPr>
            </w:pPr>
            <w:r>
              <w:rPr>
                <w:rFonts w:eastAsiaTheme="minorEastAsia" w:cs="Times New Roman"/>
              </w:rPr>
              <w:t>3.9</w:t>
            </w:r>
          </w:p>
        </w:tc>
        <w:tc>
          <w:tcPr>
            <w:tcW w:w="3685" w:type="dxa"/>
          </w:tcPr>
          <w:p w14:paraId="6D310C50" w14:textId="77777777" w:rsidR="00092E5F" w:rsidRDefault="00000000">
            <w:pPr>
              <w:spacing w:line="360" w:lineRule="auto"/>
              <w:jc w:val="both"/>
              <w:rPr>
                <w:rFonts w:eastAsiaTheme="minorEastAsia" w:cs="Times New Roman"/>
              </w:rPr>
            </w:pPr>
            <w:r>
              <w:rPr>
                <w:rFonts w:eastAsiaTheme="minorEastAsia" w:cs="Times New Roman"/>
              </w:rPr>
              <w:t>3.7</w:t>
            </w:r>
          </w:p>
        </w:tc>
      </w:tr>
    </w:tbl>
    <w:p w14:paraId="41C625D5" w14:textId="77777777" w:rsidR="00092E5F" w:rsidRDefault="00092E5F">
      <w:pPr>
        <w:spacing w:line="360" w:lineRule="auto"/>
        <w:jc w:val="both"/>
        <w:rPr>
          <w:rFonts w:cs="Times New Roman"/>
          <w:lang w:val="en-US"/>
        </w:rPr>
      </w:pPr>
    </w:p>
    <w:p w14:paraId="52C3D1E1" w14:textId="77777777" w:rsidR="00092E5F" w:rsidRDefault="00000000">
      <w:pPr>
        <w:spacing w:line="360" w:lineRule="auto"/>
        <w:jc w:val="both"/>
        <w:rPr>
          <w:rFonts w:cs="Times New Roman"/>
          <w:lang w:val="en-US"/>
        </w:rPr>
      </w:pPr>
      <w:r>
        <w:rPr>
          <w:rFonts w:cs="Times New Roman"/>
          <w:lang w:val="en-US"/>
        </w:rPr>
        <w:t>Results are for a tube of 0.3 cm diameter and 9 cm length, with a power input of around 35 W and inlet velocity of 0.75 m s</w:t>
      </w:r>
      <w:r>
        <w:rPr>
          <w:rFonts w:cs="Times New Roman"/>
          <w:vertAlign w:val="superscript"/>
          <w:lang w:val="en-US"/>
        </w:rPr>
        <w:t>-1</w:t>
      </w:r>
      <w:r>
        <w:rPr>
          <w:rFonts w:cs="Times New Roman"/>
          <w:lang w:val="en-US"/>
        </w:rPr>
        <w:t xml:space="preserve">. The color scale represents </w:t>
      </w:r>
      <w:proofErr w:type="gramStart"/>
      <w:r>
        <w:rPr>
          <w:rFonts w:cs="Times New Roman"/>
          <w:lang w:val="en-US"/>
        </w:rPr>
        <w:t>temperature</w:t>
      </w:r>
      <w:proofErr w:type="gramEnd"/>
      <w:r>
        <w:rPr>
          <w:rFonts w:cs="Times New Roman"/>
          <w:lang w:val="en-US"/>
        </w:rPr>
        <w:t xml:space="preserve"> in Kelvins. Volume was calculated by numbering up the tubes to produce 200 ton</w:t>
      </w:r>
      <w:r>
        <w:rPr>
          <w:rFonts w:cs="Times New Roman"/>
          <w:vertAlign w:val="subscript"/>
          <w:lang w:val="en-US"/>
        </w:rPr>
        <w:t>H2</w:t>
      </w:r>
      <w:r>
        <w:rPr>
          <w:rFonts w:cs="Times New Roman"/>
          <w:lang w:val="en-US"/>
        </w:rPr>
        <w:t xml:space="preserve">/day.  The configuration with the triangular array was chosen as it results in higher conversion and efficiency and a slightly smaller reactor volume. </w:t>
      </w:r>
    </w:p>
    <w:p w14:paraId="3D5787B8" w14:textId="77777777" w:rsidR="00092E5F" w:rsidRDefault="00000000">
      <w:pPr>
        <w:spacing w:line="360" w:lineRule="auto"/>
        <w:rPr>
          <w:rFonts w:cs="Times New Roman"/>
          <w:lang w:val="en-US"/>
        </w:rPr>
      </w:pPr>
      <w:r>
        <w:rPr>
          <w:rFonts w:cs="Times New Roman"/>
          <w:lang w:val="en-US"/>
        </w:rPr>
        <w:br w:type="page"/>
      </w:r>
    </w:p>
    <w:p w14:paraId="61FE75A8" w14:textId="77777777" w:rsidR="00092E5F" w:rsidRDefault="00000000">
      <w:pPr>
        <w:pStyle w:val="Heading1"/>
        <w:spacing w:line="360" w:lineRule="auto"/>
        <w:rPr>
          <w:lang w:val="en-US"/>
        </w:rPr>
      </w:pPr>
      <w:bookmarkStart w:id="36" w:name="_Toc182485409"/>
      <w:r>
        <w:rPr>
          <w:lang w:val="en-US"/>
        </w:rPr>
        <w:lastRenderedPageBreak/>
        <w:t>Supplementary References</w:t>
      </w:r>
      <w:bookmarkEnd w:id="36"/>
    </w:p>
    <w:p w14:paraId="7405FB44" w14:textId="77777777" w:rsidR="00092E5F" w:rsidRDefault="00000000">
      <w:pPr>
        <w:pStyle w:val="EndNoteBibliography"/>
        <w:ind w:left="720" w:hanging="720"/>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t>1</w:t>
      </w:r>
      <w:r>
        <w:tab/>
        <w:t xml:space="preserve">Nakamura, H. &amp; Shindo, M. Effects of radiation heat loss on laminar premixed ammonia/air flames. </w:t>
      </w:r>
      <w:r>
        <w:rPr>
          <w:i/>
        </w:rPr>
        <w:t>Proc. Combust. Inst.</w:t>
      </w:r>
      <w:r>
        <w:t xml:space="preserve"> </w:t>
      </w:r>
      <w:r>
        <w:rPr>
          <w:b/>
        </w:rPr>
        <w:t>37</w:t>
      </w:r>
      <w:r>
        <w:t xml:space="preserve">, 1741-1748 (2019). </w:t>
      </w:r>
      <w:hyperlink r:id="rId37" w:history="1">
        <w:r>
          <w:rPr>
            <w:rStyle w:val="Hyperlink"/>
          </w:rPr>
          <w:t>https://doi.org:10.1016/j.proci.2018.06.138</w:t>
        </w:r>
      </w:hyperlink>
    </w:p>
    <w:p w14:paraId="471B4D53" w14:textId="77777777" w:rsidR="00092E5F" w:rsidRDefault="00000000">
      <w:pPr>
        <w:pStyle w:val="EndNoteBibliography"/>
        <w:ind w:left="720" w:hanging="720"/>
      </w:pPr>
      <w:r>
        <w:t>2</w:t>
      </w:r>
      <w:r>
        <w:tab/>
        <w:t xml:space="preserve">Prasad, V., Karim, A. M., Arya, A. &amp; Vlachos, D. G. Assessment of Overall Rate Expressions and Multiscale, Microkinetic Model Uniqueness via Experimental Data Injection: Ammonia Decomposition on Ru/γ-Al2O3 for Hydrogen Production. </w:t>
      </w:r>
      <w:r>
        <w:rPr>
          <w:i/>
        </w:rPr>
        <w:t>Industrial &amp; Engineering Chemistry Research</w:t>
      </w:r>
      <w:r>
        <w:t xml:space="preserve"> </w:t>
      </w:r>
      <w:r>
        <w:rPr>
          <w:b/>
        </w:rPr>
        <w:t>48</w:t>
      </w:r>
      <w:r>
        <w:t xml:space="preserve">, 5255-5265 (2009). </w:t>
      </w:r>
      <w:hyperlink r:id="rId38" w:history="1">
        <w:r>
          <w:rPr>
            <w:rStyle w:val="Hyperlink"/>
          </w:rPr>
          <w:t>https://doi.org:10.1021/ie900144x</w:t>
        </w:r>
      </w:hyperlink>
    </w:p>
    <w:p w14:paraId="243BB38B" w14:textId="77777777" w:rsidR="00092E5F" w:rsidRDefault="00000000">
      <w:pPr>
        <w:pStyle w:val="EndNoteBibliography"/>
        <w:ind w:left="720" w:hanging="720"/>
      </w:pPr>
      <w:r>
        <w:t>3</w:t>
      </w:r>
      <w:r>
        <w:tab/>
        <w:t xml:space="preserve">Logerais, P. O., Chapron, D., Garnier, J. &amp; Bouteville, A. Validation of a Rapid Thermal Processing model in steady-state. </w:t>
      </w:r>
      <w:r>
        <w:rPr>
          <w:i/>
        </w:rPr>
        <w:t>Microelectron. Eng.</w:t>
      </w:r>
      <w:r>
        <w:t xml:space="preserve"> </w:t>
      </w:r>
      <w:r>
        <w:rPr>
          <w:b/>
        </w:rPr>
        <w:t>85</w:t>
      </w:r>
      <w:r>
        <w:t xml:space="preserve">, 2282-2289 (2008). </w:t>
      </w:r>
      <w:hyperlink r:id="rId39" w:history="1">
        <w:r>
          <w:rPr>
            <w:rStyle w:val="Hyperlink"/>
          </w:rPr>
          <w:t>https://doi.org:10.1016/j.mee.2008.07.012</w:t>
        </w:r>
      </w:hyperlink>
    </w:p>
    <w:p w14:paraId="553DCF46" w14:textId="77777777" w:rsidR="00092E5F" w:rsidRDefault="00000000">
      <w:pPr>
        <w:pStyle w:val="EndNoteBibliography"/>
        <w:ind w:left="720" w:hanging="720"/>
      </w:pPr>
      <w:r>
        <w:t>4</w:t>
      </w:r>
      <w:r>
        <w:tab/>
        <w:t xml:space="preserve">Burgess, J. </w:t>
      </w:r>
      <w:r>
        <w:rPr>
          <w:i/>
        </w:rPr>
        <w:t>Blue, green ammonia prices diverge as electrolysis power prices rise, natural gas falls</w:t>
      </w:r>
      <w:r>
        <w:t>, &lt;</w:t>
      </w:r>
      <w:hyperlink r:id="rId40" w:history="1">
        <w:r>
          <w:rPr>
            <w:rStyle w:val="Hyperlink"/>
          </w:rPr>
          <w:t>https://www.spglobal.com/commodityinsights/en/market-insights/latest-news/energy-transition/031924-blue-green-ammonia-prices-diverge-as-electrolysis-power-prices-rise-natural-gas-falls</w:t>
        </w:r>
      </w:hyperlink>
      <w:r>
        <w:t>&gt; (2024).</w:t>
      </w:r>
    </w:p>
    <w:p w14:paraId="6B5D3926" w14:textId="77777777" w:rsidR="00092E5F" w:rsidRDefault="00000000">
      <w:pPr>
        <w:pStyle w:val="EndNoteBibliography"/>
        <w:ind w:left="720" w:hanging="720"/>
      </w:pPr>
      <w:r>
        <w:t>5</w:t>
      </w:r>
      <w:r>
        <w:tab/>
        <w:t xml:space="preserve">Makhloufi, C. &amp; Kezibri, N. Large-scale decomposition of green ammonia for pure hydrogen production. </w:t>
      </w:r>
      <w:r>
        <w:rPr>
          <w:i/>
        </w:rPr>
        <w:t>Int. J. Hydrog. Energy</w:t>
      </w:r>
      <w:r>
        <w:t xml:space="preserve"> </w:t>
      </w:r>
      <w:r>
        <w:rPr>
          <w:b/>
        </w:rPr>
        <w:t>46</w:t>
      </w:r>
      <w:r>
        <w:t xml:space="preserve">, 34777-34787 (2021). </w:t>
      </w:r>
      <w:hyperlink r:id="rId41" w:history="1">
        <w:r>
          <w:rPr>
            <w:rStyle w:val="Hyperlink"/>
          </w:rPr>
          <w:t>https://doi.org:10.1016/j.ijhydene.2021.07.188</w:t>
        </w:r>
      </w:hyperlink>
    </w:p>
    <w:p w14:paraId="2B513E29" w14:textId="77777777" w:rsidR="00092E5F" w:rsidRDefault="00000000">
      <w:pPr>
        <w:pStyle w:val="EndNoteBibliography"/>
        <w:ind w:left="720" w:hanging="720"/>
      </w:pPr>
      <w:r>
        <w:t>6</w:t>
      </w:r>
      <w:r>
        <w:tab/>
        <w:t>Institution, B. S.     (International Organization for Standardization, Switzerland, 2019).</w:t>
      </w:r>
    </w:p>
    <w:p w14:paraId="00676816" w14:textId="77777777" w:rsidR="00092E5F" w:rsidRDefault="00000000">
      <w:pPr>
        <w:pStyle w:val="EndNoteBibliography"/>
        <w:ind w:left="720" w:hanging="720"/>
      </w:pPr>
      <w:r>
        <w:t>7</w:t>
      </w:r>
      <w:r>
        <w:tab/>
        <w:t>Weidner, E., Ortiz Cebolla, R. &amp; Davies, J. Global deployment of large capacity stationary fuel cells – Drivers of, and barriers to, stationary fuel cell deployment. (Joint Research Centre, Luxembourg, 2019).</w:t>
      </w:r>
    </w:p>
    <w:p w14:paraId="2F228274" w14:textId="77777777" w:rsidR="00092E5F" w:rsidRDefault="00000000">
      <w:pPr>
        <w:pStyle w:val="EndNoteBibliography"/>
        <w:ind w:left="720" w:hanging="720"/>
      </w:pPr>
      <w:r>
        <w:t>8</w:t>
      </w:r>
      <w:r>
        <w:tab/>
        <w:t>Lim, D.</w:t>
      </w:r>
      <w:r>
        <w:rPr>
          <w:i/>
        </w:rPr>
        <w:t xml:space="preserve"> et al.</w:t>
      </w:r>
      <w:r>
        <w:t xml:space="preserve"> A 4E feasibility analysis of an on-site, ammonia sourced, hydrogen refueling station. </w:t>
      </w:r>
      <w:r>
        <w:rPr>
          <w:i/>
        </w:rPr>
        <w:t>J. Clean. Prod.</w:t>
      </w:r>
      <w:r>
        <w:t xml:space="preserve"> </w:t>
      </w:r>
      <w:r>
        <w:rPr>
          <w:b/>
        </w:rPr>
        <w:t>363</w:t>
      </w:r>
      <w:r>
        <w:t xml:space="preserve"> (2022). </w:t>
      </w:r>
      <w:hyperlink r:id="rId42" w:history="1">
        <w:r>
          <w:rPr>
            <w:rStyle w:val="Hyperlink"/>
          </w:rPr>
          <w:t>https://doi.org:10.1016/j.jclepro.2022.132356</w:t>
        </w:r>
      </w:hyperlink>
    </w:p>
    <w:p w14:paraId="76745DD2" w14:textId="77777777" w:rsidR="00092E5F" w:rsidRDefault="00000000">
      <w:pPr>
        <w:pStyle w:val="EndNoteBibliography"/>
        <w:ind w:left="720" w:hanging="720"/>
      </w:pPr>
      <w:r>
        <w:t>9</w:t>
      </w:r>
      <w:r>
        <w:tab/>
        <w:t xml:space="preserve">Miyaoka, H., Miyaoka, H., Ichikawa, T., Ichikawa, T. &amp; Kojima, Y. Highly purified hydrogen production from ammonia for PEM fuel cell. </w:t>
      </w:r>
      <w:r>
        <w:rPr>
          <w:i/>
        </w:rPr>
        <w:t>Int. J. Hydrog. Energy</w:t>
      </w:r>
      <w:r>
        <w:t xml:space="preserve"> </w:t>
      </w:r>
      <w:r>
        <w:rPr>
          <w:b/>
        </w:rPr>
        <w:t>43</w:t>
      </w:r>
      <w:r>
        <w:t xml:space="preserve">, 14486-14492 (2018). </w:t>
      </w:r>
      <w:hyperlink r:id="rId43" w:history="1">
        <w:r>
          <w:rPr>
            <w:rStyle w:val="Hyperlink"/>
          </w:rPr>
          <w:t>https://doi.org:https://doi.org/10.1016/j.ijhydene.2018.06.065</w:t>
        </w:r>
      </w:hyperlink>
    </w:p>
    <w:p w14:paraId="3878DF5B" w14:textId="77777777" w:rsidR="00092E5F" w:rsidRDefault="00000000">
      <w:pPr>
        <w:pStyle w:val="EndNoteBibliography"/>
        <w:ind w:left="720" w:hanging="720"/>
      </w:pPr>
      <w:r>
        <w:t>10</w:t>
      </w:r>
      <w:r>
        <w:tab/>
        <w:t xml:space="preserve">Ligen, Y., Vrubel, H. &amp; Girault, H. Energy efficient hydrogen drying and purification for fuel cell vehicles. </w:t>
      </w:r>
      <w:r>
        <w:rPr>
          <w:i/>
        </w:rPr>
        <w:t>Int. J. Hydrog. Energy</w:t>
      </w:r>
      <w:r>
        <w:t xml:space="preserve"> </w:t>
      </w:r>
      <w:r>
        <w:rPr>
          <w:b/>
        </w:rPr>
        <w:t>45</w:t>
      </w:r>
      <w:r>
        <w:t xml:space="preserve">, 10639-10647 (2020). </w:t>
      </w:r>
      <w:hyperlink r:id="rId44" w:history="1">
        <w:r>
          <w:rPr>
            <w:rStyle w:val="Hyperlink"/>
          </w:rPr>
          <w:t>https://doi.org:https://doi.org/10.1016/j.ijhydene.2020.02.035</w:t>
        </w:r>
      </w:hyperlink>
    </w:p>
    <w:p w14:paraId="562AF2F3" w14:textId="77777777" w:rsidR="00092E5F" w:rsidRDefault="00000000">
      <w:pPr>
        <w:pStyle w:val="EndNoteBibliography"/>
        <w:ind w:left="720" w:hanging="720"/>
      </w:pPr>
      <w:r>
        <w:t>11</w:t>
      </w:r>
      <w:r>
        <w:tab/>
        <w:t>Gardiner, M. Energy requirements for hydrogen gas compression and</w:t>
      </w:r>
    </w:p>
    <w:p w14:paraId="4DF38448" w14:textId="77777777" w:rsidR="00092E5F" w:rsidRDefault="00000000">
      <w:pPr>
        <w:pStyle w:val="EndNoteBibliography"/>
        <w:ind w:left="720" w:hanging="720"/>
      </w:pPr>
      <w:r>
        <w:t>liquefaction as related to vehicle storage needs. (Department of Energy, United States of America, 2009).</w:t>
      </w:r>
    </w:p>
    <w:p w14:paraId="70E65DAC" w14:textId="77777777" w:rsidR="00092E5F" w:rsidRDefault="00000000">
      <w:pPr>
        <w:pStyle w:val="EndNoteBibliography"/>
        <w:ind w:left="720" w:hanging="720"/>
      </w:pPr>
      <w:r>
        <w:t>12</w:t>
      </w:r>
      <w:r>
        <w:tab/>
        <w:t xml:space="preserve">Singapore, E. M. A. o. </w:t>
      </w:r>
      <w:r>
        <w:rPr>
          <w:i/>
        </w:rPr>
        <w:t>What is the potential of solar energy in Singapore?</w:t>
      </w:r>
      <w:r>
        <w:t>, &lt;</w:t>
      </w:r>
      <w:hyperlink r:id="rId45" w:history="1">
        <w:r>
          <w:rPr>
            <w:rStyle w:val="Hyperlink"/>
          </w:rPr>
          <w:t>https://www.ema.gov.sg/resources/faqs/energy-supply/solar/what-is-the-potential-of-solar-energy-in-singapore</w:t>
        </w:r>
      </w:hyperlink>
      <w:r>
        <w:t>&gt; (2023).</w:t>
      </w:r>
    </w:p>
    <w:p w14:paraId="6932CF42" w14:textId="77777777" w:rsidR="00092E5F" w:rsidRDefault="00000000">
      <w:pPr>
        <w:pStyle w:val="EndNoteBibliography"/>
        <w:ind w:left="720" w:hanging="720"/>
      </w:pPr>
      <w:r>
        <w:t>13</w:t>
      </w:r>
      <w:r>
        <w:tab/>
        <w:t>Badakhsh, A.</w:t>
      </w:r>
      <w:r>
        <w:rPr>
          <w:i/>
        </w:rPr>
        <w:t xml:space="preserve"> et al.</w:t>
      </w:r>
      <w:r>
        <w:t xml:space="preserve"> A compact catalytic foam reactor for decomposition of ammonia by the Joule-heating mechanism. </w:t>
      </w:r>
      <w:r>
        <w:rPr>
          <w:i/>
        </w:rPr>
        <w:t>Chem. Eng. J.</w:t>
      </w:r>
      <w:r>
        <w:t xml:space="preserve"> </w:t>
      </w:r>
      <w:r>
        <w:rPr>
          <w:b/>
        </w:rPr>
        <w:t>426</w:t>
      </w:r>
      <w:r>
        <w:t xml:space="preserve"> (2021). </w:t>
      </w:r>
      <w:hyperlink r:id="rId46" w:history="1">
        <w:r>
          <w:rPr>
            <w:rStyle w:val="Hyperlink"/>
          </w:rPr>
          <w:t>https://doi.org:10.1016/j.cej.2021.130802</w:t>
        </w:r>
      </w:hyperlink>
    </w:p>
    <w:p w14:paraId="6953E6F2" w14:textId="77777777" w:rsidR="00092E5F" w:rsidRDefault="00000000">
      <w:pPr>
        <w:pStyle w:val="EndNoteBibliography"/>
        <w:ind w:left="720" w:hanging="720"/>
      </w:pPr>
      <w:r>
        <w:t>14</w:t>
      </w:r>
      <w:r>
        <w:tab/>
        <w:t>Wang, L.</w:t>
      </w:r>
      <w:r>
        <w:rPr>
          <w:i/>
        </w:rPr>
        <w:t xml:space="preserve"> et al.</w:t>
      </w:r>
      <w:r>
        <w:t xml:space="preserve"> NH3 Decomposition for H2 Generation: Effects of Cheap Metals and Supports on Plasma–Catalyst Synergy. </w:t>
      </w:r>
      <w:r>
        <w:rPr>
          <w:i/>
        </w:rPr>
        <w:t>ACS Catal.</w:t>
      </w:r>
      <w:r>
        <w:t xml:space="preserve"> </w:t>
      </w:r>
      <w:r>
        <w:rPr>
          <w:b/>
        </w:rPr>
        <w:t>5</w:t>
      </w:r>
      <w:r>
        <w:t xml:space="preserve">, 4167-4174 (2015). </w:t>
      </w:r>
      <w:hyperlink r:id="rId47" w:history="1">
        <w:r>
          <w:rPr>
            <w:rStyle w:val="Hyperlink"/>
          </w:rPr>
          <w:t>https://doi.org:10.1021/acscatal.5b00728</w:t>
        </w:r>
      </w:hyperlink>
    </w:p>
    <w:p w14:paraId="0884DC38" w14:textId="77777777" w:rsidR="00092E5F" w:rsidRDefault="00000000">
      <w:pPr>
        <w:pStyle w:val="EndNoteBibliography"/>
        <w:ind w:left="720" w:hanging="720"/>
      </w:pPr>
      <w:r>
        <w:lastRenderedPageBreak/>
        <w:t>15</w:t>
      </w:r>
      <w:r>
        <w:tab/>
        <w:t>Yu, X.</w:t>
      </w:r>
      <w:r>
        <w:rPr>
          <w:i/>
        </w:rPr>
        <w:t xml:space="preserve"> et al.</w:t>
      </w:r>
      <w:r>
        <w:t xml:space="preserve"> Plasma-Catalytic Ammonia Decomposition for Carbon-Free Hydrogen Production Using Low Pressure-Synthesized Mo2N Catalyst. </w:t>
      </w:r>
      <w:r>
        <w:rPr>
          <w:i/>
        </w:rPr>
        <w:t>Plasma Chem. Plasma Process.</w:t>
      </w:r>
      <w:r>
        <w:t xml:space="preserve"> </w:t>
      </w:r>
      <w:r>
        <w:rPr>
          <w:b/>
        </w:rPr>
        <w:t>43</w:t>
      </w:r>
      <w:r>
        <w:t xml:space="preserve">, 183-197 (2023). </w:t>
      </w:r>
      <w:hyperlink r:id="rId48" w:history="1">
        <w:r>
          <w:rPr>
            <w:rStyle w:val="Hyperlink"/>
          </w:rPr>
          <w:t>https://doi.org:10.1007/s11090-022-10282-y</w:t>
        </w:r>
      </w:hyperlink>
    </w:p>
    <w:p w14:paraId="7C24F62B" w14:textId="77777777" w:rsidR="00092E5F" w:rsidRDefault="00000000">
      <w:pPr>
        <w:pStyle w:val="EndNoteBibliography"/>
        <w:ind w:left="720" w:hanging="720"/>
      </w:pPr>
      <w:r>
        <w:t>16</w:t>
      </w:r>
      <w:r>
        <w:tab/>
        <w:t>Yuan, Y.</w:t>
      </w:r>
      <w:r>
        <w:rPr>
          <w:i/>
        </w:rPr>
        <w:t xml:space="preserve"> et al.</w:t>
      </w:r>
      <w:r>
        <w:t xml:space="preserve"> Earth-abundant photocatalyst for H2 generation from NH3 with light-emitting diode illumination. </w:t>
      </w:r>
      <w:r>
        <w:rPr>
          <w:i/>
        </w:rPr>
        <w:t>Science</w:t>
      </w:r>
      <w:r>
        <w:t xml:space="preserve"> </w:t>
      </w:r>
      <w:r>
        <w:rPr>
          <w:b/>
        </w:rPr>
        <w:t>378</w:t>
      </w:r>
      <w:r>
        <w:t xml:space="preserve">, 889-893 (2022). </w:t>
      </w:r>
    </w:p>
    <w:p w14:paraId="09EAD281" w14:textId="77777777" w:rsidR="00092E5F" w:rsidRDefault="00000000">
      <w:pPr>
        <w:pStyle w:val="EndNoteBibliography"/>
        <w:ind w:left="720" w:hanging="720"/>
      </w:pPr>
      <w:r>
        <w:t>17</w:t>
      </w:r>
      <w:r>
        <w:tab/>
        <w:t>Fang, H.</w:t>
      </w:r>
      <w:r>
        <w:rPr>
          <w:i/>
        </w:rPr>
        <w:t xml:space="preserve"> et al.</w:t>
      </w:r>
      <w:r>
        <w:t xml:space="preserve"> Dispersed surface Ru ensembles on MgO(111) for catalytic ammonia decomposition. </w:t>
      </w:r>
      <w:r>
        <w:rPr>
          <w:i/>
        </w:rPr>
        <w:t>Nat. Commun.</w:t>
      </w:r>
      <w:r>
        <w:t xml:space="preserve"> </w:t>
      </w:r>
      <w:r>
        <w:rPr>
          <w:b/>
        </w:rPr>
        <w:t>14</w:t>
      </w:r>
      <w:r>
        <w:t xml:space="preserve">, 647 (2023). </w:t>
      </w:r>
      <w:hyperlink r:id="rId49" w:history="1">
        <w:r>
          <w:rPr>
            <w:rStyle w:val="Hyperlink"/>
          </w:rPr>
          <w:t>https://doi.org:10.1038/s41467-023-36339-w</w:t>
        </w:r>
      </w:hyperlink>
    </w:p>
    <w:p w14:paraId="01C95B9E" w14:textId="77777777" w:rsidR="00092E5F" w:rsidRDefault="00000000">
      <w:pPr>
        <w:pStyle w:val="EndNoteBibliography"/>
        <w:ind w:left="720" w:hanging="720"/>
      </w:pPr>
      <w:r>
        <w:t>18</w:t>
      </w:r>
      <w:r>
        <w:tab/>
        <w:t>Tabassum, H.</w:t>
      </w:r>
      <w:r>
        <w:rPr>
          <w:i/>
        </w:rPr>
        <w:t xml:space="preserve"> et al.</w:t>
      </w:r>
      <w:r>
        <w:t xml:space="preserve"> Hydrogen generation via ammonia decomposition on highly efficient and stable Ru-free catalysts: approaching complete conversion at 450 °C. </w:t>
      </w:r>
      <w:r>
        <w:rPr>
          <w:i/>
        </w:rPr>
        <w:t>Energy Environ. Sci.</w:t>
      </w:r>
      <w:r>
        <w:t xml:space="preserve"> </w:t>
      </w:r>
      <w:r>
        <w:rPr>
          <w:b/>
        </w:rPr>
        <w:t>15</w:t>
      </w:r>
      <w:r>
        <w:t xml:space="preserve">, 4190-4200 (2022). </w:t>
      </w:r>
      <w:hyperlink r:id="rId50" w:history="1">
        <w:r>
          <w:rPr>
            <w:rStyle w:val="Hyperlink"/>
          </w:rPr>
          <w:t>https://doi.org:10.1039/d1ee03730g</w:t>
        </w:r>
      </w:hyperlink>
    </w:p>
    <w:p w14:paraId="3088F0E4" w14:textId="77777777" w:rsidR="00092E5F" w:rsidRDefault="00000000">
      <w:pPr>
        <w:pStyle w:val="EndNoteBibliography"/>
        <w:ind w:left="720" w:hanging="720"/>
      </w:pPr>
      <w:r>
        <w:t>19</w:t>
      </w:r>
      <w:r>
        <w:tab/>
        <w:t xml:space="preserve">Wood, T. J. &amp; Makepeace, J. W. Assessing Potential Supports for Lithium Amide-imide Ammonia Decomposition Catalysts. </w:t>
      </w:r>
      <w:r>
        <w:rPr>
          <w:i/>
        </w:rPr>
        <w:t>ACS Applied Energy Materials</w:t>
      </w:r>
      <w:r>
        <w:t xml:space="preserve"> </w:t>
      </w:r>
      <w:r>
        <w:rPr>
          <w:b/>
        </w:rPr>
        <w:t>1</w:t>
      </w:r>
      <w:r>
        <w:t xml:space="preserve">, 2657-2663 (2018). </w:t>
      </w:r>
      <w:hyperlink r:id="rId51" w:history="1">
        <w:r>
          <w:rPr>
            <w:rStyle w:val="Hyperlink"/>
          </w:rPr>
          <w:t>https://doi.org:10.1021/acsaem.8b00351</w:t>
        </w:r>
      </w:hyperlink>
    </w:p>
    <w:p w14:paraId="0B353304" w14:textId="77777777" w:rsidR="00092E5F" w:rsidRDefault="00000000">
      <w:pPr>
        <w:pStyle w:val="EndNoteBibliography"/>
        <w:ind w:left="720" w:hanging="720"/>
      </w:pPr>
      <w:r>
        <w:t>20</w:t>
      </w:r>
      <w:r>
        <w:tab/>
        <w:t>Xie, P.</w:t>
      </w:r>
      <w:r>
        <w:rPr>
          <w:i/>
        </w:rPr>
        <w:t xml:space="preserve"> et al.</w:t>
      </w:r>
      <w:r>
        <w:t xml:space="preserve"> Highly efficient decomposition of ammonia using high-entropy alloy catalysts. </w:t>
      </w:r>
      <w:r>
        <w:rPr>
          <w:i/>
        </w:rPr>
        <w:t>Nat. Commun.</w:t>
      </w:r>
      <w:r>
        <w:t xml:space="preserve"> </w:t>
      </w:r>
      <w:r>
        <w:rPr>
          <w:b/>
        </w:rPr>
        <w:t>10</w:t>
      </w:r>
      <w:r>
        <w:t xml:space="preserve">, 4011 (2019). </w:t>
      </w:r>
      <w:hyperlink r:id="rId52" w:history="1">
        <w:r>
          <w:rPr>
            <w:rStyle w:val="Hyperlink"/>
          </w:rPr>
          <w:t>https://doi.org:10.1038/s41467-019-11848-9</w:t>
        </w:r>
      </w:hyperlink>
    </w:p>
    <w:p w14:paraId="1F7CEC29" w14:textId="77777777" w:rsidR="00092E5F" w:rsidRDefault="00000000">
      <w:pPr>
        <w:pStyle w:val="EndNoteBibliography"/>
        <w:ind w:left="720" w:hanging="720"/>
      </w:pPr>
      <w:r>
        <w:t>21</w:t>
      </w:r>
      <w:r>
        <w:tab/>
        <w:t xml:space="preserve">Engelbrecht, N., Chiuta, S. &amp; Bessarabov, D. G. A highly efficient autothermal microchannel reactor for ammonia decomposition: Analysis of hydrogen production in transient and steady-state regimes. </w:t>
      </w:r>
      <w:r>
        <w:rPr>
          <w:i/>
        </w:rPr>
        <w:t>J. Power Sources</w:t>
      </w:r>
      <w:r>
        <w:t xml:space="preserve"> </w:t>
      </w:r>
      <w:r>
        <w:rPr>
          <w:b/>
        </w:rPr>
        <w:t>386</w:t>
      </w:r>
      <w:r>
        <w:t xml:space="preserve">, 47-55 (2018). </w:t>
      </w:r>
      <w:hyperlink r:id="rId53" w:history="1">
        <w:r>
          <w:rPr>
            <w:rStyle w:val="Hyperlink"/>
          </w:rPr>
          <w:t>https://doi.org:10.1016/j.jpowsour.2018.03.043</w:t>
        </w:r>
      </w:hyperlink>
    </w:p>
    <w:p w14:paraId="7C9AD275" w14:textId="77777777" w:rsidR="00092E5F" w:rsidRDefault="00000000">
      <w:pPr>
        <w:pStyle w:val="EndNoteBibliography"/>
        <w:ind w:left="720" w:hanging="720"/>
      </w:pPr>
      <w:r>
        <w:t>22</w:t>
      </w:r>
      <w:r>
        <w:tab/>
        <w:t>Badakhsh, A.</w:t>
      </w:r>
      <w:r>
        <w:rPr>
          <w:i/>
        </w:rPr>
        <w:t xml:space="preserve"> et al.</w:t>
      </w:r>
      <w:r>
        <w:t xml:space="preserve"> Autothermal recirculating reactor (ARR) with Cu-BN composite as a stable reactor material for sustainable hydrogen release from ammonia. </w:t>
      </w:r>
      <w:r>
        <w:rPr>
          <w:i/>
        </w:rPr>
        <w:t>J. Power Sources</w:t>
      </w:r>
      <w:r>
        <w:t xml:space="preserve"> </w:t>
      </w:r>
      <w:r>
        <w:rPr>
          <w:b/>
        </w:rPr>
        <w:t>506</w:t>
      </w:r>
      <w:r>
        <w:t xml:space="preserve"> (2021). </w:t>
      </w:r>
      <w:hyperlink r:id="rId54" w:history="1">
        <w:r>
          <w:rPr>
            <w:rStyle w:val="Hyperlink"/>
          </w:rPr>
          <w:t>https://doi.org:10.1016/j.jpowsour.2021.230081</w:t>
        </w:r>
      </w:hyperlink>
    </w:p>
    <w:p w14:paraId="4C814D17" w14:textId="77777777" w:rsidR="00092E5F" w:rsidRDefault="00000000">
      <w:pPr>
        <w:pStyle w:val="EndNoteBibliography"/>
        <w:ind w:left="720" w:hanging="720"/>
      </w:pPr>
      <w:r>
        <w:t>23</w:t>
      </w:r>
      <w:r>
        <w:tab/>
        <w:t>Kang, S.</w:t>
      </w:r>
      <w:r>
        <w:rPr>
          <w:i/>
        </w:rPr>
        <w:t xml:space="preserve"> et al.</w:t>
      </w:r>
      <w:r>
        <w:t xml:space="preserve"> Heteroepitaxial Growth of B(5) -Site-Rich Ru Nanoparticles Guided by Hexagonal Boron Nitride for Low-Temperature Ammonia Dehydrogenation. </w:t>
      </w:r>
      <w:r>
        <w:rPr>
          <w:i/>
        </w:rPr>
        <w:t>Adv. Mater.</w:t>
      </w:r>
      <w:r>
        <w:t xml:space="preserve"> </w:t>
      </w:r>
      <w:r>
        <w:rPr>
          <w:b/>
        </w:rPr>
        <w:t>35</w:t>
      </w:r>
      <w:r>
        <w:t xml:space="preserve">, e2203364 (2023). </w:t>
      </w:r>
      <w:hyperlink r:id="rId55" w:history="1">
        <w:r>
          <w:rPr>
            <w:rStyle w:val="Hyperlink"/>
          </w:rPr>
          <w:t>https://doi.org:10.1002/adma.202203364</w:t>
        </w:r>
      </w:hyperlink>
    </w:p>
    <w:p w14:paraId="3DC90D7D" w14:textId="77777777" w:rsidR="00092E5F" w:rsidRDefault="00000000">
      <w:pPr>
        <w:pStyle w:val="EndNoteBibliography"/>
        <w:ind w:left="720" w:hanging="720"/>
      </w:pPr>
      <w:r>
        <w:t>24</w:t>
      </w:r>
      <w:r>
        <w:tab/>
        <w:t>Ogasawara, K.</w:t>
      </w:r>
      <w:r>
        <w:rPr>
          <w:i/>
        </w:rPr>
        <w:t xml:space="preserve"> et al.</w:t>
      </w:r>
      <w:r>
        <w:t xml:space="preserve"> Ammonia Decomposition over Water‐Durable Hexagonal BaTiO3−xNy‐Supported Ni Catalysts. </w:t>
      </w:r>
      <w:r>
        <w:rPr>
          <w:i/>
        </w:rPr>
        <w:t>Adv. Energy Mater.</w:t>
      </w:r>
      <w:r>
        <w:t xml:space="preserve"> </w:t>
      </w:r>
      <w:r>
        <w:rPr>
          <w:b/>
        </w:rPr>
        <w:t>13</w:t>
      </w:r>
      <w:r>
        <w:t xml:space="preserve"> (2023). </w:t>
      </w:r>
      <w:hyperlink r:id="rId56" w:history="1">
        <w:r>
          <w:rPr>
            <w:rStyle w:val="Hyperlink"/>
          </w:rPr>
          <w:t>https://doi.org:10.1002/aenm.202301286</w:t>
        </w:r>
      </w:hyperlink>
    </w:p>
    <w:p w14:paraId="727033DD" w14:textId="77777777" w:rsidR="00092E5F" w:rsidRDefault="00000000">
      <w:pPr>
        <w:pStyle w:val="EndNoteBibliography"/>
        <w:ind w:left="720" w:hanging="720"/>
      </w:pPr>
      <w:r>
        <w:t>25</w:t>
      </w:r>
      <w:r>
        <w:tab/>
        <w:t>Chen, S.</w:t>
      </w:r>
      <w:r>
        <w:rPr>
          <w:i/>
        </w:rPr>
        <w:t xml:space="preserve"> et al.</w:t>
      </w:r>
      <w:r>
        <w:t xml:space="preserve"> Highly loaded bimetallic iron-cobalt catalysts for hydrogen release from ammonia. </w:t>
      </w:r>
      <w:r>
        <w:rPr>
          <w:i/>
        </w:rPr>
        <w:t>Nat. Commun.</w:t>
      </w:r>
      <w:r>
        <w:t xml:space="preserve"> </w:t>
      </w:r>
      <w:r>
        <w:rPr>
          <w:b/>
        </w:rPr>
        <w:t>15</w:t>
      </w:r>
      <w:r>
        <w:t xml:space="preserve">, 871 (2024). </w:t>
      </w:r>
      <w:hyperlink r:id="rId57" w:history="1">
        <w:r>
          <w:rPr>
            <w:rStyle w:val="Hyperlink"/>
          </w:rPr>
          <w:t>https://doi.org:10.1038/s41467-023-44661-6</w:t>
        </w:r>
      </w:hyperlink>
    </w:p>
    <w:p w14:paraId="2DD009B7" w14:textId="77777777" w:rsidR="00092E5F" w:rsidRDefault="00000000">
      <w:pPr>
        <w:pStyle w:val="EndNoteBibliography"/>
        <w:ind w:left="720" w:hanging="720"/>
      </w:pPr>
      <w:r>
        <w:t>26</w:t>
      </w:r>
      <w:r>
        <w:tab/>
        <w:t>Kirste, K. G.</w:t>
      </w:r>
      <w:r>
        <w:rPr>
          <w:i/>
        </w:rPr>
        <w:t xml:space="preserve"> et al.</w:t>
      </w:r>
      <w:r>
        <w:t xml:space="preserve"> COx-free hydrogen production from ammonia – mimicking the activity of Ru catalysts with unsupported Co-Re alloys. </w:t>
      </w:r>
      <w:r>
        <w:rPr>
          <w:i/>
        </w:rPr>
        <w:t>Appl. Catal. B</w:t>
      </w:r>
      <w:r>
        <w:t xml:space="preserve"> </w:t>
      </w:r>
      <w:r>
        <w:rPr>
          <w:b/>
        </w:rPr>
        <w:t>280</w:t>
      </w:r>
      <w:r>
        <w:t xml:space="preserve"> (2021). </w:t>
      </w:r>
      <w:hyperlink r:id="rId58" w:history="1">
        <w:r>
          <w:rPr>
            <w:rStyle w:val="Hyperlink"/>
          </w:rPr>
          <w:t>https://doi.org:10.1016/j.apcatb.2020.119405</w:t>
        </w:r>
      </w:hyperlink>
    </w:p>
    <w:p w14:paraId="547E44BA" w14:textId="77777777" w:rsidR="00092E5F" w:rsidRDefault="00000000">
      <w:pPr>
        <w:pStyle w:val="EndNoteBibliography"/>
        <w:ind w:left="720" w:hanging="720"/>
      </w:pPr>
      <w:r>
        <w:t>27</w:t>
      </w:r>
      <w:r>
        <w:tab/>
        <w:t>Guo, X.-Y.</w:t>
      </w:r>
      <w:r>
        <w:rPr>
          <w:i/>
        </w:rPr>
        <w:t xml:space="preserve"> et al.</w:t>
      </w:r>
      <w:r>
        <w:t xml:space="preserve"> Alkaline earth metal promoted hydrogen production from ammonia decomposition over Ni/La2O3-based catalysts. </w:t>
      </w:r>
      <w:r>
        <w:rPr>
          <w:i/>
        </w:rPr>
        <w:t>Applied Catalysis B: Environment and Energy</w:t>
      </w:r>
      <w:r>
        <w:t xml:space="preserve"> </w:t>
      </w:r>
      <w:r>
        <w:rPr>
          <w:b/>
        </w:rPr>
        <w:t>348</w:t>
      </w:r>
      <w:r>
        <w:t xml:space="preserve">, 123844 (2024). </w:t>
      </w:r>
      <w:hyperlink r:id="rId59" w:history="1">
        <w:r>
          <w:rPr>
            <w:rStyle w:val="Hyperlink"/>
          </w:rPr>
          <w:t>https://doi.org:https://doi.org/10.1016/j.apcatb.2024.123844</w:t>
        </w:r>
      </w:hyperlink>
    </w:p>
    <w:p w14:paraId="563DD09C" w14:textId="77777777" w:rsidR="00092E5F" w:rsidRDefault="00000000">
      <w:pPr>
        <w:pStyle w:val="EndNoteBibliography"/>
        <w:ind w:left="720" w:hanging="720"/>
      </w:pPr>
      <w:r>
        <w:t>28</w:t>
      </w:r>
      <w:r>
        <w:tab/>
        <w:t>Lucentini, I.</w:t>
      </w:r>
      <w:r>
        <w:rPr>
          <w:i/>
        </w:rPr>
        <w:t xml:space="preserve"> et al.</w:t>
      </w:r>
      <w:r>
        <w:t xml:space="preserve"> Ni-Ru supported on CeO2 obtained by mechanochemical milling for catalytic hydrogen production from ammonia. </w:t>
      </w:r>
      <w:r>
        <w:rPr>
          <w:i/>
        </w:rPr>
        <w:t>iScience</w:t>
      </w:r>
      <w:r>
        <w:t xml:space="preserve"> </w:t>
      </w:r>
      <w:r>
        <w:rPr>
          <w:b/>
        </w:rPr>
        <w:t>27</w:t>
      </w:r>
      <w:r>
        <w:t xml:space="preserve">, 110028 (2024). </w:t>
      </w:r>
      <w:hyperlink r:id="rId60" w:history="1">
        <w:r>
          <w:rPr>
            <w:rStyle w:val="Hyperlink"/>
          </w:rPr>
          <w:t>https://doi.org:https://doi.org/10.1016/j.isci.2024.110028</w:t>
        </w:r>
      </w:hyperlink>
    </w:p>
    <w:p w14:paraId="603A5E0E" w14:textId="77777777" w:rsidR="00092E5F" w:rsidRDefault="00000000">
      <w:pPr>
        <w:pStyle w:val="EndNoteBibliography"/>
        <w:ind w:left="720" w:hanging="720"/>
      </w:pPr>
      <w:r>
        <w:t>29</w:t>
      </w:r>
      <w:r>
        <w:tab/>
        <w:t xml:space="preserve">Dutta, B., Wildfire, C. &amp; Shekhawat, D. Microwave-assisted ammonia decomposition over metal nitride catalysts at low temperatures. </w:t>
      </w:r>
      <w:r>
        <w:rPr>
          <w:i/>
        </w:rPr>
        <w:t>Int. J. Hydrog. Energy</w:t>
      </w:r>
      <w:r>
        <w:t xml:space="preserve"> </w:t>
      </w:r>
      <w:r>
        <w:rPr>
          <w:b/>
        </w:rPr>
        <w:t>72</w:t>
      </w:r>
      <w:r>
        <w:t xml:space="preserve">, 652-660 (2024). </w:t>
      </w:r>
      <w:hyperlink r:id="rId61" w:history="1">
        <w:r>
          <w:rPr>
            <w:rStyle w:val="Hyperlink"/>
          </w:rPr>
          <w:t>https://doi.org:https://doi.org/10.1016/j.ijhydene.2024.05.379</w:t>
        </w:r>
      </w:hyperlink>
    </w:p>
    <w:p w14:paraId="1AC7DEB9" w14:textId="77777777" w:rsidR="00092E5F" w:rsidRDefault="00000000">
      <w:pPr>
        <w:pStyle w:val="EndNoteBibliography"/>
        <w:ind w:left="720" w:hanging="720"/>
      </w:pPr>
      <w:r>
        <w:lastRenderedPageBreak/>
        <w:t>30</w:t>
      </w:r>
      <w:r>
        <w:tab/>
        <w:t>Wei, X.</w:t>
      </w:r>
      <w:r>
        <w:rPr>
          <w:i/>
        </w:rPr>
        <w:t xml:space="preserve"> et al.</w:t>
      </w:r>
      <w:r>
        <w:t xml:space="preserve"> Supported highly dispersed molybdenum nitride derived from molybdate-intercalated Mg‒Al hydrotalcite-like compounds as a catalyst for ammonia decomposition. </w:t>
      </w:r>
      <w:r>
        <w:rPr>
          <w:i/>
        </w:rPr>
        <w:t>Molecular Catalysis</w:t>
      </w:r>
      <w:r>
        <w:t xml:space="preserve"> </w:t>
      </w:r>
      <w:r>
        <w:rPr>
          <w:b/>
        </w:rPr>
        <w:t>562</w:t>
      </w:r>
      <w:r>
        <w:t xml:space="preserve">, 114201 (2024). </w:t>
      </w:r>
      <w:hyperlink r:id="rId62" w:history="1">
        <w:r>
          <w:rPr>
            <w:rStyle w:val="Hyperlink"/>
          </w:rPr>
          <w:t>https://doi.org:https://doi.org/10.1016/j.mcat.2024.114201</w:t>
        </w:r>
      </w:hyperlink>
    </w:p>
    <w:p w14:paraId="23944EE9" w14:textId="77777777" w:rsidR="00092E5F" w:rsidRDefault="00000000">
      <w:pPr>
        <w:spacing w:line="360" w:lineRule="auto"/>
        <w:jc w:val="both"/>
        <w:rPr>
          <w:rFonts w:cs="Times New Roman"/>
          <w:lang w:val="en-US"/>
        </w:rPr>
      </w:pPr>
      <w:r>
        <w:rPr>
          <w:rFonts w:cs="Times New Roman"/>
          <w:lang w:val="en-US"/>
        </w:rPr>
        <w:fldChar w:fldCharType="end"/>
      </w:r>
    </w:p>
    <w:sectPr w:rsidR="00092E5F">
      <w:footerReference w:type="even" r:id="rId63"/>
      <w:footerReference w:type="default" r:id="rId64"/>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 w:author="Sie Shing Wong" w:date="2024-11-11T15:26:00Z" w:initials="SW">
    <w:p w14:paraId="63B2822D" w14:textId="77777777" w:rsidR="00092E5F" w:rsidRDefault="00000000">
      <w:pPr>
        <w:pStyle w:val="CommentText"/>
      </w:pPr>
      <w:r>
        <w:t>Not exponent of 1/1.044?</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3B2822D"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3B2822D" w16cid:durableId="63B2822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3D7FB" w14:textId="77777777" w:rsidR="00A56BC0" w:rsidRDefault="00A56BC0">
      <w:r>
        <w:separator/>
      </w:r>
    </w:p>
  </w:endnote>
  <w:endnote w:type="continuationSeparator" w:id="0">
    <w:p w14:paraId="5631476E" w14:textId="77777777" w:rsidR="00A56BC0" w:rsidRDefault="00A56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MS PMincho">
    <w:charset w:val="80"/>
    <w:family w:val="roma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12258668"/>
    </w:sdtPr>
    <w:sdtContent>
      <w:p w14:paraId="3C51FDC4" w14:textId="77777777" w:rsidR="00092E5F" w:rsidRDefault="00000000">
        <w:pPr>
          <w:pStyle w:val="Foot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30811455" w14:textId="77777777" w:rsidR="00092E5F" w:rsidRDefault="00092E5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2796257"/>
    </w:sdtPr>
    <w:sdtContent>
      <w:p w14:paraId="0A39B486" w14:textId="77777777" w:rsidR="00092E5F" w:rsidRDefault="00000000">
        <w:pPr>
          <w:pStyle w:val="Foot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62CF28B5" w14:textId="77777777" w:rsidR="00092E5F" w:rsidRDefault="00092E5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D72A61" w14:textId="77777777" w:rsidR="00A56BC0" w:rsidRDefault="00A56BC0">
      <w:r>
        <w:separator/>
      </w:r>
    </w:p>
  </w:footnote>
  <w:footnote w:type="continuationSeparator" w:id="0">
    <w:p w14:paraId="4FD4BFDE" w14:textId="77777777" w:rsidR="00A56BC0" w:rsidRDefault="00A56BC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ie Shing Wong">
    <w15:presenceInfo w15:providerId="AD" w15:userId="S::wong.ss@nus.edu.sg::62e4a787-30db-4bfd-8cb8-560a2dc5b5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5z2zsz04waeexe29v3pzvfl2x5z0s5f0vvs&quot;&gt;My EndNote Library&lt;record-ids&gt;&lt;item&gt;85&lt;/item&gt;&lt;item&gt;111&lt;/item&gt;&lt;item&gt;113&lt;/item&gt;&lt;item&gt;117&lt;/item&gt;&lt;item&gt;172&lt;/item&gt;&lt;item&gt;183&lt;/item&gt;&lt;item&gt;269&lt;/item&gt;&lt;item&gt;291&lt;/item&gt;&lt;item&gt;292&lt;/item&gt;&lt;item&gt;293&lt;/item&gt;&lt;item&gt;306&lt;/item&gt;&lt;item&gt;308&lt;/item&gt;&lt;item&gt;354&lt;/item&gt;&lt;item&gt;361&lt;/item&gt;&lt;item&gt;369&lt;/item&gt;&lt;item&gt;370&lt;/item&gt;&lt;item&gt;398&lt;/item&gt;&lt;item&gt;399&lt;/item&gt;&lt;item&gt;400&lt;/item&gt;&lt;item&gt;401&lt;/item&gt;&lt;item&gt;483&lt;/item&gt;&lt;item&gt;484&lt;/item&gt;&lt;item&gt;487&lt;/item&gt;&lt;item&gt;490&lt;/item&gt;&lt;item&gt;491&lt;/item&gt;&lt;item&gt;492&lt;/item&gt;&lt;item&gt;493&lt;/item&gt;&lt;item&gt;494&lt;/item&gt;&lt;item&gt;495&lt;/item&gt;&lt;item&gt;502&lt;/item&gt;&lt;/record-ids&gt;&lt;/item&gt;&lt;/Libraries&gt;"/>
  </w:docVars>
  <w:rsids>
    <w:rsidRoot w:val="00F8270C"/>
    <w:rsid w:val="00001216"/>
    <w:rsid w:val="000040DD"/>
    <w:rsid w:val="00004159"/>
    <w:rsid w:val="00005258"/>
    <w:rsid w:val="000057AA"/>
    <w:rsid w:val="0001064B"/>
    <w:rsid w:val="000108D7"/>
    <w:rsid w:val="000127A1"/>
    <w:rsid w:val="00013377"/>
    <w:rsid w:val="00013C9D"/>
    <w:rsid w:val="000145EF"/>
    <w:rsid w:val="000159A8"/>
    <w:rsid w:val="00015C75"/>
    <w:rsid w:val="000229B2"/>
    <w:rsid w:val="0002422D"/>
    <w:rsid w:val="0002454D"/>
    <w:rsid w:val="000313EC"/>
    <w:rsid w:val="000365C1"/>
    <w:rsid w:val="00037023"/>
    <w:rsid w:val="0004020C"/>
    <w:rsid w:val="000462FF"/>
    <w:rsid w:val="000469BC"/>
    <w:rsid w:val="000533C4"/>
    <w:rsid w:val="00057C6E"/>
    <w:rsid w:val="00061280"/>
    <w:rsid w:val="0006318F"/>
    <w:rsid w:val="0006436A"/>
    <w:rsid w:val="00066410"/>
    <w:rsid w:val="00070824"/>
    <w:rsid w:val="000742E8"/>
    <w:rsid w:val="00074355"/>
    <w:rsid w:val="00074B0E"/>
    <w:rsid w:val="00080295"/>
    <w:rsid w:val="00080F58"/>
    <w:rsid w:val="0008551B"/>
    <w:rsid w:val="00090D7E"/>
    <w:rsid w:val="000915AE"/>
    <w:rsid w:val="00092764"/>
    <w:rsid w:val="00092E5F"/>
    <w:rsid w:val="000978B6"/>
    <w:rsid w:val="000A20B1"/>
    <w:rsid w:val="000A3F84"/>
    <w:rsid w:val="000A62BF"/>
    <w:rsid w:val="000A7E8E"/>
    <w:rsid w:val="000B1203"/>
    <w:rsid w:val="000B16EE"/>
    <w:rsid w:val="000B1766"/>
    <w:rsid w:val="000B2891"/>
    <w:rsid w:val="000B7088"/>
    <w:rsid w:val="000C0AA2"/>
    <w:rsid w:val="000C42CC"/>
    <w:rsid w:val="000D1FBC"/>
    <w:rsid w:val="000D719E"/>
    <w:rsid w:val="000D7C2B"/>
    <w:rsid w:val="000E2972"/>
    <w:rsid w:val="000E4511"/>
    <w:rsid w:val="000E52A8"/>
    <w:rsid w:val="000E5D33"/>
    <w:rsid w:val="000F23C6"/>
    <w:rsid w:val="000F2F9D"/>
    <w:rsid w:val="000F702F"/>
    <w:rsid w:val="000F7FD5"/>
    <w:rsid w:val="00111AB0"/>
    <w:rsid w:val="00112D22"/>
    <w:rsid w:val="001174FD"/>
    <w:rsid w:val="00117C33"/>
    <w:rsid w:val="00124E7D"/>
    <w:rsid w:val="001306D0"/>
    <w:rsid w:val="00135350"/>
    <w:rsid w:val="00141482"/>
    <w:rsid w:val="001436D0"/>
    <w:rsid w:val="001464CA"/>
    <w:rsid w:val="001472C8"/>
    <w:rsid w:val="00153A3C"/>
    <w:rsid w:val="0015583B"/>
    <w:rsid w:val="00163FFD"/>
    <w:rsid w:val="0017054E"/>
    <w:rsid w:val="00173D56"/>
    <w:rsid w:val="00174CBE"/>
    <w:rsid w:val="001756FD"/>
    <w:rsid w:val="001927A6"/>
    <w:rsid w:val="00193CD1"/>
    <w:rsid w:val="001A3FAF"/>
    <w:rsid w:val="001A410C"/>
    <w:rsid w:val="001C0672"/>
    <w:rsid w:val="001C0D03"/>
    <w:rsid w:val="001C1929"/>
    <w:rsid w:val="001C32CB"/>
    <w:rsid w:val="001C3A5C"/>
    <w:rsid w:val="001C7C0F"/>
    <w:rsid w:val="001D13F9"/>
    <w:rsid w:val="001D2F49"/>
    <w:rsid w:val="001D4CAD"/>
    <w:rsid w:val="001D6859"/>
    <w:rsid w:val="001E07F1"/>
    <w:rsid w:val="001E1EAA"/>
    <w:rsid w:val="001E2E42"/>
    <w:rsid w:val="001E5D98"/>
    <w:rsid w:val="001F06D7"/>
    <w:rsid w:val="001F1DBF"/>
    <w:rsid w:val="001F3280"/>
    <w:rsid w:val="001F41E8"/>
    <w:rsid w:val="001F581E"/>
    <w:rsid w:val="001F61B9"/>
    <w:rsid w:val="001F6DE3"/>
    <w:rsid w:val="001F6F7B"/>
    <w:rsid w:val="00201E3D"/>
    <w:rsid w:val="00206DE2"/>
    <w:rsid w:val="0021120C"/>
    <w:rsid w:val="00212C08"/>
    <w:rsid w:val="00221B77"/>
    <w:rsid w:val="00224C46"/>
    <w:rsid w:val="002253EE"/>
    <w:rsid w:val="00226B9C"/>
    <w:rsid w:val="00227A82"/>
    <w:rsid w:val="00233654"/>
    <w:rsid w:val="00234FC2"/>
    <w:rsid w:val="00236C68"/>
    <w:rsid w:val="002373BB"/>
    <w:rsid w:val="00237A8A"/>
    <w:rsid w:val="00240B29"/>
    <w:rsid w:val="002411DC"/>
    <w:rsid w:val="0025016B"/>
    <w:rsid w:val="00250897"/>
    <w:rsid w:val="002530E6"/>
    <w:rsid w:val="00255C3B"/>
    <w:rsid w:val="00255E8F"/>
    <w:rsid w:val="00257AB6"/>
    <w:rsid w:val="00257FF4"/>
    <w:rsid w:val="002643E9"/>
    <w:rsid w:val="00264680"/>
    <w:rsid w:val="00265D92"/>
    <w:rsid w:val="00270193"/>
    <w:rsid w:val="00273789"/>
    <w:rsid w:val="00280B88"/>
    <w:rsid w:val="00286406"/>
    <w:rsid w:val="00294D4B"/>
    <w:rsid w:val="002A0211"/>
    <w:rsid w:val="002A147A"/>
    <w:rsid w:val="002A2CFF"/>
    <w:rsid w:val="002A43F6"/>
    <w:rsid w:val="002A5E90"/>
    <w:rsid w:val="002A66FE"/>
    <w:rsid w:val="002A77CA"/>
    <w:rsid w:val="002B07B9"/>
    <w:rsid w:val="002B08E2"/>
    <w:rsid w:val="002B0FFD"/>
    <w:rsid w:val="002B1E1A"/>
    <w:rsid w:val="002B31D8"/>
    <w:rsid w:val="002B7290"/>
    <w:rsid w:val="002C06B1"/>
    <w:rsid w:val="002C1202"/>
    <w:rsid w:val="002C1FDC"/>
    <w:rsid w:val="002C56E6"/>
    <w:rsid w:val="002C6058"/>
    <w:rsid w:val="002C7344"/>
    <w:rsid w:val="002D55BD"/>
    <w:rsid w:val="002D6E6B"/>
    <w:rsid w:val="002E078D"/>
    <w:rsid w:val="002E2E6B"/>
    <w:rsid w:val="002E613B"/>
    <w:rsid w:val="002E6A5A"/>
    <w:rsid w:val="002E7A1F"/>
    <w:rsid w:val="002F0E7B"/>
    <w:rsid w:val="002F2E1F"/>
    <w:rsid w:val="002F4AF7"/>
    <w:rsid w:val="002F506F"/>
    <w:rsid w:val="00304592"/>
    <w:rsid w:val="003053A8"/>
    <w:rsid w:val="00307982"/>
    <w:rsid w:val="00311DA4"/>
    <w:rsid w:val="003122EF"/>
    <w:rsid w:val="0031269F"/>
    <w:rsid w:val="0031315F"/>
    <w:rsid w:val="003132CF"/>
    <w:rsid w:val="0031504B"/>
    <w:rsid w:val="0031510E"/>
    <w:rsid w:val="0031608B"/>
    <w:rsid w:val="003166EC"/>
    <w:rsid w:val="0031744E"/>
    <w:rsid w:val="003215CD"/>
    <w:rsid w:val="00324315"/>
    <w:rsid w:val="0032476C"/>
    <w:rsid w:val="003248B1"/>
    <w:rsid w:val="003262E8"/>
    <w:rsid w:val="00335FA2"/>
    <w:rsid w:val="00346197"/>
    <w:rsid w:val="003477A8"/>
    <w:rsid w:val="00352D81"/>
    <w:rsid w:val="00362B2F"/>
    <w:rsid w:val="00366654"/>
    <w:rsid w:val="00367B05"/>
    <w:rsid w:val="0037340D"/>
    <w:rsid w:val="0037594D"/>
    <w:rsid w:val="00377790"/>
    <w:rsid w:val="00381B8E"/>
    <w:rsid w:val="00382AE2"/>
    <w:rsid w:val="00385129"/>
    <w:rsid w:val="003A15F3"/>
    <w:rsid w:val="003A4270"/>
    <w:rsid w:val="003A5434"/>
    <w:rsid w:val="003A62F4"/>
    <w:rsid w:val="003A65A4"/>
    <w:rsid w:val="003B0778"/>
    <w:rsid w:val="003B3DA5"/>
    <w:rsid w:val="003B68A2"/>
    <w:rsid w:val="003B7E0A"/>
    <w:rsid w:val="003C289A"/>
    <w:rsid w:val="003C2C2C"/>
    <w:rsid w:val="003C6EA1"/>
    <w:rsid w:val="003D2453"/>
    <w:rsid w:val="003D7ABC"/>
    <w:rsid w:val="003E2DE2"/>
    <w:rsid w:val="003E5F0A"/>
    <w:rsid w:val="003E6215"/>
    <w:rsid w:val="003E6A0A"/>
    <w:rsid w:val="003F187B"/>
    <w:rsid w:val="003F56D9"/>
    <w:rsid w:val="003F70C1"/>
    <w:rsid w:val="003F7D79"/>
    <w:rsid w:val="003F7EAD"/>
    <w:rsid w:val="00404958"/>
    <w:rsid w:val="00417272"/>
    <w:rsid w:val="00420FE4"/>
    <w:rsid w:val="004217BB"/>
    <w:rsid w:val="00422564"/>
    <w:rsid w:val="0042433A"/>
    <w:rsid w:val="00425EBF"/>
    <w:rsid w:val="00426FF7"/>
    <w:rsid w:val="00432542"/>
    <w:rsid w:val="00435544"/>
    <w:rsid w:val="004364D6"/>
    <w:rsid w:val="004368CA"/>
    <w:rsid w:val="00440556"/>
    <w:rsid w:val="00442944"/>
    <w:rsid w:val="004447C2"/>
    <w:rsid w:val="00444FE8"/>
    <w:rsid w:val="004469A8"/>
    <w:rsid w:val="0044743C"/>
    <w:rsid w:val="0045063D"/>
    <w:rsid w:val="004518AF"/>
    <w:rsid w:val="00452E79"/>
    <w:rsid w:val="004567A4"/>
    <w:rsid w:val="004576EE"/>
    <w:rsid w:val="004705B2"/>
    <w:rsid w:val="004733B1"/>
    <w:rsid w:val="00473AF2"/>
    <w:rsid w:val="004767A2"/>
    <w:rsid w:val="004814C4"/>
    <w:rsid w:val="00482ABF"/>
    <w:rsid w:val="004831A7"/>
    <w:rsid w:val="00483324"/>
    <w:rsid w:val="00485AAD"/>
    <w:rsid w:val="00486515"/>
    <w:rsid w:val="00486B6E"/>
    <w:rsid w:val="00486B98"/>
    <w:rsid w:val="00493C78"/>
    <w:rsid w:val="00495119"/>
    <w:rsid w:val="004951FB"/>
    <w:rsid w:val="004954D8"/>
    <w:rsid w:val="0049748A"/>
    <w:rsid w:val="004A1A85"/>
    <w:rsid w:val="004A4B00"/>
    <w:rsid w:val="004A5EDD"/>
    <w:rsid w:val="004A763B"/>
    <w:rsid w:val="004B2755"/>
    <w:rsid w:val="004B4317"/>
    <w:rsid w:val="004B52FB"/>
    <w:rsid w:val="004B5770"/>
    <w:rsid w:val="004B5C72"/>
    <w:rsid w:val="004B5DE9"/>
    <w:rsid w:val="004B6141"/>
    <w:rsid w:val="004B6EC4"/>
    <w:rsid w:val="004B7BE8"/>
    <w:rsid w:val="004B7DA9"/>
    <w:rsid w:val="004C3CF3"/>
    <w:rsid w:val="004C3D76"/>
    <w:rsid w:val="004D1D87"/>
    <w:rsid w:val="004D5A90"/>
    <w:rsid w:val="004D6CEE"/>
    <w:rsid w:val="004E07EC"/>
    <w:rsid w:val="004E29FC"/>
    <w:rsid w:val="004E7C7A"/>
    <w:rsid w:val="004F15ED"/>
    <w:rsid w:val="004F2BF0"/>
    <w:rsid w:val="004F3FAF"/>
    <w:rsid w:val="004F42D1"/>
    <w:rsid w:val="004F42E6"/>
    <w:rsid w:val="004F6BC5"/>
    <w:rsid w:val="004F6C46"/>
    <w:rsid w:val="00500C81"/>
    <w:rsid w:val="00502797"/>
    <w:rsid w:val="00504894"/>
    <w:rsid w:val="0050635F"/>
    <w:rsid w:val="005068F6"/>
    <w:rsid w:val="00506B82"/>
    <w:rsid w:val="00514E7A"/>
    <w:rsid w:val="00520CB4"/>
    <w:rsid w:val="00523247"/>
    <w:rsid w:val="00524274"/>
    <w:rsid w:val="005257A2"/>
    <w:rsid w:val="00527515"/>
    <w:rsid w:val="00527C08"/>
    <w:rsid w:val="00531162"/>
    <w:rsid w:val="00532DED"/>
    <w:rsid w:val="005333A0"/>
    <w:rsid w:val="005371DB"/>
    <w:rsid w:val="00537FC7"/>
    <w:rsid w:val="00545D76"/>
    <w:rsid w:val="00550E44"/>
    <w:rsid w:val="00553BFA"/>
    <w:rsid w:val="00554560"/>
    <w:rsid w:val="005547C3"/>
    <w:rsid w:val="00556AAD"/>
    <w:rsid w:val="00556C5E"/>
    <w:rsid w:val="005615C1"/>
    <w:rsid w:val="00565ADB"/>
    <w:rsid w:val="00567281"/>
    <w:rsid w:val="005712AD"/>
    <w:rsid w:val="00573346"/>
    <w:rsid w:val="005741D0"/>
    <w:rsid w:val="00574717"/>
    <w:rsid w:val="005755C9"/>
    <w:rsid w:val="005764A9"/>
    <w:rsid w:val="00583870"/>
    <w:rsid w:val="00583E08"/>
    <w:rsid w:val="00585D92"/>
    <w:rsid w:val="005863CE"/>
    <w:rsid w:val="005916D2"/>
    <w:rsid w:val="005A19BF"/>
    <w:rsid w:val="005A19CD"/>
    <w:rsid w:val="005A1F32"/>
    <w:rsid w:val="005A6716"/>
    <w:rsid w:val="005A74F5"/>
    <w:rsid w:val="005B3912"/>
    <w:rsid w:val="005B46A7"/>
    <w:rsid w:val="005B59C0"/>
    <w:rsid w:val="005B67C3"/>
    <w:rsid w:val="005B74BC"/>
    <w:rsid w:val="005C5A23"/>
    <w:rsid w:val="005C5DFB"/>
    <w:rsid w:val="005D21D8"/>
    <w:rsid w:val="005D4FBB"/>
    <w:rsid w:val="005E0855"/>
    <w:rsid w:val="005E1D19"/>
    <w:rsid w:val="005E3E3F"/>
    <w:rsid w:val="005E59DD"/>
    <w:rsid w:val="005E6B79"/>
    <w:rsid w:val="005F2ABA"/>
    <w:rsid w:val="005F4059"/>
    <w:rsid w:val="005F4579"/>
    <w:rsid w:val="00600C37"/>
    <w:rsid w:val="00601283"/>
    <w:rsid w:val="00602A32"/>
    <w:rsid w:val="006043B2"/>
    <w:rsid w:val="006056FA"/>
    <w:rsid w:val="00610B4A"/>
    <w:rsid w:val="00613CED"/>
    <w:rsid w:val="00621ECF"/>
    <w:rsid w:val="00625055"/>
    <w:rsid w:val="00630B01"/>
    <w:rsid w:val="00633693"/>
    <w:rsid w:val="00641CAA"/>
    <w:rsid w:val="006502BD"/>
    <w:rsid w:val="0065593B"/>
    <w:rsid w:val="00663766"/>
    <w:rsid w:val="00665835"/>
    <w:rsid w:val="00667011"/>
    <w:rsid w:val="00667871"/>
    <w:rsid w:val="00674282"/>
    <w:rsid w:val="0067553B"/>
    <w:rsid w:val="00677B87"/>
    <w:rsid w:val="00682672"/>
    <w:rsid w:val="006840D8"/>
    <w:rsid w:val="006841EA"/>
    <w:rsid w:val="006846D7"/>
    <w:rsid w:val="00687022"/>
    <w:rsid w:val="00690589"/>
    <w:rsid w:val="00693610"/>
    <w:rsid w:val="00693878"/>
    <w:rsid w:val="006A1384"/>
    <w:rsid w:val="006A1B98"/>
    <w:rsid w:val="006A4201"/>
    <w:rsid w:val="006A5DCA"/>
    <w:rsid w:val="006B17A4"/>
    <w:rsid w:val="006B3930"/>
    <w:rsid w:val="006B3E86"/>
    <w:rsid w:val="006B4904"/>
    <w:rsid w:val="006B53BA"/>
    <w:rsid w:val="006B5ABF"/>
    <w:rsid w:val="006B7A01"/>
    <w:rsid w:val="006C49EC"/>
    <w:rsid w:val="006C5B42"/>
    <w:rsid w:val="006C5CC4"/>
    <w:rsid w:val="006C6C52"/>
    <w:rsid w:val="006C7808"/>
    <w:rsid w:val="006D19D6"/>
    <w:rsid w:val="006D3842"/>
    <w:rsid w:val="006D5939"/>
    <w:rsid w:val="006D59D5"/>
    <w:rsid w:val="006D6904"/>
    <w:rsid w:val="006D6961"/>
    <w:rsid w:val="006E0359"/>
    <w:rsid w:val="006E1CF8"/>
    <w:rsid w:val="006E1F23"/>
    <w:rsid w:val="006E6B83"/>
    <w:rsid w:val="006F0284"/>
    <w:rsid w:val="006F5F0A"/>
    <w:rsid w:val="00711489"/>
    <w:rsid w:val="007119DC"/>
    <w:rsid w:val="007126FC"/>
    <w:rsid w:val="007158F6"/>
    <w:rsid w:val="0072129D"/>
    <w:rsid w:val="007212BA"/>
    <w:rsid w:val="00721524"/>
    <w:rsid w:val="00724EEF"/>
    <w:rsid w:val="007262E8"/>
    <w:rsid w:val="00731C7F"/>
    <w:rsid w:val="0073638F"/>
    <w:rsid w:val="0073686F"/>
    <w:rsid w:val="00737B82"/>
    <w:rsid w:val="00740FCB"/>
    <w:rsid w:val="00741392"/>
    <w:rsid w:val="007423BC"/>
    <w:rsid w:val="007521B5"/>
    <w:rsid w:val="007623BD"/>
    <w:rsid w:val="00766029"/>
    <w:rsid w:val="007678E2"/>
    <w:rsid w:val="00770AD3"/>
    <w:rsid w:val="007745EE"/>
    <w:rsid w:val="007755CF"/>
    <w:rsid w:val="00787DFE"/>
    <w:rsid w:val="00790729"/>
    <w:rsid w:val="00792021"/>
    <w:rsid w:val="007932C7"/>
    <w:rsid w:val="007934D4"/>
    <w:rsid w:val="00793F56"/>
    <w:rsid w:val="00794643"/>
    <w:rsid w:val="00796CBC"/>
    <w:rsid w:val="007A20BC"/>
    <w:rsid w:val="007A5773"/>
    <w:rsid w:val="007A6676"/>
    <w:rsid w:val="007A7304"/>
    <w:rsid w:val="007B186B"/>
    <w:rsid w:val="007B5D12"/>
    <w:rsid w:val="007B6952"/>
    <w:rsid w:val="007C481B"/>
    <w:rsid w:val="007C6471"/>
    <w:rsid w:val="007D2A37"/>
    <w:rsid w:val="007D5582"/>
    <w:rsid w:val="007D7057"/>
    <w:rsid w:val="007E0A6B"/>
    <w:rsid w:val="007E410B"/>
    <w:rsid w:val="007E5DA4"/>
    <w:rsid w:val="007F0FF0"/>
    <w:rsid w:val="007F1139"/>
    <w:rsid w:val="007F38BB"/>
    <w:rsid w:val="007F4326"/>
    <w:rsid w:val="007F798C"/>
    <w:rsid w:val="00801F5C"/>
    <w:rsid w:val="008044CD"/>
    <w:rsid w:val="0080468C"/>
    <w:rsid w:val="00805FFA"/>
    <w:rsid w:val="00812974"/>
    <w:rsid w:val="0081473C"/>
    <w:rsid w:val="00814DA5"/>
    <w:rsid w:val="00822237"/>
    <w:rsid w:val="00823EC8"/>
    <w:rsid w:val="00824090"/>
    <w:rsid w:val="00824B13"/>
    <w:rsid w:val="0082606F"/>
    <w:rsid w:val="00830F95"/>
    <w:rsid w:val="00833C31"/>
    <w:rsid w:val="00837677"/>
    <w:rsid w:val="0083773A"/>
    <w:rsid w:val="0084188A"/>
    <w:rsid w:val="00842028"/>
    <w:rsid w:val="00842046"/>
    <w:rsid w:val="008443AD"/>
    <w:rsid w:val="0084599F"/>
    <w:rsid w:val="00850F60"/>
    <w:rsid w:val="00853C44"/>
    <w:rsid w:val="00853F35"/>
    <w:rsid w:val="0085473B"/>
    <w:rsid w:val="008547E7"/>
    <w:rsid w:val="0085797E"/>
    <w:rsid w:val="00860D62"/>
    <w:rsid w:val="0086231A"/>
    <w:rsid w:val="00863B2C"/>
    <w:rsid w:val="00865A80"/>
    <w:rsid w:val="00865E7A"/>
    <w:rsid w:val="00867C64"/>
    <w:rsid w:val="00867CFB"/>
    <w:rsid w:val="0087034D"/>
    <w:rsid w:val="0087118F"/>
    <w:rsid w:val="00876731"/>
    <w:rsid w:val="00881694"/>
    <w:rsid w:val="00887C2A"/>
    <w:rsid w:val="00890CB0"/>
    <w:rsid w:val="00894327"/>
    <w:rsid w:val="00894F31"/>
    <w:rsid w:val="00897D24"/>
    <w:rsid w:val="008A0693"/>
    <w:rsid w:val="008A107B"/>
    <w:rsid w:val="008A2D54"/>
    <w:rsid w:val="008A5106"/>
    <w:rsid w:val="008A5927"/>
    <w:rsid w:val="008C0940"/>
    <w:rsid w:val="008C4239"/>
    <w:rsid w:val="008C5C77"/>
    <w:rsid w:val="008C6D59"/>
    <w:rsid w:val="008D0744"/>
    <w:rsid w:val="008D4255"/>
    <w:rsid w:val="008E5832"/>
    <w:rsid w:val="008E681F"/>
    <w:rsid w:val="008F219B"/>
    <w:rsid w:val="008F4C65"/>
    <w:rsid w:val="00901C6B"/>
    <w:rsid w:val="00902E24"/>
    <w:rsid w:val="009035D6"/>
    <w:rsid w:val="0090466F"/>
    <w:rsid w:val="00905382"/>
    <w:rsid w:val="00911CDE"/>
    <w:rsid w:val="00916A42"/>
    <w:rsid w:val="00925759"/>
    <w:rsid w:val="00925D99"/>
    <w:rsid w:val="00926EC1"/>
    <w:rsid w:val="009271BA"/>
    <w:rsid w:val="00927446"/>
    <w:rsid w:val="00931171"/>
    <w:rsid w:val="0093373E"/>
    <w:rsid w:val="0093577B"/>
    <w:rsid w:val="00940B56"/>
    <w:rsid w:val="0094144C"/>
    <w:rsid w:val="00943C11"/>
    <w:rsid w:val="00944963"/>
    <w:rsid w:val="00945F34"/>
    <w:rsid w:val="00946CC5"/>
    <w:rsid w:val="00950908"/>
    <w:rsid w:val="00954386"/>
    <w:rsid w:val="00954CDD"/>
    <w:rsid w:val="0095590E"/>
    <w:rsid w:val="009651DA"/>
    <w:rsid w:val="00972AE6"/>
    <w:rsid w:val="00973EC0"/>
    <w:rsid w:val="00976DD6"/>
    <w:rsid w:val="00977444"/>
    <w:rsid w:val="009777FA"/>
    <w:rsid w:val="009851C1"/>
    <w:rsid w:val="00985D83"/>
    <w:rsid w:val="009878C1"/>
    <w:rsid w:val="0098794E"/>
    <w:rsid w:val="00987A27"/>
    <w:rsid w:val="009900A3"/>
    <w:rsid w:val="0099168C"/>
    <w:rsid w:val="009919C8"/>
    <w:rsid w:val="00991E12"/>
    <w:rsid w:val="00993A85"/>
    <w:rsid w:val="009A2A0F"/>
    <w:rsid w:val="009A3C67"/>
    <w:rsid w:val="009B073A"/>
    <w:rsid w:val="009B2DFA"/>
    <w:rsid w:val="009B49F4"/>
    <w:rsid w:val="009C11DA"/>
    <w:rsid w:val="009C5D29"/>
    <w:rsid w:val="009C6016"/>
    <w:rsid w:val="009C6C0A"/>
    <w:rsid w:val="009D0388"/>
    <w:rsid w:val="009D0621"/>
    <w:rsid w:val="009E5F29"/>
    <w:rsid w:val="009F19DA"/>
    <w:rsid w:val="009F3580"/>
    <w:rsid w:val="009F64BC"/>
    <w:rsid w:val="009F7596"/>
    <w:rsid w:val="00A001F2"/>
    <w:rsid w:val="00A0020F"/>
    <w:rsid w:val="00A061E4"/>
    <w:rsid w:val="00A06894"/>
    <w:rsid w:val="00A10923"/>
    <w:rsid w:val="00A10EF6"/>
    <w:rsid w:val="00A123FE"/>
    <w:rsid w:val="00A17018"/>
    <w:rsid w:val="00A23C43"/>
    <w:rsid w:val="00A251F9"/>
    <w:rsid w:val="00A25459"/>
    <w:rsid w:val="00A270EC"/>
    <w:rsid w:val="00A27914"/>
    <w:rsid w:val="00A3219C"/>
    <w:rsid w:val="00A32EAB"/>
    <w:rsid w:val="00A36983"/>
    <w:rsid w:val="00A40548"/>
    <w:rsid w:val="00A411B1"/>
    <w:rsid w:val="00A42E6D"/>
    <w:rsid w:val="00A43AF6"/>
    <w:rsid w:val="00A47AC7"/>
    <w:rsid w:val="00A518C0"/>
    <w:rsid w:val="00A5350D"/>
    <w:rsid w:val="00A53579"/>
    <w:rsid w:val="00A54E45"/>
    <w:rsid w:val="00A56BC0"/>
    <w:rsid w:val="00A6027D"/>
    <w:rsid w:val="00A60ED0"/>
    <w:rsid w:val="00A61838"/>
    <w:rsid w:val="00A61D57"/>
    <w:rsid w:val="00A62027"/>
    <w:rsid w:val="00A62BB7"/>
    <w:rsid w:val="00A63F0E"/>
    <w:rsid w:val="00A67843"/>
    <w:rsid w:val="00A709A0"/>
    <w:rsid w:val="00A81815"/>
    <w:rsid w:val="00A82060"/>
    <w:rsid w:val="00A903A3"/>
    <w:rsid w:val="00A914EE"/>
    <w:rsid w:val="00A92ACE"/>
    <w:rsid w:val="00A92E68"/>
    <w:rsid w:val="00A93BF0"/>
    <w:rsid w:val="00A96474"/>
    <w:rsid w:val="00AA1317"/>
    <w:rsid w:val="00AA1DB4"/>
    <w:rsid w:val="00AA2168"/>
    <w:rsid w:val="00AA3DB3"/>
    <w:rsid w:val="00AA4BC1"/>
    <w:rsid w:val="00AB0DF4"/>
    <w:rsid w:val="00AB2D40"/>
    <w:rsid w:val="00AB5905"/>
    <w:rsid w:val="00AB7625"/>
    <w:rsid w:val="00AC0992"/>
    <w:rsid w:val="00AC2B9B"/>
    <w:rsid w:val="00AC4B66"/>
    <w:rsid w:val="00AD0299"/>
    <w:rsid w:val="00AD7000"/>
    <w:rsid w:val="00AE1B78"/>
    <w:rsid w:val="00AE5CC3"/>
    <w:rsid w:val="00AF03F2"/>
    <w:rsid w:val="00AF08BD"/>
    <w:rsid w:val="00AF61B5"/>
    <w:rsid w:val="00B03501"/>
    <w:rsid w:val="00B10624"/>
    <w:rsid w:val="00B133CF"/>
    <w:rsid w:val="00B1744C"/>
    <w:rsid w:val="00B214B9"/>
    <w:rsid w:val="00B22287"/>
    <w:rsid w:val="00B22307"/>
    <w:rsid w:val="00B23F3E"/>
    <w:rsid w:val="00B24E30"/>
    <w:rsid w:val="00B2578C"/>
    <w:rsid w:val="00B25FED"/>
    <w:rsid w:val="00B26221"/>
    <w:rsid w:val="00B26BB6"/>
    <w:rsid w:val="00B35248"/>
    <w:rsid w:val="00B370CA"/>
    <w:rsid w:val="00B402C6"/>
    <w:rsid w:val="00B41979"/>
    <w:rsid w:val="00B43040"/>
    <w:rsid w:val="00B43795"/>
    <w:rsid w:val="00B46654"/>
    <w:rsid w:val="00B46DE8"/>
    <w:rsid w:val="00B46E03"/>
    <w:rsid w:val="00B50EC9"/>
    <w:rsid w:val="00B53A87"/>
    <w:rsid w:val="00B56F51"/>
    <w:rsid w:val="00B667DD"/>
    <w:rsid w:val="00B713B9"/>
    <w:rsid w:val="00B71ED8"/>
    <w:rsid w:val="00B71F8A"/>
    <w:rsid w:val="00B74C20"/>
    <w:rsid w:val="00B769BD"/>
    <w:rsid w:val="00B80675"/>
    <w:rsid w:val="00B81995"/>
    <w:rsid w:val="00B820AE"/>
    <w:rsid w:val="00B8736D"/>
    <w:rsid w:val="00B87855"/>
    <w:rsid w:val="00B902B7"/>
    <w:rsid w:val="00B91E43"/>
    <w:rsid w:val="00B92F21"/>
    <w:rsid w:val="00B979CE"/>
    <w:rsid w:val="00BA33DE"/>
    <w:rsid w:val="00BA3FD2"/>
    <w:rsid w:val="00BB25E8"/>
    <w:rsid w:val="00BB7228"/>
    <w:rsid w:val="00BC0A78"/>
    <w:rsid w:val="00BC6CA0"/>
    <w:rsid w:val="00BD56FE"/>
    <w:rsid w:val="00BD6442"/>
    <w:rsid w:val="00BD7442"/>
    <w:rsid w:val="00BD7807"/>
    <w:rsid w:val="00BE3CEE"/>
    <w:rsid w:val="00BE3F19"/>
    <w:rsid w:val="00BE4030"/>
    <w:rsid w:val="00BE6409"/>
    <w:rsid w:val="00BE74A5"/>
    <w:rsid w:val="00BE7CEC"/>
    <w:rsid w:val="00BF0309"/>
    <w:rsid w:val="00BF0797"/>
    <w:rsid w:val="00BF16E6"/>
    <w:rsid w:val="00BF4175"/>
    <w:rsid w:val="00BF4EA5"/>
    <w:rsid w:val="00BF6028"/>
    <w:rsid w:val="00C01FA2"/>
    <w:rsid w:val="00C022FB"/>
    <w:rsid w:val="00C026EE"/>
    <w:rsid w:val="00C03D91"/>
    <w:rsid w:val="00C06669"/>
    <w:rsid w:val="00C12E52"/>
    <w:rsid w:val="00C16D7D"/>
    <w:rsid w:val="00C20FE9"/>
    <w:rsid w:val="00C21896"/>
    <w:rsid w:val="00C21A7D"/>
    <w:rsid w:val="00C24B7C"/>
    <w:rsid w:val="00C25CAD"/>
    <w:rsid w:val="00C26825"/>
    <w:rsid w:val="00C271AD"/>
    <w:rsid w:val="00C31790"/>
    <w:rsid w:val="00C31A5E"/>
    <w:rsid w:val="00C32F3C"/>
    <w:rsid w:val="00C3309F"/>
    <w:rsid w:val="00C4175E"/>
    <w:rsid w:val="00C428BD"/>
    <w:rsid w:val="00C4676A"/>
    <w:rsid w:val="00C47B73"/>
    <w:rsid w:val="00C50E52"/>
    <w:rsid w:val="00C532D9"/>
    <w:rsid w:val="00C561B3"/>
    <w:rsid w:val="00C57ECC"/>
    <w:rsid w:val="00C616D7"/>
    <w:rsid w:val="00C625B4"/>
    <w:rsid w:val="00C6296F"/>
    <w:rsid w:val="00C719A3"/>
    <w:rsid w:val="00C755EC"/>
    <w:rsid w:val="00C75F3A"/>
    <w:rsid w:val="00C7602C"/>
    <w:rsid w:val="00C771A7"/>
    <w:rsid w:val="00C774E2"/>
    <w:rsid w:val="00C77A37"/>
    <w:rsid w:val="00C83078"/>
    <w:rsid w:val="00C8635C"/>
    <w:rsid w:val="00C92ADA"/>
    <w:rsid w:val="00C956E8"/>
    <w:rsid w:val="00C9583E"/>
    <w:rsid w:val="00C97F84"/>
    <w:rsid w:val="00CA5038"/>
    <w:rsid w:val="00CA6699"/>
    <w:rsid w:val="00CA735E"/>
    <w:rsid w:val="00CA7A0E"/>
    <w:rsid w:val="00CB02AB"/>
    <w:rsid w:val="00CB2554"/>
    <w:rsid w:val="00CB3702"/>
    <w:rsid w:val="00CB797D"/>
    <w:rsid w:val="00CC0A20"/>
    <w:rsid w:val="00CC4472"/>
    <w:rsid w:val="00CC6176"/>
    <w:rsid w:val="00CC6ECA"/>
    <w:rsid w:val="00CC72AA"/>
    <w:rsid w:val="00CC7312"/>
    <w:rsid w:val="00CD64D8"/>
    <w:rsid w:val="00CD7C16"/>
    <w:rsid w:val="00CE23B8"/>
    <w:rsid w:val="00CF3D0A"/>
    <w:rsid w:val="00CF46E9"/>
    <w:rsid w:val="00CF5BBD"/>
    <w:rsid w:val="00CF7ACD"/>
    <w:rsid w:val="00D03AC8"/>
    <w:rsid w:val="00D06C3F"/>
    <w:rsid w:val="00D07EB3"/>
    <w:rsid w:val="00D10084"/>
    <w:rsid w:val="00D10B37"/>
    <w:rsid w:val="00D1650C"/>
    <w:rsid w:val="00D20AF2"/>
    <w:rsid w:val="00D21712"/>
    <w:rsid w:val="00D22EB7"/>
    <w:rsid w:val="00D24949"/>
    <w:rsid w:val="00D264C8"/>
    <w:rsid w:val="00D30039"/>
    <w:rsid w:val="00D35735"/>
    <w:rsid w:val="00D3793C"/>
    <w:rsid w:val="00D40A62"/>
    <w:rsid w:val="00D40E19"/>
    <w:rsid w:val="00D42549"/>
    <w:rsid w:val="00D52A91"/>
    <w:rsid w:val="00D536BE"/>
    <w:rsid w:val="00D53A3B"/>
    <w:rsid w:val="00D56C99"/>
    <w:rsid w:val="00D63D9E"/>
    <w:rsid w:val="00D65513"/>
    <w:rsid w:val="00D70709"/>
    <w:rsid w:val="00D7348C"/>
    <w:rsid w:val="00D74920"/>
    <w:rsid w:val="00D80169"/>
    <w:rsid w:val="00D816F0"/>
    <w:rsid w:val="00D85B3A"/>
    <w:rsid w:val="00D86C77"/>
    <w:rsid w:val="00D87A3E"/>
    <w:rsid w:val="00D91288"/>
    <w:rsid w:val="00D91866"/>
    <w:rsid w:val="00D93EA8"/>
    <w:rsid w:val="00DA0668"/>
    <w:rsid w:val="00DA1143"/>
    <w:rsid w:val="00DA1A1E"/>
    <w:rsid w:val="00DA4CF3"/>
    <w:rsid w:val="00DA7458"/>
    <w:rsid w:val="00DB0F53"/>
    <w:rsid w:val="00DC05E7"/>
    <w:rsid w:val="00DC0BE1"/>
    <w:rsid w:val="00DC2AC2"/>
    <w:rsid w:val="00DC2B62"/>
    <w:rsid w:val="00DC40AF"/>
    <w:rsid w:val="00DC4E33"/>
    <w:rsid w:val="00DC5220"/>
    <w:rsid w:val="00DD2104"/>
    <w:rsid w:val="00DD2E30"/>
    <w:rsid w:val="00DE2738"/>
    <w:rsid w:val="00DE382C"/>
    <w:rsid w:val="00DF44A7"/>
    <w:rsid w:val="00E042B3"/>
    <w:rsid w:val="00E060AC"/>
    <w:rsid w:val="00E12BD3"/>
    <w:rsid w:val="00E13422"/>
    <w:rsid w:val="00E1568C"/>
    <w:rsid w:val="00E160C8"/>
    <w:rsid w:val="00E213FF"/>
    <w:rsid w:val="00E26ADD"/>
    <w:rsid w:val="00E27F84"/>
    <w:rsid w:val="00E32F91"/>
    <w:rsid w:val="00E339AD"/>
    <w:rsid w:val="00E341C1"/>
    <w:rsid w:val="00E40D6A"/>
    <w:rsid w:val="00E41E82"/>
    <w:rsid w:val="00E420AB"/>
    <w:rsid w:val="00E46D1A"/>
    <w:rsid w:val="00E526FF"/>
    <w:rsid w:val="00E608EA"/>
    <w:rsid w:val="00E61178"/>
    <w:rsid w:val="00E612A4"/>
    <w:rsid w:val="00E61F5C"/>
    <w:rsid w:val="00E660D0"/>
    <w:rsid w:val="00E72902"/>
    <w:rsid w:val="00E7699E"/>
    <w:rsid w:val="00E77FBE"/>
    <w:rsid w:val="00E8031C"/>
    <w:rsid w:val="00E847FE"/>
    <w:rsid w:val="00E851C9"/>
    <w:rsid w:val="00E853E4"/>
    <w:rsid w:val="00E93B16"/>
    <w:rsid w:val="00E95294"/>
    <w:rsid w:val="00EA00CE"/>
    <w:rsid w:val="00EA0879"/>
    <w:rsid w:val="00EA0C40"/>
    <w:rsid w:val="00EB5CDA"/>
    <w:rsid w:val="00EC17AD"/>
    <w:rsid w:val="00EC4ABC"/>
    <w:rsid w:val="00EC6F75"/>
    <w:rsid w:val="00ED19F9"/>
    <w:rsid w:val="00ED203B"/>
    <w:rsid w:val="00ED2A8A"/>
    <w:rsid w:val="00ED476E"/>
    <w:rsid w:val="00EE0539"/>
    <w:rsid w:val="00EE617B"/>
    <w:rsid w:val="00EE72AF"/>
    <w:rsid w:val="00EF18FC"/>
    <w:rsid w:val="00EF2DD7"/>
    <w:rsid w:val="00EF408E"/>
    <w:rsid w:val="00EF62DA"/>
    <w:rsid w:val="00F00058"/>
    <w:rsid w:val="00F0028C"/>
    <w:rsid w:val="00F038CD"/>
    <w:rsid w:val="00F04EE4"/>
    <w:rsid w:val="00F11E42"/>
    <w:rsid w:val="00F13D0F"/>
    <w:rsid w:val="00F14DE0"/>
    <w:rsid w:val="00F152CE"/>
    <w:rsid w:val="00F2180A"/>
    <w:rsid w:val="00F30E52"/>
    <w:rsid w:val="00F3262E"/>
    <w:rsid w:val="00F3349C"/>
    <w:rsid w:val="00F335B9"/>
    <w:rsid w:val="00F3390F"/>
    <w:rsid w:val="00F36741"/>
    <w:rsid w:val="00F42780"/>
    <w:rsid w:val="00F43C5A"/>
    <w:rsid w:val="00F45BE9"/>
    <w:rsid w:val="00F45DDF"/>
    <w:rsid w:val="00F461D8"/>
    <w:rsid w:val="00F51638"/>
    <w:rsid w:val="00F60239"/>
    <w:rsid w:val="00F61BDC"/>
    <w:rsid w:val="00F62663"/>
    <w:rsid w:val="00F62686"/>
    <w:rsid w:val="00F712DD"/>
    <w:rsid w:val="00F71995"/>
    <w:rsid w:val="00F750DF"/>
    <w:rsid w:val="00F771F8"/>
    <w:rsid w:val="00F81C0B"/>
    <w:rsid w:val="00F82363"/>
    <w:rsid w:val="00F8270C"/>
    <w:rsid w:val="00F835EB"/>
    <w:rsid w:val="00F83CDE"/>
    <w:rsid w:val="00F84EF4"/>
    <w:rsid w:val="00F969A6"/>
    <w:rsid w:val="00FA26D2"/>
    <w:rsid w:val="00FA461B"/>
    <w:rsid w:val="00FA7EC8"/>
    <w:rsid w:val="00FA7F65"/>
    <w:rsid w:val="00FB2FAE"/>
    <w:rsid w:val="00FB36D1"/>
    <w:rsid w:val="00FB3A33"/>
    <w:rsid w:val="00FB4469"/>
    <w:rsid w:val="00FB66B8"/>
    <w:rsid w:val="00FB7BEC"/>
    <w:rsid w:val="00FC1232"/>
    <w:rsid w:val="00FC42D9"/>
    <w:rsid w:val="00FC653F"/>
    <w:rsid w:val="00FC715B"/>
    <w:rsid w:val="00FE15F2"/>
    <w:rsid w:val="00FE25E0"/>
    <w:rsid w:val="00FE33CE"/>
    <w:rsid w:val="00FF244E"/>
    <w:rsid w:val="26F3563C"/>
    <w:rsid w:val="7526650C"/>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46088"/>
  <w15:docId w15:val="{1C73B651-4EED-4002-8E1D-DC3F8B792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SG"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qFormat="1"/>
    <w:lsdException w:name="toc 5" w:semiHidden="1" w:uiPriority="39" w:unhideWhenUsed="1" w:qFormat="1"/>
    <w:lsdException w:name="toc 6" w:semiHidden="1" w:uiPriority="39" w:unhideWhenUsed="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hAnsi="Times New Roman"/>
      <w:kern w:val="2"/>
      <w:sz w:val="24"/>
      <w:szCs w:val="24"/>
      <w:lang w:eastAsia="en-US"/>
      <w14:ligatures w14:val="standardContextual"/>
    </w:rPr>
  </w:style>
  <w:style w:type="paragraph" w:styleId="Heading1">
    <w:name w:val="heading 1"/>
    <w:basedOn w:val="Normal"/>
    <w:next w:val="Normal"/>
    <w:link w:val="Heading1Char"/>
    <w:uiPriority w:val="9"/>
    <w:qFormat/>
    <w:pPr>
      <w:keepNext/>
      <w:keepLines/>
      <w:spacing w:before="240"/>
      <w:outlineLvl w:val="0"/>
    </w:pPr>
    <w:rPr>
      <w:rFonts w:eastAsiaTheme="majorEastAsia" w:cstheme="majorBidi"/>
      <w:b/>
      <w:color w:val="000000" w:themeColor="text1"/>
      <w:sz w:val="28"/>
      <w:szCs w:val="32"/>
    </w:rPr>
  </w:style>
  <w:style w:type="paragraph" w:styleId="Heading2">
    <w:name w:val="heading 2"/>
    <w:basedOn w:val="Normal"/>
    <w:next w:val="Normal"/>
    <w:link w:val="Heading2Char"/>
    <w:uiPriority w:val="9"/>
    <w:unhideWhenUsed/>
    <w:qFormat/>
    <w:pPr>
      <w:keepNext/>
      <w:keepLines/>
      <w:spacing w:before="40"/>
      <w:outlineLvl w:val="1"/>
    </w:pPr>
    <w:rPr>
      <w:rFonts w:eastAsiaTheme="majorEastAsia" w:cstheme="majorBidi"/>
      <w:b/>
      <w:color w:val="000000" w:themeColor="text1"/>
      <w:szCs w:val="26"/>
    </w:rPr>
  </w:style>
  <w:style w:type="paragraph" w:styleId="Heading3">
    <w:name w:val="heading 3"/>
    <w:basedOn w:val="Normal"/>
    <w:next w:val="Normal"/>
    <w:link w:val="Heading3Char"/>
    <w:uiPriority w:val="9"/>
    <w:unhideWhenUsed/>
    <w:qFormat/>
    <w:pPr>
      <w:keepNext/>
      <w:keepLines/>
      <w:spacing w:before="40"/>
      <w:outlineLvl w:val="2"/>
    </w:pPr>
    <w:rPr>
      <w:rFonts w:eastAsiaTheme="majorEastAsia"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autoRedefine/>
    <w:uiPriority w:val="39"/>
    <w:semiHidden/>
    <w:unhideWhenUsed/>
    <w:qFormat/>
    <w:pPr>
      <w:ind w:left="1440"/>
    </w:pPr>
    <w:rPr>
      <w:rFonts w:cstheme="minorHAnsi"/>
      <w:sz w:val="20"/>
      <w:szCs w:val="20"/>
    </w:rPr>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CommentText">
    <w:name w:val="annotation text"/>
    <w:basedOn w:val="Normal"/>
    <w:link w:val="CommentTextChar"/>
    <w:autoRedefine/>
    <w:uiPriority w:val="99"/>
    <w:unhideWhenUsed/>
    <w:qFormat/>
    <w:rPr>
      <w:rFonts w:asciiTheme="minorHAnsi" w:eastAsiaTheme="minorEastAsia" w:hAnsiTheme="minorHAnsi"/>
      <w:sz w:val="20"/>
      <w:szCs w:val="20"/>
    </w:rPr>
  </w:style>
  <w:style w:type="paragraph" w:styleId="TOC5">
    <w:name w:val="toc 5"/>
    <w:basedOn w:val="Normal"/>
    <w:next w:val="Normal"/>
    <w:autoRedefine/>
    <w:uiPriority w:val="39"/>
    <w:semiHidden/>
    <w:unhideWhenUsed/>
    <w:qFormat/>
    <w:pPr>
      <w:ind w:left="960"/>
    </w:pPr>
    <w:rPr>
      <w:rFonts w:cstheme="minorHAnsi"/>
      <w:sz w:val="20"/>
      <w:szCs w:val="20"/>
    </w:rPr>
  </w:style>
  <w:style w:type="paragraph" w:styleId="TOC3">
    <w:name w:val="toc 3"/>
    <w:basedOn w:val="Normal"/>
    <w:next w:val="Normal"/>
    <w:autoRedefine/>
    <w:uiPriority w:val="39"/>
    <w:unhideWhenUsed/>
    <w:qFormat/>
    <w:pPr>
      <w:ind w:left="480"/>
    </w:pPr>
    <w:rPr>
      <w:rFonts w:cstheme="minorHAnsi"/>
      <w:sz w:val="20"/>
      <w:szCs w:val="20"/>
    </w:rPr>
  </w:style>
  <w:style w:type="paragraph" w:styleId="TOC8">
    <w:name w:val="toc 8"/>
    <w:basedOn w:val="Normal"/>
    <w:next w:val="Normal"/>
    <w:autoRedefine/>
    <w:uiPriority w:val="39"/>
    <w:semiHidden/>
    <w:unhideWhenUsed/>
    <w:qFormat/>
    <w:pPr>
      <w:ind w:left="1680"/>
    </w:pPr>
    <w:rPr>
      <w:rFonts w:cstheme="minorHAnsi"/>
      <w:sz w:val="20"/>
      <w:szCs w:val="20"/>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paragraph" w:styleId="TOC1">
    <w:name w:val="toc 1"/>
    <w:basedOn w:val="Normal"/>
    <w:next w:val="Normal"/>
    <w:autoRedefine/>
    <w:uiPriority w:val="39"/>
    <w:unhideWhenUsed/>
    <w:qFormat/>
    <w:pPr>
      <w:spacing w:before="120"/>
    </w:pPr>
    <w:rPr>
      <w:rFonts w:cstheme="minorHAnsi"/>
      <w:b/>
      <w:bCs/>
      <w:i/>
      <w:iCs/>
    </w:rPr>
  </w:style>
  <w:style w:type="paragraph" w:styleId="TOC4">
    <w:name w:val="toc 4"/>
    <w:basedOn w:val="Normal"/>
    <w:next w:val="Normal"/>
    <w:autoRedefine/>
    <w:uiPriority w:val="39"/>
    <w:semiHidden/>
    <w:unhideWhenUsed/>
    <w:qFormat/>
    <w:pPr>
      <w:ind w:left="720"/>
    </w:pPr>
    <w:rPr>
      <w:rFonts w:cstheme="minorHAnsi"/>
      <w:sz w:val="20"/>
      <w:szCs w:val="20"/>
    </w:rPr>
  </w:style>
  <w:style w:type="paragraph" w:styleId="TOC6">
    <w:name w:val="toc 6"/>
    <w:basedOn w:val="Normal"/>
    <w:next w:val="Normal"/>
    <w:autoRedefine/>
    <w:uiPriority w:val="39"/>
    <w:semiHidden/>
    <w:unhideWhenUsed/>
    <w:pPr>
      <w:ind w:left="1200"/>
    </w:pPr>
    <w:rPr>
      <w:rFonts w:cstheme="minorHAnsi"/>
      <w:sz w:val="20"/>
      <w:szCs w:val="20"/>
    </w:rPr>
  </w:style>
  <w:style w:type="paragraph" w:styleId="TOC2">
    <w:name w:val="toc 2"/>
    <w:basedOn w:val="Normal"/>
    <w:next w:val="Normal"/>
    <w:autoRedefine/>
    <w:uiPriority w:val="39"/>
    <w:unhideWhenUsed/>
    <w:pPr>
      <w:spacing w:before="120"/>
      <w:ind w:left="240"/>
    </w:pPr>
    <w:rPr>
      <w:rFonts w:cstheme="minorHAnsi"/>
      <w:b/>
      <w:bCs/>
      <w:sz w:val="22"/>
      <w:szCs w:val="22"/>
    </w:rPr>
  </w:style>
  <w:style w:type="paragraph" w:styleId="TOC9">
    <w:name w:val="toc 9"/>
    <w:basedOn w:val="Normal"/>
    <w:next w:val="Normal"/>
    <w:autoRedefine/>
    <w:uiPriority w:val="39"/>
    <w:semiHidden/>
    <w:unhideWhenUsed/>
    <w:qFormat/>
    <w:pPr>
      <w:ind w:left="1920"/>
    </w:pPr>
    <w:rPr>
      <w:rFonts w:cstheme="minorHAnsi"/>
      <w:sz w:val="20"/>
      <w:szCs w:val="20"/>
    </w:rPr>
  </w:style>
  <w:style w:type="paragraph" w:styleId="CommentSubject">
    <w:name w:val="annotation subject"/>
    <w:basedOn w:val="CommentText"/>
    <w:next w:val="CommentText"/>
    <w:link w:val="CommentSubjectChar"/>
    <w:uiPriority w:val="99"/>
    <w:semiHidden/>
    <w:unhideWhenUsed/>
    <w:qFormat/>
    <w:rPr>
      <w:rFonts w:ascii="Times New Roman" w:eastAsiaTheme="minorHAnsi" w:hAnsi="Times New Roman"/>
      <w:b/>
      <w:bCs/>
    </w:rPr>
  </w:style>
  <w:style w:type="table" w:styleId="TableGrid">
    <w:name w:val="Table Grid"/>
    <w:basedOn w:val="TableNormal"/>
    <w:uiPriority w:val="39"/>
    <w:qFormat/>
    <w:rPr>
      <w:rFonts w:eastAsiaTheme="minorEastAs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qFormat/>
  </w:style>
  <w:style w:type="character" w:styleId="FollowedHyperlink">
    <w:name w:val="FollowedHyperlink"/>
    <w:basedOn w:val="DefaultParagraphFont"/>
    <w:uiPriority w:val="99"/>
    <w:semiHidden/>
    <w:unhideWhenUsed/>
    <w:rPr>
      <w:color w:val="954F72" w:themeColor="followedHyperlink"/>
      <w:u w:val="single"/>
    </w:rPr>
  </w:style>
  <w:style w:type="character" w:styleId="Hyperlink">
    <w:name w:val="Hyperlink"/>
    <w:basedOn w:val="DefaultParagraphFont"/>
    <w:uiPriority w:val="99"/>
    <w:unhideWhenUsed/>
    <w:qFormat/>
    <w:rPr>
      <w:color w:val="0563C1" w:themeColor="hyperlink"/>
      <w:u w:val="single"/>
    </w:rPr>
  </w:style>
  <w:style w:type="character" w:styleId="CommentReference">
    <w:name w:val="annotation reference"/>
    <w:basedOn w:val="DefaultParagraphFont"/>
    <w:autoRedefine/>
    <w:uiPriority w:val="99"/>
    <w:semiHidden/>
    <w:unhideWhenUsed/>
    <w:qFormat/>
    <w:rPr>
      <w:sz w:val="16"/>
      <w:szCs w:val="16"/>
    </w:rPr>
  </w:style>
  <w:style w:type="character" w:styleId="PlaceholderText">
    <w:name w:val="Placeholder Text"/>
    <w:basedOn w:val="DefaultParagraphFont"/>
    <w:uiPriority w:val="99"/>
    <w:semiHidden/>
    <w:qFormat/>
    <w:rPr>
      <w:color w:val="666666"/>
    </w:rPr>
  </w:style>
  <w:style w:type="paragraph" w:customStyle="1" w:styleId="a">
    <w:name w:val="報告書"/>
    <w:basedOn w:val="Normal"/>
    <w:link w:val="a0"/>
    <w:qFormat/>
    <w:pPr>
      <w:widowControl w:val="0"/>
      <w:jc w:val="both"/>
    </w:pPr>
    <w:rPr>
      <w:rFonts w:eastAsia="MS PMincho"/>
      <w:spacing w:val="16"/>
      <w:szCs w:val="22"/>
      <w:lang w:val="en-US" w:eastAsia="ja-JP"/>
      <w14:ligatures w14:val="none"/>
    </w:rPr>
  </w:style>
  <w:style w:type="character" w:customStyle="1" w:styleId="a0">
    <w:name w:val="報告書 (文字)"/>
    <w:basedOn w:val="DefaultParagraphFont"/>
    <w:link w:val="a"/>
    <w:qFormat/>
    <w:rPr>
      <w:rFonts w:ascii="Times New Roman" w:eastAsia="MS PMincho" w:hAnsi="Times New Roman"/>
      <w:spacing w:val="16"/>
      <w:szCs w:val="22"/>
      <w:lang w:val="en-US" w:eastAsia="ja-JP"/>
      <w14:ligatures w14:val="none"/>
    </w:rPr>
  </w:style>
  <w:style w:type="character" w:customStyle="1" w:styleId="FooterChar">
    <w:name w:val="Footer Char"/>
    <w:basedOn w:val="DefaultParagraphFont"/>
    <w:link w:val="Footer"/>
    <w:uiPriority w:val="99"/>
    <w:qFormat/>
  </w:style>
  <w:style w:type="paragraph" w:customStyle="1" w:styleId="EndNoteBibliographyTitle">
    <w:name w:val="EndNote Bibliography Title"/>
    <w:basedOn w:val="Normal"/>
    <w:link w:val="EndNoteBibliographyTitleChar"/>
    <w:qFormat/>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qFormat/>
    <w:rPr>
      <w:rFonts w:ascii="Calibri" w:hAnsi="Calibri" w:cs="Calibri"/>
      <w:kern w:val="2"/>
      <w:sz w:val="24"/>
      <w:szCs w:val="24"/>
      <w:lang w:val="en-US" w:eastAsia="en-US"/>
      <w14:ligatures w14:val="standardContextual"/>
    </w:rPr>
  </w:style>
  <w:style w:type="paragraph" w:customStyle="1" w:styleId="EndNoteBibliography">
    <w:name w:val="EndNote Bibliography"/>
    <w:basedOn w:val="Normal"/>
    <w:link w:val="EndNoteBibliographyChar"/>
    <w:qFormat/>
    <w:pPr>
      <w:jc w:val="both"/>
    </w:pPr>
    <w:rPr>
      <w:rFonts w:ascii="Calibri" w:hAnsi="Calibri" w:cs="Calibri"/>
      <w:lang w:val="en-US"/>
    </w:rPr>
  </w:style>
  <w:style w:type="character" w:customStyle="1" w:styleId="EndNoteBibliographyChar">
    <w:name w:val="EndNote Bibliography Char"/>
    <w:basedOn w:val="DefaultParagraphFont"/>
    <w:link w:val="EndNoteBibliography"/>
    <w:qFormat/>
    <w:rPr>
      <w:rFonts w:ascii="Calibri" w:hAnsi="Calibri" w:cs="Calibri"/>
      <w:kern w:val="2"/>
      <w:sz w:val="24"/>
      <w:szCs w:val="24"/>
      <w:lang w:val="en-US" w:eastAsia="en-US"/>
      <w14:ligatures w14:val="standardContextual"/>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HeaderChar">
    <w:name w:val="Header Char"/>
    <w:basedOn w:val="DefaultParagraphFont"/>
    <w:link w:val="Header"/>
    <w:uiPriority w:val="99"/>
    <w:qFormat/>
  </w:style>
  <w:style w:type="character" w:customStyle="1" w:styleId="Heading1Char">
    <w:name w:val="Heading 1 Char"/>
    <w:basedOn w:val="DefaultParagraphFont"/>
    <w:link w:val="Heading1"/>
    <w:uiPriority w:val="9"/>
    <w:qFormat/>
    <w:rPr>
      <w:rFonts w:ascii="Times New Roman" w:eastAsiaTheme="majorEastAsia" w:hAnsi="Times New Roman" w:cstheme="majorBidi"/>
      <w:b/>
      <w:color w:val="000000" w:themeColor="text1"/>
      <w:sz w:val="28"/>
      <w:szCs w:val="32"/>
    </w:rPr>
  </w:style>
  <w:style w:type="paragraph" w:customStyle="1" w:styleId="TOCHeading1">
    <w:name w:val="TOC Heading1"/>
    <w:basedOn w:val="Heading1"/>
    <w:next w:val="Normal"/>
    <w:uiPriority w:val="39"/>
    <w:unhideWhenUsed/>
    <w:qFormat/>
    <w:pPr>
      <w:spacing w:before="480" w:line="276" w:lineRule="auto"/>
      <w:outlineLvl w:val="9"/>
    </w:pPr>
    <w:rPr>
      <w:b w:val="0"/>
      <w:bCs/>
      <w:kern w:val="0"/>
      <w:szCs w:val="28"/>
      <w:lang w:val="en-US"/>
      <w14:ligatures w14:val="none"/>
    </w:rPr>
  </w:style>
  <w:style w:type="character" w:customStyle="1" w:styleId="Heading2Char">
    <w:name w:val="Heading 2 Char"/>
    <w:basedOn w:val="DefaultParagraphFont"/>
    <w:link w:val="Heading2"/>
    <w:uiPriority w:val="9"/>
    <w:qFormat/>
    <w:rPr>
      <w:rFonts w:ascii="Times New Roman" w:eastAsiaTheme="majorEastAsia" w:hAnsi="Times New Roman" w:cstheme="majorBidi"/>
      <w:b/>
      <w:color w:val="000000" w:themeColor="text1"/>
      <w:szCs w:val="26"/>
    </w:rPr>
  </w:style>
  <w:style w:type="character" w:customStyle="1" w:styleId="Heading3Char">
    <w:name w:val="Heading 3 Char"/>
    <w:basedOn w:val="DefaultParagraphFont"/>
    <w:link w:val="Heading3"/>
    <w:uiPriority w:val="9"/>
    <w:qFormat/>
    <w:rPr>
      <w:rFonts w:ascii="Times New Roman" w:eastAsiaTheme="majorEastAsia" w:hAnsi="Times New Roman" w:cstheme="majorBidi"/>
      <w:b/>
      <w:color w:val="000000" w:themeColor="text1"/>
    </w:rPr>
  </w:style>
  <w:style w:type="paragraph" w:customStyle="1" w:styleId="paragraph">
    <w:name w:val="paragraph"/>
    <w:basedOn w:val="Normal"/>
    <w:qFormat/>
    <w:pPr>
      <w:spacing w:before="100" w:beforeAutospacing="1" w:after="100" w:afterAutospacing="1"/>
    </w:pPr>
    <w:rPr>
      <w:rFonts w:eastAsia="Times New Roman" w:cs="Times New Roman"/>
      <w:kern w:val="0"/>
      <w:lang w:eastAsia="en-GB"/>
      <w14:ligatures w14:val="none"/>
    </w:rPr>
  </w:style>
  <w:style w:type="character" w:customStyle="1" w:styleId="normaltextrun">
    <w:name w:val="normaltextrun"/>
    <w:basedOn w:val="DefaultParagraphFont"/>
    <w:qFormat/>
  </w:style>
  <w:style w:type="character" w:customStyle="1" w:styleId="eop">
    <w:name w:val="eop"/>
    <w:basedOn w:val="DefaultParagraphFont"/>
    <w:qFormat/>
  </w:style>
  <w:style w:type="character" w:customStyle="1" w:styleId="scxw217406857">
    <w:name w:val="scxw217406857"/>
    <w:basedOn w:val="DefaultParagraphFont"/>
    <w:qFormat/>
  </w:style>
  <w:style w:type="character" w:customStyle="1" w:styleId="mi">
    <w:name w:val="mi"/>
    <w:basedOn w:val="DefaultParagraphFont"/>
    <w:qFormat/>
  </w:style>
  <w:style w:type="character" w:customStyle="1" w:styleId="mn">
    <w:name w:val="mn"/>
    <w:basedOn w:val="DefaultParagraphFont"/>
    <w:qFormat/>
  </w:style>
  <w:style w:type="character" w:customStyle="1" w:styleId="mo">
    <w:name w:val="mo"/>
    <w:basedOn w:val="DefaultParagraphFont"/>
    <w:qFormat/>
  </w:style>
  <w:style w:type="character" w:customStyle="1" w:styleId="mjxassistivemathml">
    <w:name w:val="mjx_assistive_mathml"/>
    <w:basedOn w:val="DefaultParagraphFont"/>
    <w:qFormat/>
  </w:style>
  <w:style w:type="paragraph" w:styleId="ListParagraph">
    <w:name w:val="List Paragraph"/>
    <w:basedOn w:val="Normal"/>
    <w:uiPriority w:val="34"/>
    <w:qFormat/>
    <w:pPr>
      <w:ind w:left="720"/>
      <w:contextualSpacing/>
    </w:pPr>
  </w:style>
  <w:style w:type="character" w:customStyle="1" w:styleId="CommentTextChar">
    <w:name w:val="Comment Text Char"/>
    <w:basedOn w:val="DefaultParagraphFont"/>
    <w:link w:val="CommentText"/>
    <w:uiPriority w:val="99"/>
    <w:qFormat/>
    <w:rPr>
      <w:rFonts w:eastAsiaTheme="minorEastAsia"/>
      <w:sz w:val="20"/>
      <w:szCs w:val="20"/>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CommentSubjectChar">
    <w:name w:val="Comment Subject Char"/>
    <w:basedOn w:val="CommentTextChar"/>
    <w:link w:val="CommentSubject"/>
    <w:uiPriority w:val="99"/>
    <w:semiHidden/>
    <w:rPr>
      <w:rFonts w:ascii="Times New Roman" w:eastAsiaTheme="minorEastAsia" w:hAnsi="Times New Roman"/>
      <w:b/>
      <w:bCs/>
      <w:kern w:val="2"/>
      <w:sz w:val="20"/>
      <w:szCs w:val="20"/>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hyperlink" Target="https://doi.org:10.1016/j.jclepro.2022.132356" TargetMode="External"/><Relationship Id="rId47" Type="http://schemas.openxmlformats.org/officeDocument/2006/relationships/hyperlink" Target="https://doi.org:10.1021/acscatal.5b00728" TargetMode="External"/><Relationship Id="rId50" Type="http://schemas.openxmlformats.org/officeDocument/2006/relationships/hyperlink" Target="https://doi.org:10.1039/d1ee03730g" TargetMode="External"/><Relationship Id="rId55" Type="http://schemas.openxmlformats.org/officeDocument/2006/relationships/hyperlink" Target="https://doi.org:10.1002/adma.202203364" TargetMode="External"/><Relationship Id="rId63" Type="http://schemas.openxmlformats.org/officeDocument/2006/relationships/footer" Target="footer1.xml"/><Relationship Id="rId7" Type="http://schemas.openxmlformats.org/officeDocument/2006/relationships/hyperlink" Target="mailto:ning.yan@nus.edu.sg" TargetMode="External"/><Relationship Id="rId2" Type="http://schemas.openxmlformats.org/officeDocument/2006/relationships/styles" Target="styles.xml"/><Relationship Id="rId16" Type="http://schemas.openxmlformats.org/officeDocument/2006/relationships/image" Target="media/image6.png"/><Relationship Id="rId29" Type="http://schemas.openxmlformats.org/officeDocument/2006/relationships/image" Target="media/image19.png"/><Relationship Id="rId11" Type="http://schemas.microsoft.com/office/2016/09/relationships/commentsIds" Target="commentsIds.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hyperlink" Target="https://doi.org:10.1016/j.proci.2018.06.138" TargetMode="External"/><Relationship Id="rId40" Type="http://schemas.openxmlformats.org/officeDocument/2006/relationships/hyperlink" Target="https://www.spglobal.com/commodityinsights/en/market-insights/latest-news/energy-transition/031924-blue-green-ammonia-prices-diverge-as-electrolysis-power-prices-rise-natural-gas-falls" TargetMode="External"/><Relationship Id="rId45" Type="http://schemas.openxmlformats.org/officeDocument/2006/relationships/hyperlink" Target="https://www.ema.gov.sg/resources/faqs/energy-supply/solar/what-is-the-potential-of-solar-energy-in-singapore" TargetMode="External"/><Relationship Id="rId53" Type="http://schemas.openxmlformats.org/officeDocument/2006/relationships/hyperlink" Target="https://doi.org:10.1016/j.jpowsour.2018.03.043" TargetMode="External"/><Relationship Id="rId58" Type="http://schemas.openxmlformats.org/officeDocument/2006/relationships/hyperlink" Target="https://doi.org:10.1016/j.apcatb.2020.119405" TargetMode="External"/><Relationship Id="rId66" Type="http://schemas.microsoft.com/office/2011/relationships/people" Target="people.xml"/><Relationship Id="rId5" Type="http://schemas.openxmlformats.org/officeDocument/2006/relationships/footnotes" Target="footnotes.xml"/><Relationship Id="rId61" Type="http://schemas.openxmlformats.org/officeDocument/2006/relationships/hyperlink" Target="https://doi.org:https://doi.org/10.1016/j.ijhydene.2024.05.379" TargetMode="External"/><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hyperlink" Target="https://doi.org:https://doi.org/10.1016/j.ijhydene.2018.06.065" TargetMode="External"/><Relationship Id="rId48" Type="http://schemas.openxmlformats.org/officeDocument/2006/relationships/hyperlink" Target="https://doi.org:10.1007/s11090-022-10282-y" TargetMode="External"/><Relationship Id="rId56" Type="http://schemas.openxmlformats.org/officeDocument/2006/relationships/hyperlink" Target="https://doi.org:10.1002/aenm.202301286" TargetMode="External"/><Relationship Id="rId64"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hyperlink" Target="https://doi.org:10.1021/acsaem.8b00351" TargetMode="External"/><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hyperlink" Target="https://doi.org:10.1021/ie900144x" TargetMode="External"/><Relationship Id="rId46" Type="http://schemas.openxmlformats.org/officeDocument/2006/relationships/hyperlink" Target="https://doi.org:10.1016/j.cej.2021.130802" TargetMode="External"/><Relationship Id="rId59" Type="http://schemas.openxmlformats.org/officeDocument/2006/relationships/hyperlink" Target="https://doi.org:https://doi.org/10.1016/j.apcatb.2024.123844" TargetMode="External"/><Relationship Id="rId67" Type="http://schemas.openxmlformats.org/officeDocument/2006/relationships/theme" Target="theme/theme1.xml"/><Relationship Id="rId20" Type="http://schemas.openxmlformats.org/officeDocument/2006/relationships/image" Target="media/image10.png"/><Relationship Id="rId41" Type="http://schemas.openxmlformats.org/officeDocument/2006/relationships/hyperlink" Target="https://doi.org:10.1016/j.ijhydene.2021.07.188" TargetMode="External"/><Relationship Id="rId54" Type="http://schemas.openxmlformats.org/officeDocument/2006/relationships/hyperlink" Target="https://doi.org:10.1016/j.jpowsour.2021.230081" TargetMode="External"/><Relationship Id="rId62" Type="http://schemas.openxmlformats.org/officeDocument/2006/relationships/hyperlink" Target="https://doi.org:https://doi.org/10.1016/j.mcat.2024.114201"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hyperlink" Target="https://doi.org:10.1038/s41467-023-36339-w" TargetMode="External"/><Relationship Id="rId57" Type="http://schemas.openxmlformats.org/officeDocument/2006/relationships/hyperlink" Target="https://doi.org:10.1038/s41467-023-44661-6" TargetMode="External"/><Relationship Id="rId10" Type="http://schemas.microsoft.com/office/2011/relationships/commentsExtended" Target="commentsExtended.xml"/><Relationship Id="rId31" Type="http://schemas.openxmlformats.org/officeDocument/2006/relationships/image" Target="media/image21.png"/><Relationship Id="rId44" Type="http://schemas.openxmlformats.org/officeDocument/2006/relationships/hyperlink" Target="https://doi.org:https://doi.org/10.1016/j.ijhydene.2020.02.035" TargetMode="External"/><Relationship Id="rId52" Type="http://schemas.openxmlformats.org/officeDocument/2006/relationships/hyperlink" Target="https://doi.org:10.1038/s41467-019-11848-9" TargetMode="External"/><Relationship Id="rId60" Type="http://schemas.openxmlformats.org/officeDocument/2006/relationships/hyperlink" Target="https://doi.org:https://doi.org/10.1016/j.isci.2024.110028"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omments" Target="comment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hyperlink" Target="https://doi.org:10.1016/j.mee.2008.07.0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935E9-124B-8D4C-9D01-B88112EC3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27</Pages>
  <Words>10350</Words>
  <Characters>58996</Characters>
  <Application>Microsoft Office Word</Application>
  <DocSecurity>0</DocSecurity>
  <Lines>491</Lines>
  <Paragraphs>138</Paragraphs>
  <ScaleCrop>false</ScaleCrop>
  <Company/>
  <LinksUpToDate>false</LinksUpToDate>
  <CharactersWithSpaces>69208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Keshia Saradima Indriadi</dc:creator>
  <cp:lastModifiedBy>Yan Ning</cp:lastModifiedBy>
  <cp:revision>11</cp:revision>
  <dcterms:created xsi:type="dcterms:W3CDTF">2025-01-31T07:27:00Z</dcterms:created>
  <dcterms:modified xsi:type="dcterms:W3CDTF">2025-02-16T07:14:00Z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D744CFE1333F4008ABBEC8BEE92E606E_13</vt:lpwstr>
  </property>
</Properties>
</file>