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8B710" w14:textId="77777777" w:rsidR="001C696A" w:rsidRDefault="001C696A" w:rsidP="001C696A">
      <w:pPr>
        <w:tabs>
          <w:tab w:val="left" w:pos="661"/>
        </w:tabs>
        <w:spacing w:line="360" w:lineRule="auto"/>
        <w:jc w:val="center"/>
        <w:rPr>
          <w:rFonts w:ascii="Times New Roman" w:eastAsia="SimSun" w:hAnsi="Times New Roman" w:cs="Times New Roman"/>
          <w:color w:val="000000"/>
          <w:spacing w:val="12"/>
          <w:sz w:val="24"/>
        </w:rPr>
      </w:pPr>
      <w:r>
        <w:rPr>
          <w:rFonts w:ascii="Times New Roman" w:eastAsia="SimSun" w:hAnsi="Times New Roman" w:cs="Times New Roman"/>
          <w:noProof/>
          <w:color w:val="000000"/>
          <w:spacing w:val="12"/>
          <w:sz w:val="24"/>
        </w:rPr>
        <w:drawing>
          <wp:inline distT="0" distB="0" distL="0" distR="0" wp14:anchorId="734FC06F" wp14:editId="55966992">
            <wp:extent cx="4332605" cy="226631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4576" cy="23460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D3D2ED" w14:textId="77777777" w:rsidR="001C696A" w:rsidRDefault="001C696A" w:rsidP="001C696A">
      <w:pPr>
        <w:tabs>
          <w:tab w:val="left" w:pos="661"/>
        </w:tabs>
        <w:spacing w:line="360" w:lineRule="auto"/>
        <w:jc w:val="center"/>
        <w:rPr>
          <w:rFonts w:ascii="Times New Roman" w:eastAsia="SimSun" w:hAnsi="Times New Roman" w:cs="Times New Roman"/>
          <w:color w:val="000000"/>
          <w:spacing w:val="12"/>
          <w:sz w:val="24"/>
        </w:rPr>
      </w:pPr>
      <w:r>
        <w:rPr>
          <w:rFonts w:ascii="Times New Roman" w:eastAsia="SimSun" w:hAnsi="Times New Roman" w:cs="Times New Roman"/>
          <w:color w:val="000000"/>
          <w:spacing w:val="12"/>
          <w:sz w:val="24"/>
        </w:rPr>
        <w:t>Scheme 1.</w:t>
      </w:r>
      <w:r>
        <w:t xml:space="preserve"> </w:t>
      </w:r>
      <w:r>
        <w:rPr>
          <w:rFonts w:ascii="Times New Roman" w:eastAsia="SimSun" w:hAnsi="Times New Roman" w:cs="Times New Roman" w:hint="eastAsia"/>
          <w:color w:val="000000"/>
          <w:spacing w:val="12"/>
          <w:sz w:val="24"/>
        </w:rPr>
        <w:t>Schematic diagram of IONP epoxy group surface functionalization coupled with CD4 antibody for sorting CD4+T cells</w:t>
      </w:r>
    </w:p>
    <w:p w14:paraId="4A056E2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96A"/>
    <w:rsid w:val="001C696A"/>
    <w:rsid w:val="00A3738C"/>
    <w:rsid w:val="00D16A41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63304"/>
  <w15:chartTrackingRefBased/>
  <w15:docId w15:val="{D7A279E4-F9E9-488E-AD1C-EBB2DA166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96A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696A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696A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696A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696A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696A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696A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696A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696A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696A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69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69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69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69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69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69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69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69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69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696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C69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696A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C69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696A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C69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696A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C69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696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69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69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>Springer Nature</Company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2025-02-26T07:45:00Z</dcterms:created>
  <dcterms:modified xsi:type="dcterms:W3CDTF">2025-02-26T07:46:00Z</dcterms:modified>
</cp:coreProperties>
</file>