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2310F">
      <w:pPr>
        <w:widowControl/>
        <w:shd w:val="clear" w:color="auto" w:fill="FFFFFF"/>
        <w:spacing w:line="276" w:lineRule="auto"/>
        <w:rPr>
          <w:rFonts w:ascii="Times New Roman" w:hAnsi="Times New Roman" w:eastAsia="微软雅黑" w:cs="Times New Roman"/>
          <w:color w:val="000000" w:themeColor="text1"/>
          <w:kern w:val="0"/>
          <w:sz w:val="24"/>
          <w:szCs w:val="24"/>
          <w:lang w:val="en-GB"/>
          <w14:textFill>
            <w14:solidFill>
              <w14:schemeClr w14:val="tx1"/>
            </w14:solidFill>
          </w14:textFill>
        </w:rPr>
      </w:pPr>
      <w:r>
        <w:rPr>
          <w:rFonts w:ascii="Arial" w:hAnsi="Arial" w:cs="Arial"/>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margin">
              <wp:align>center</wp:align>
            </wp:positionH>
            <wp:positionV relativeFrom="margin">
              <wp:align>top</wp:align>
            </wp:positionV>
            <wp:extent cx="4013835" cy="828040"/>
            <wp:effectExtent l="0" t="0" r="5715"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014000" cy="828000"/>
                    </a:xfrm>
                    <a:prstGeom prst="rect">
                      <a:avLst/>
                    </a:prstGeom>
                    <a:noFill/>
                    <a:ln>
                      <a:noFill/>
                    </a:ln>
                  </pic:spPr>
                </pic:pic>
              </a:graphicData>
            </a:graphic>
          </wp:anchor>
        </w:drawing>
      </w:r>
      <w:r>
        <w:rPr>
          <w:rFonts w:ascii="Times New Roman" w:hAnsi="Times New Roman" w:eastAsia="微软雅黑" w:cs="Times New Roman"/>
          <w:color w:val="000000" w:themeColor="text1"/>
          <w:kern w:val="0"/>
          <w:sz w:val="24"/>
          <w:szCs w:val="24"/>
          <w:lang w:val="en-GB"/>
          <w14:textFill>
            <w14:solidFill>
              <w14:schemeClr w14:val="tx1"/>
            </w14:solidFill>
          </w14:textFill>
        </w:rPr>
        <w:t>SPIRIT 2013 Checklist: Recommended items to address in a clinical trial protocol and related documents*</w:t>
      </w:r>
    </w:p>
    <w:tbl>
      <w:tblPr>
        <w:tblStyle w:val="7"/>
        <w:tblW w:w="5000" w:type="pct"/>
        <w:tblInd w:w="0" w:type="dxa"/>
        <w:tblLayout w:type="fixed"/>
        <w:tblCellMar>
          <w:top w:w="0" w:type="dxa"/>
          <w:left w:w="56" w:type="dxa"/>
          <w:bottom w:w="0" w:type="dxa"/>
          <w:right w:w="56" w:type="dxa"/>
        </w:tblCellMar>
      </w:tblPr>
      <w:tblGrid>
        <w:gridCol w:w="1577"/>
        <w:gridCol w:w="716"/>
        <w:gridCol w:w="6302"/>
        <w:gridCol w:w="1263"/>
      </w:tblGrid>
      <w:tr w14:paraId="571C0EF4">
        <w:tblPrEx>
          <w:tblCellMar>
            <w:top w:w="0" w:type="dxa"/>
            <w:left w:w="56" w:type="dxa"/>
            <w:bottom w:w="0" w:type="dxa"/>
            <w:right w:w="56" w:type="dxa"/>
          </w:tblCellMar>
        </w:tblPrEx>
        <w:trPr>
          <w:cantSplit/>
          <w:trHeight w:val="259" w:hRule="atLeast"/>
        </w:trPr>
        <w:tc>
          <w:tcPr>
            <w:tcW w:w="799" w:type="pct"/>
            <w:tcBorders>
              <w:top w:val="single" w:color="auto" w:sz="4" w:space="0"/>
              <w:bottom w:val="single" w:color="auto" w:sz="4" w:space="0"/>
            </w:tcBorders>
            <w:shd w:val="clear" w:color="auto" w:fill="auto"/>
            <w:tcMar>
              <w:top w:w="85" w:type="dxa"/>
              <w:bottom w:w="85" w:type="dxa"/>
            </w:tcMar>
          </w:tcPr>
          <w:p w14:paraId="09511C64">
            <w:pPr>
              <w:pStyle w:val="11"/>
              <w:rPr>
                <w:color w:val="000000" w:themeColor="text1"/>
                <w:szCs w:val="24"/>
                <w14:textFill>
                  <w14:solidFill>
                    <w14:schemeClr w14:val="tx1"/>
                  </w14:solidFill>
                </w14:textFill>
              </w:rPr>
            </w:pPr>
            <w:r>
              <w:rPr>
                <w:color w:val="000000" w:themeColor="text1"/>
                <w:szCs w:val="24"/>
                <w14:textFill>
                  <w14:solidFill>
                    <w14:schemeClr w14:val="tx1"/>
                  </w14:solidFill>
                </w14:textFill>
              </w:rPr>
              <w:t>Section/item</w:t>
            </w:r>
          </w:p>
        </w:tc>
        <w:tc>
          <w:tcPr>
            <w:tcW w:w="363" w:type="pct"/>
            <w:tcBorders>
              <w:top w:val="single" w:color="auto" w:sz="4" w:space="0"/>
              <w:bottom w:val="single" w:color="auto" w:sz="4" w:space="0"/>
            </w:tcBorders>
            <w:shd w:val="clear" w:color="auto" w:fill="auto"/>
          </w:tcPr>
          <w:p w14:paraId="07BAE4CD">
            <w:pPr>
              <w:pStyle w:val="11"/>
              <w:rPr>
                <w:color w:val="000000" w:themeColor="text1"/>
                <w:szCs w:val="24"/>
                <w14:textFill>
                  <w14:solidFill>
                    <w14:schemeClr w14:val="tx1"/>
                  </w14:solidFill>
                </w14:textFill>
              </w:rPr>
            </w:pPr>
            <w:r>
              <w:rPr>
                <w:color w:val="000000" w:themeColor="text1"/>
                <w:szCs w:val="24"/>
                <w14:textFill>
                  <w14:solidFill>
                    <w14:schemeClr w14:val="tx1"/>
                  </w14:solidFill>
                </w14:textFill>
              </w:rPr>
              <w:t>Item No</w:t>
            </w:r>
          </w:p>
        </w:tc>
        <w:tc>
          <w:tcPr>
            <w:tcW w:w="3196" w:type="pct"/>
            <w:tcBorders>
              <w:top w:val="single" w:color="auto" w:sz="4" w:space="0"/>
              <w:bottom w:val="single" w:color="auto" w:sz="4" w:space="0"/>
            </w:tcBorders>
            <w:shd w:val="clear" w:color="auto" w:fill="auto"/>
          </w:tcPr>
          <w:p w14:paraId="27E82FFE">
            <w:pPr>
              <w:pStyle w:val="11"/>
              <w:rPr>
                <w:color w:val="000000" w:themeColor="text1"/>
                <w:szCs w:val="24"/>
                <w14:textFill>
                  <w14:solidFill>
                    <w14:schemeClr w14:val="tx1"/>
                  </w14:solidFill>
                </w14:textFill>
              </w:rPr>
            </w:pPr>
            <w:r>
              <w:rPr>
                <w:color w:val="000000" w:themeColor="text1"/>
                <w:szCs w:val="24"/>
                <w14:textFill>
                  <w14:solidFill>
                    <w14:schemeClr w14:val="tx1"/>
                  </w14:solidFill>
                </w14:textFill>
              </w:rPr>
              <w:t>Description</w:t>
            </w:r>
          </w:p>
        </w:tc>
        <w:tc>
          <w:tcPr>
            <w:tcW w:w="640" w:type="pct"/>
            <w:tcBorders>
              <w:top w:val="single" w:color="auto" w:sz="4" w:space="0"/>
              <w:bottom w:val="single" w:color="auto" w:sz="4" w:space="0"/>
            </w:tcBorders>
          </w:tcPr>
          <w:p w14:paraId="1185DA80">
            <w:pPr>
              <w:pStyle w:val="11"/>
              <w:rPr>
                <w:color w:val="000000" w:themeColor="text1"/>
                <w:szCs w:val="24"/>
                <w14:textFill>
                  <w14:solidFill>
                    <w14:schemeClr w14:val="tx1"/>
                  </w14:solidFill>
                </w14:textFill>
              </w:rPr>
            </w:pPr>
            <w:r>
              <w:rPr>
                <w:color w:val="000000" w:themeColor="text1"/>
                <w:szCs w:val="24"/>
                <w14:textFill>
                  <w14:solidFill>
                    <w14:schemeClr w14:val="tx1"/>
                  </w14:solidFill>
                </w14:textFill>
              </w:rPr>
              <w:t>Addressed on page number</w:t>
            </w:r>
          </w:p>
        </w:tc>
      </w:tr>
      <w:tr w14:paraId="4B69F1E6">
        <w:tblPrEx>
          <w:tblCellMar>
            <w:top w:w="0" w:type="dxa"/>
            <w:left w:w="56" w:type="dxa"/>
            <w:bottom w:w="0" w:type="dxa"/>
            <w:right w:w="56" w:type="dxa"/>
          </w:tblCellMar>
        </w:tblPrEx>
        <w:trPr>
          <w:cantSplit/>
          <w:trHeight w:val="259" w:hRule="atLeast"/>
        </w:trPr>
        <w:tc>
          <w:tcPr>
            <w:tcW w:w="4359" w:type="pct"/>
            <w:gridSpan w:val="3"/>
            <w:tcBorders>
              <w:top w:val="single" w:color="auto" w:sz="4" w:space="0"/>
            </w:tcBorders>
            <w:shd w:val="clear" w:color="auto" w:fill="auto"/>
            <w:tcMar>
              <w:top w:w="85" w:type="dxa"/>
              <w:bottom w:w="85" w:type="dxa"/>
            </w:tcMar>
          </w:tcPr>
          <w:p w14:paraId="6A769828">
            <w:pPr>
              <w:spacing w:before="18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Administrative information</w:t>
            </w:r>
          </w:p>
        </w:tc>
        <w:tc>
          <w:tcPr>
            <w:tcW w:w="640" w:type="pct"/>
            <w:tcBorders>
              <w:top w:val="single" w:color="auto" w:sz="4" w:space="0"/>
            </w:tcBorders>
          </w:tcPr>
          <w:p w14:paraId="62B8177D">
            <w:pPr>
              <w:jc w:val="center"/>
              <w:rPr>
                <w:rFonts w:ascii="Times New Roman" w:hAnsi="Times New Roman" w:cs="Times New Roman"/>
                <w:b/>
                <w:color w:val="000000" w:themeColor="text1"/>
                <w:sz w:val="24"/>
                <w:szCs w:val="24"/>
                <w14:textFill>
                  <w14:solidFill>
                    <w14:schemeClr w14:val="tx1"/>
                  </w14:solidFill>
                </w14:textFill>
              </w:rPr>
            </w:pPr>
          </w:p>
        </w:tc>
      </w:tr>
      <w:tr w14:paraId="3F282032">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3A71D61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Title</w:t>
            </w:r>
          </w:p>
        </w:tc>
        <w:tc>
          <w:tcPr>
            <w:tcW w:w="363" w:type="pct"/>
          </w:tcPr>
          <w:p w14:paraId="3C2E88B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w:t>
            </w:r>
          </w:p>
        </w:tc>
        <w:tc>
          <w:tcPr>
            <w:tcW w:w="3196" w:type="pct"/>
            <w:shd w:val="clear" w:color="auto" w:fill="auto"/>
          </w:tcPr>
          <w:p w14:paraId="603FD14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Descriptive title identifying the study design, population, interventions, and, if applicable, trial acronym</w:t>
            </w:r>
          </w:p>
        </w:tc>
        <w:tc>
          <w:tcPr>
            <w:tcW w:w="640" w:type="pct"/>
          </w:tcPr>
          <w:p w14:paraId="0B4DB512">
            <w:pPr>
              <w:jc w:val="center"/>
              <w:rPr>
                <w:rFonts w:ascii="Times New Roman" w:hAnsi="Times New Roman" w:cs="Times New Roman"/>
                <w:color w:val="FF0000"/>
                <w:sz w:val="24"/>
                <w:szCs w:val="24"/>
              </w:rPr>
            </w:pPr>
            <w:r>
              <w:rPr>
                <w:rFonts w:ascii="Times New Roman" w:hAnsi="Times New Roman" w:cs="Times New Roman"/>
                <w:color w:val="FF0000"/>
                <w:sz w:val="24"/>
                <w:szCs w:val="24"/>
              </w:rPr>
              <w:t>4</w:t>
            </w:r>
          </w:p>
        </w:tc>
      </w:tr>
      <w:tr w14:paraId="2046775F">
        <w:tblPrEx>
          <w:tblCellMar>
            <w:top w:w="0" w:type="dxa"/>
            <w:left w:w="56" w:type="dxa"/>
            <w:bottom w:w="0" w:type="dxa"/>
            <w:right w:w="56" w:type="dxa"/>
          </w:tblCellMar>
        </w:tblPrEx>
        <w:trPr>
          <w:cantSplit/>
          <w:trHeight w:val="259" w:hRule="atLeast"/>
        </w:trPr>
        <w:tc>
          <w:tcPr>
            <w:tcW w:w="799" w:type="pct"/>
            <w:vMerge w:val="restart"/>
            <w:shd w:val="clear" w:color="auto" w:fill="auto"/>
            <w:tcMar>
              <w:top w:w="85" w:type="dxa"/>
              <w:bottom w:w="85" w:type="dxa"/>
            </w:tcMar>
          </w:tcPr>
          <w:p w14:paraId="016801E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Trial registration</w:t>
            </w:r>
          </w:p>
        </w:tc>
        <w:tc>
          <w:tcPr>
            <w:tcW w:w="363" w:type="pct"/>
          </w:tcPr>
          <w:p w14:paraId="0E1D7EF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2a</w:t>
            </w:r>
          </w:p>
        </w:tc>
        <w:tc>
          <w:tcPr>
            <w:tcW w:w="3196" w:type="pct"/>
          </w:tcPr>
          <w:p w14:paraId="1C9C9C3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Trial identifier and registry name. If not yet registered, name of intended registry</w:t>
            </w:r>
          </w:p>
        </w:tc>
        <w:tc>
          <w:tcPr>
            <w:tcW w:w="640" w:type="pct"/>
          </w:tcPr>
          <w:p w14:paraId="3F2241E3">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4</w:t>
            </w:r>
          </w:p>
        </w:tc>
      </w:tr>
      <w:tr w14:paraId="48851750">
        <w:tblPrEx>
          <w:tblCellMar>
            <w:top w:w="0" w:type="dxa"/>
            <w:left w:w="56" w:type="dxa"/>
            <w:bottom w:w="0" w:type="dxa"/>
            <w:right w:w="56" w:type="dxa"/>
          </w:tblCellMar>
        </w:tblPrEx>
        <w:trPr>
          <w:cantSplit/>
          <w:trHeight w:val="259" w:hRule="atLeast"/>
        </w:trPr>
        <w:tc>
          <w:tcPr>
            <w:tcW w:w="799" w:type="pct"/>
            <w:vMerge w:val="continue"/>
            <w:shd w:val="clear" w:color="auto" w:fill="auto"/>
            <w:tcMar>
              <w:top w:w="85" w:type="dxa"/>
              <w:bottom w:w="85" w:type="dxa"/>
            </w:tcMar>
          </w:tcPr>
          <w:p w14:paraId="4A5E47D6">
            <w:pPr>
              <w:rPr>
                <w:rFonts w:ascii="Times New Roman" w:hAnsi="Times New Roman" w:cs="Times New Roman"/>
                <w:color w:val="000000" w:themeColor="text1"/>
                <w:sz w:val="24"/>
                <w:szCs w:val="24"/>
                <w14:textFill>
                  <w14:solidFill>
                    <w14:schemeClr w14:val="tx1"/>
                  </w14:solidFill>
                </w14:textFill>
              </w:rPr>
            </w:pPr>
          </w:p>
        </w:tc>
        <w:tc>
          <w:tcPr>
            <w:tcW w:w="363" w:type="pct"/>
          </w:tcPr>
          <w:p w14:paraId="1DF6ABC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2b</w:t>
            </w:r>
          </w:p>
        </w:tc>
        <w:tc>
          <w:tcPr>
            <w:tcW w:w="3196" w:type="pct"/>
          </w:tcPr>
          <w:p w14:paraId="1B29566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All items from the World Health Organization Trial Registration Data Set</w:t>
            </w:r>
          </w:p>
        </w:tc>
        <w:tc>
          <w:tcPr>
            <w:tcW w:w="640" w:type="pct"/>
          </w:tcPr>
          <w:p w14:paraId="1BE5589C">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4</w:t>
            </w:r>
          </w:p>
        </w:tc>
      </w:tr>
      <w:tr w14:paraId="40CFED1D">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34DC2C3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Protocol version</w:t>
            </w:r>
          </w:p>
        </w:tc>
        <w:tc>
          <w:tcPr>
            <w:tcW w:w="363" w:type="pct"/>
          </w:tcPr>
          <w:p w14:paraId="7D98C66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w:t>
            </w:r>
          </w:p>
        </w:tc>
        <w:tc>
          <w:tcPr>
            <w:tcW w:w="3196" w:type="pct"/>
            <w:shd w:val="clear" w:color="auto" w:fill="auto"/>
            <w:tcMar>
              <w:top w:w="85" w:type="dxa"/>
              <w:bottom w:w="85" w:type="dxa"/>
            </w:tcMar>
          </w:tcPr>
          <w:p w14:paraId="6900D68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Date and version identifier</w:t>
            </w:r>
          </w:p>
        </w:tc>
        <w:tc>
          <w:tcPr>
            <w:tcW w:w="640" w:type="pct"/>
          </w:tcPr>
          <w:p w14:paraId="6033DDC6">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4</w:t>
            </w:r>
          </w:p>
        </w:tc>
      </w:tr>
      <w:tr w14:paraId="1244E67F">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03C858DE">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Funding</w:t>
            </w:r>
          </w:p>
        </w:tc>
        <w:tc>
          <w:tcPr>
            <w:tcW w:w="363" w:type="pct"/>
          </w:tcPr>
          <w:p w14:paraId="3805DC4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4</w:t>
            </w:r>
          </w:p>
        </w:tc>
        <w:tc>
          <w:tcPr>
            <w:tcW w:w="3196" w:type="pct"/>
            <w:shd w:val="clear" w:color="auto" w:fill="auto"/>
            <w:tcMar>
              <w:top w:w="85" w:type="dxa"/>
              <w:bottom w:w="85" w:type="dxa"/>
            </w:tcMar>
          </w:tcPr>
          <w:p w14:paraId="53E00F9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Sources and types of financial, material, and other support</w:t>
            </w:r>
          </w:p>
        </w:tc>
        <w:tc>
          <w:tcPr>
            <w:tcW w:w="640" w:type="pct"/>
          </w:tcPr>
          <w:p w14:paraId="55C218F9">
            <w:pPr>
              <w:jc w:val="center"/>
              <w:rPr>
                <w:rFonts w:hint="default"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22-23</w:t>
            </w:r>
          </w:p>
        </w:tc>
      </w:tr>
      <w:tr w14:paraId="3DA131E3">
        <w:tblPrEx>
          <w:tblCellMar>
            <w:top w:w="0" w:type="dxa"/>
            <w:left w:w="56" w:type="dxa"/>
            <w:bottom w:w="0" w:type="dxa"/>
            <w:right w:w="56" w:type="dxa"/>
          </w:tblCellMar>
        </w:tblPrEx>
        <w:trPr>
          <w:cantSplit/>
          <w:trHeight w:val="259" w:hRule="atLeast"/>
        </w:trPr>
        <w:tc>
          <w:tcPr>
            <w:tcW w:w="799" w:type="pct"/>
            <w:vMerge w:val="restart"/>
            <w:shd w:val="clear" w:color="auto" w:fill="auto"/>
            <w:tcMar>
              <w:top w:w="85" w:type="dxa"/>
              <w:bottom w:w="85" w:type="dxa"/>
            </w:tcMar>
          </w:tcPr>
          <w:p w14:paraId="784B480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Roles and responsibilities</w:t>
            </w:r>
          </w:p>
        </w:tc>
        <w:tc>
          <w:tcPr>
            <w:tcW w:w="363" w:type="pct"/>
          </w:tcPr>
          <w:p w14:paraId="7B17806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5a</w:t>
            </w:r>
          </w:p>
        </w:tc>
        <w:tc>
          <w:tcPr>
            <w:tcW w:w="3196" w:type="pct"/>
          </w:tcPr>
          <w:p w14:paraId="4FA6928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Names, affiliations, and roles of protocol contributors</w:t>
            </w:r>
          </w:p>
        </w:tc>
        <w:tc>
          <w:tcPr>
            <w:tcW w:w="640" w:type="pct"/>
          </w:tcPr>
          <w:p w14:paraId="444F9F5B">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4</w:t>
            </w:r>
            <w:r>
              <w:rPr>
                <w:rFonts w:ascii="Times New Roman" w:hAnsi="Times New Roman" w:cs="Times New Roman"/>
                <w:color w:val="FF0000"/>
                <w:sz w:val="24"/>
                <w:szCs w:val="24"/>
              </w:rPr>
              <w:t>-5</w:t>
            </w:r>
          </w:p>
        </w:tc>
      </w:tr>
      <w:tr w14:paraId="24BEF937">
        <w:tblPrEx>
          <w:tblCellMar>
            <w:top w:w="0" w:type="dxa"/>
            <w:left w:w="56" w:type="dxa"/>
            <w:bottom w:w="0" w:type="dxa"/>
            <w:right w:w="56" w:type="dxa"/>
          </w:tblCellMar>
        </w:tblPrEx>
        <w:trPr>
          <w:cantSplit/>
          <w:trHeight w:val="293" w:hRule="atLeast"/>
        </w:trPr>
        <w:tc>
          <w:tcPr>
            <w:tcW w:w="799" w:type="pct"/>
            <w:vMerge w:val="continue"/>
            <w:shd w:val="clear" w:color="auto" w:fill="auto"/>
            <w:tcMar>
              <w:top w:w="85" w:type="dxa"/>
              <w:bottom w:w="85" w:type="dxa"/>
            </w:tcMar>
          </w:tcPr>
          <w:p w14:paraId="6C03A468">
            <w:pPr>
              <w:rPr>
                <w:rFonts w:ascii="Times New Roman" w:hAnsi="Times New Roman" w:cs="Times New Roman"/>
                <w:color w:val="000000" w:themeColor="text1"/>
                <w:sz w:val="24"/>
                <w:szCs w:val="24"/>
                <w14:textFill>
                  <w14:solidFill>
                    <w14:schemeClr w14:val="tx1"/>
                  </w14:solidFill>
                </w14:textFill>
              </w:rPr>
            </w:pPr>
          </w:p>
        </w:tc>
        <w:tc>
          <w:tcPr>
            <w:tcW w:w="363" w:type="pct"/>
          </w:tcPr>
          <w:p w14:paraId="62C72CE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5b</w:t>
            </w:r>
          </w:p>
        </w:tc>
        <w:tc>
          <w:tcPr>
            <w:tcW w:w="3196" w:type="pct"/>
          </w:tcPr>
          <w:p w14:paraId="0E12955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Name and contact information for the trial sponsor</w:t>
            </w:r>
          </w:p>
        </w:tc>
        <w:tc>
          <w:tcPr>
            <w:tcW w:w="640" w:type="pct"/>
          </w:tcPr>
          <w:p w14:paraId="79F77135">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5</w:t>
            </w:r>
          </w:p>
        </w:tc>
      </w:tr>
      <w:tr w14:paraId="083BFF3F">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4D6B694E">
            <w:pPr>
              <w:rPr>
                <w:rFonts w:ascii="Times New Roman" w:hAnsi="Times New Roman" w:cs="Times New Roman"/>
                <w:color w:val="000000" w:themeColor="text1"/>
                <w:sz w:val="24"/>
                <w:szCs w:val="24"/>
                <w14:textFill>
                  <w14:solidFill>
                    <w14:schemeClr w14:val="tx1"/>
                  </w14:solidFill>
                </w14:textFill>
              </w:rPr>
            </w:pPr>
          </w:p>
        </w:tc>
        <w:tc>
          <w:tcPr>
            <w:tcW w:w="363" w:type="pct"/>
          </w:tcPr>
          <w:p w14:paraId="2CB3A34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5c</w:t>
            </w:r>
          </w:p>
        </w:tc>
        <w:tc>
          <w:tcPr>
            <w:tcW w:w="3196" w:type="pct"/>
          </w:tcPr>
          <w:p w14:paraId="028B179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0" w:type="pct"/>
          </w:tcPr>
          <w:p w14:paraId="2D148B98">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5</w:t>
            </w:r>
          </w:p>
        </w:tc>
      </w:tr>
      <w:tr w14:paraId="14C01B9C">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00BBC0C6">
            <w:pPr>
              <w:rPr>
                <w:rFonts w:ascii="Times New Roman" w:hAnsi="Times New Roman" w:cs="Times New Roman"/>
                <w:color w:val="000000" w:themeColor="text1"/>
                <w:sz w:val="24"/>
                <w:szCs w:val="24"/>
                <w14:textFill>
                  <w14:solidFill>
                    <w14:schemeClr w14:val="tx1"/>
                  </w14:solidFill>
                </w14:textFill>
              </w:rPr>
            </w:pPr>
          </w:p>
        </w:tc>
        <w:tc>
          <w:tcPr>
            <w:tcW w:w="363" w:type="pct"/>
          </w:tcPr>
          <w:p w14:paraId="3DDF17D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5d</w:t>
            </w:r>
          </w:p>
        </w:tc>
        <w:tc>
          <w:tcPr>
            <w:tcW w:w="3196" w:type="pct"/>
          </w:tcPr>
          <w:p w14:paraId="32A2578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Composition, roles, and responsibilities of the coordinating centre, steering committee, endpoint adjudication committee, data management team, and other individuals or groups overseeing the trial, if applicable (see Item 21a for data monitoring committee)</w:t>
            </w:r>
          </w:p>
          <w:p w14:paraId="1904420A">
            <w:pPr>
              <w:rPr>
                <w:rFonts w:ascii="Times New Roman" w:hAnsi="Times New Roman" w:cs="Times New Roman"/>
                <w:color w:val="000000" w:themeColor="text1"/>
                <w:sz w:val="24"/>
                <w:szCs w:val="24"/>
                <w14:textFill>
                  <w14:solidFill>
                    <w14:schemeClr w14:val="tx1"/>
                  </w14:solidFill>
                </w14:textFill>
              </w:rPr>
            </w:pPr>
          </w:p>
        </w:tc>
        <w:tc>
          <w:tcPr>
            <w:tcW w:w="640" w:type="pct"/>
          </w:tcPr>
          <w:p w14:paraId="5366405D">
            <w:pPr>
              <w:jc w:val="center"/>
              <w:rPr>
                <w:rFonts w:hint="eastAsia"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 xml:space="preserve"> 1</w:t>
            </w:r>
            <w:r>
              <w:rPr>
                <w:rFonts w:hint="eastAsia" w:ascii="Times New Roman" w:hAnsi="Times New Roman" w:cs="Times New Roman"/>
                <w:color w:val="FF0000"/>
                <w:sz w:val="24"/>
                <w:szCs w:val="24"/>
                <w:lang w:val="en-US" w:eastAsia="zh-CN"/>
              </w:rPr>
              <w:t>7</w:t>
            </w:r>
          </w:p>
        </w:tc>
      </w:tr>
      <w:tr w14:paraId="24D517AD">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28EFF1C3">
            <w:pPr>
              <w:pStyle w:val="12"/>
              <w:spacing w:before="180"/>
              <w:rPr>
                <w:color w:val="000000" w:themeColor="text1"/>
                <w:szCs w:val="24"/>
                <w14:textFill>
                  <w14:solidFill>
                    <w14:schemeClr w14:val="tx1"/>
                  </w14:solidFill>
                </w14:textFill>
              </w:rPr>
            </w:pPr>
            <w:r>
              <w:rPr>
                <w:color w:val="000000" w:themeColor="text1"/>
                <w:szCs w:val="24"/>
                <w14:textFill>
                  <w14:solidFill>
                    <w14:schemeClr w14:val="tx1"/>
                  </w14:solidFill>
                </w14:textFill>
              </w:rPr>
              <w:t>Introduction</w:t>
            </w:r>
          </w:p>
        </w:tc>
        <w:tc>
          <w:tcPr>
            <w:tcW w:w="363" w:type="pct"/>
          </w:tcPr>
          <w:p w14:paraId="181A8143">
            <w:pPr>
              <w:rPr>
                <w:rFonts w:ascii="Times New Roman" w:hAnsi="Times New Roman" w:cs="Times New Roman"/>
                <w:color w:val="000000" w:themeColor="text1"/>
                <w:sz w:val="24"/>
                <w:szCs w:val="24"/>
                <w14:textFill>
                  <w14:solidFill>
                    <w14:schemeClr w14:val="tx1"/>
                  </w14:solidFill>
                </w14:textFill>
              </w:rPr>
            </w:pPr>
          </w:p>
        </w:tc>
        <w:tc>
          <w:tcPr>
            <w:tcW w:w="3196" w:type="pct"/>
            <w:shd w:val="clear" w:color="auto" w:fill="auto"/>
          </w:tcPr>
          <w:p w14:paraId="4BDD9C64">
            <w:pPr>
              <w:rPr>
                <w:rFonts w:ascii="Times New Roman" w:hAnsi="Times New Roman" w:cs="Times New Roman"/>
                <w:color w:val="000000" w:themeColor="text1"/>
                <w:sz w:val="24"/>
                <w:szCs w:val="24"/>
                <w14:textFill>
                  <w14:solidFill>
                    <w14:schemeClr w14:val="tx1"/>
                  </w14:solidFill>
                </w14:textFill>
              </w:rPr>
            </w:pPr>
          </w:p>
        </w:tc>
        <w:tc>
          <w:tcPr>
            <w:tcW w:w="640" w:type="pct"/>
          </w:tcPr>
          <w:p w14:paraId="0FC572E3">
            <w:pPr>
              <w:jc w:val="center"/>
              <w:rPr>
                <w:rFonts w:ascii="Times New Roman" w:hAnsi="Times New Roman" w:cs="Times New Roman"/>
                <w:color w:val="FF0000"/>
                <w:sz w:val="24"/>
                <w:szCs w:val="24"/>
              </w:rPr>
            </w:pPr>
          </w:p>
        </w:tc>
      </w:tr>
      <w:tr w14:paraId="7FAD8EEF">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1DFA1DF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Background and rationale</w:t>
            </w:r>
          </w:p>
        </w:tc>
        <w:tc>
          <w:tcPr>
            <w:tcW w:w="363" w:type="pct"/>
          </w:tcPr>
          <w:p w14:paraId="1F5B751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6a</w:t>
            </w:r>
          </w:p>
        </w:tc>
        <w:tc>
          <w:tcPr>
            <w:tcW w:w="3196" w:type="pct"/>
            <w:shd w:val="clear" w:color="auto" w:fill="auto"/>
            <w:tcMar>
              <w:top w:w="85" w:type="dxa"/>
              <w:bottom w:w="85" w:type="dxa"/>
            </w:tcMar>
          </w:tcPr>
          <w:p w14:paraId="12A7418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Description of research question and justification for undertaking the trial, including summary of relevant studies (published and unpublished) examining benefits and harms for each intervention</w:t>
            </w:r>
          </w:p>
        </w:tc>
        <w:tc>
          <w:tcPr>
            <w:tcW w:w="640" w:type="pct"/>
          </w:tcPr>
          <w:p w14:paraId="3589B9E6">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6</w:t>
            </w:r>
          </w:p>
        </w:tc>
      </w:tr>
      <w:tr w14:paraId="3AE357D8">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4051539F">
            <w:pPr>
              <w:rPr>
                <w:rFonts w:ascii="Times New Roman" w:hAnsi="Times New Roman" w:cs="Times New Roman"/>
                <w:color w:val="000000" w:themeColor="text1"/>
                <w:sz w:val="24"/>
                <w:szCs w:val="24"/>
                <w14:textFill>
                  <w14:solidFill>
                    <w14:schemeClr w14:val="tx1"/>
                  </w14:solidFill>
                </w14:textFill>
              </w:rPr>
            </w:pPr>
          </w:p>
        </w:tc>
        <w:tc>
          <w:tcPr>
            <w:tcW w:w="363" w:type="pct"/>
          </w:tcPr>
          <w:p w14:paraId="0B01CAB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6b</w:t>
            </w:r>
          </w:p>
        </w:tc>
        <w:tc>
          <w:tcPr>
            <w:tcW w:w="3196" w:type="pct"/>
            <w:shd w:val="clear" w:color="auto" w:fill="auto"/>
            <w:tcMar>
              <w:top w:w="85" w:type="dxa"/>
              <w:bottom w:w="85" w:type="dxa"/>
            </w:tcMar>
          </w:tcPr>
          <w:p w14:paraId="5ECA7AB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Explanation for choice of comparators</w:t>
            </w:r>
          </w:p>
        </w:tc>
        <w:tc>
          <w:tcPr>
            <w:tcW w:w="640" w:type="pct"/>
          </w:tcPr>
          <w:p w14:paraId="18D19239">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0</w:t>
            </w:r>
          </w:p>
        </w:tc>
      </w:tr>
      <w:tr w14:paraId="6536EBF6">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3EADC9B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Objectives</w:t>
            </w:r>
          </w:p>
        </w:tc>
        <w:tc>
          <w:tcPr>
            <w:tcW w:w="363" w:type="pct"/>
          </w:tcPr>
          <w:p w14:paraId="2C205FE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7</w:t>
            </w:r>
          </w:p>
        </w:tc>
        <w:tc>
          <w:tcPr>
            <w:tcW w:w="3196" w:type="pct"/>
            <w:shd w:val="clear" w:color="auto" w:fill="auto"/>
            <w:tcMar>
              <w:top w:w="85" w:type="dxa"/>
              <w:bottom w:w="85" w:type="dxa"/>
            </w:tcMar>
          </w:tcPr>
          <w:p w14:paraId="710CD6E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Specific objectives or hypotheses</w:t>
            </w:r>
          </w:p>
        </w:tc>
        <w:tc>
          <w:tcPr>
            <w:tcW w:w="640" w:type="pct"/>
          </w:tcPr>
          <w:p w14:paraId="149CFA31">
            <w:pPr>
              <w:jc w:val="center"/>
              <w:rPr>
                <w:rFonts w:hint="eastAsia"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8</w:t>
            </w:r>
          </w:p>
        </w:tc>
      </w:tr>
      <w:tr w14:paraId="37342D66">
        <w:tblPrEx>
          <w:tblCellMar>
            <w:top w:w="0" w:type="dxa"/>
            <w:left w:w="56" w:type="dxa"/>
            <w:bottom w:w="0" w:type="dxa"/>
            <w:right w:w="56" w:type="dxa"/>
          </w:tblCellMar>
        </w:tblPrEx>
        <w:trPr>
          <w:cantSplit/>
          <w:trHeight w:val="653" w:hRule="atLeast"/>
        </w:trPr>
        <w:tc>
          <w:tcPr>
            <w:tcW w:w="799" w:type="pct"/>
            <w:shd w:val="clear" w:color="auto" w:fill="auto"/>
            <w:tcMar>
              <w:top w:w="85" w:type="dxa"/>
              <w:bottom w:w="85" w:type="dxa"/>
            </w:tcMar>
          </w:tcPr>
          <w:p w14:paraId="0707251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Trial design</w:t>
            </w:r>
          </w:p>
        </w:tc>
        <w:tc>
          <w:tcPr>
            <w:tcW w:w="363" w:type="pct"/>
          </w:tcPr>
          <w:p w14:paraId="3827C73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8</w:t>
            </w:r>
          </w:p>
        </w:tc>
        <w:tc>
          <w:tcPr>
            <w:tcW w:w="3196" w:type="pct"/>
            <w:shd w:val="clear" w:color="auto" w:fill="auto"/>
            <w:tcMar>
              <w:top w:w="85" w:type="dxa"/>
              <w:bottom w:w="85" w:type="dxa"/>
            </w:tcMar>
          </w:tcPr>
          <w:p w14:paraId="69116DB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Description of trial design including type of trial (eg, parallel group, crossover, factorial, single group), allocation ratio, and framework (eg, superiority, equivalence, noninferiority, exploratory)</w:t>
            </w:r>
          </w:p>
        </w:tc>
        <w:tc>
          <w:tcPr>
            <w:tcW w:w="640" w:type="pct"/>
          </w:tcPr>
          <w:p w14:paraId="5CAB6AFC">
            <w:pPr>
              <w:jc w:val="center"/>
              <w:rPr>
                <w:rFonts w:hint="eastAsia"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8</w:t>
            </w:r>
          </w:p>
        </w:tc>
      </w:tr>
      <w:tr w14:paraId="0E0EC674">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14:paraId="67BE7273">
            <w:pPr>
              <w:pStyle w:val="12"/>
              <w:spacing w:before="180"/>
              <w:rPr>
                <w:color w:val="000000" w:themeColor="text1"/>
                <w:szCs w:val="24"/>
                <w14:textFill>
                  <w14:solidFill>
                    <w14:schemeClr w14:val="tx1"/>
                  </w14:solidFill>
                </w14:textFill>
              </w:rPr>
            </w:pPr>
            <w:r>
              <w:rPr>
                <w:color w:val="000000" w:themeColor="text1"/>
                <w:szCs w:val="24"/>
                <w14:textFill>
                  <w14:solidFill>
                    <w14:schemeClr w14:val="tx1"/>
                  </w14:solidFill>
                </w14:textFill>
              </w:rPr>
              <w:t>Methods: Participants, interventions, and outcomes</w:t>
            </w:r>
          </w:p>
        </w:tc>
        <w:tc>
          <w:tcPr>
            <w:tcW w:w="640" w:type="pct"/>
            <w:shd w:val="clear" w:color="auto" w:fill="FFFFFF"/>
          </w:tcPr>
          <w:p w14:paraId="1039A229">
            <w:pPr>
              <w:pStyle w:val="12"/>
              <w:jc w:val="center"/>
              <w:rPr>
                <w:color w:val="FF0000"/>
                <w:szCs w:val="24"/>
              </w:rPr>
            </w:pPr>
          </w:p>
        </w:tc>
      </w:tr>
      <w:tr w14:paraId="5294E5E1">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67E0158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Study setting</w:t>
            </w:r>
          </w:p>
        </w:tc>
        <w:tc>
          <w:tcPr>
            <w:tcW w:w="363" w:type="pct"/>
          </w:tcPr>
          <w:p w14:paraId="1AA6972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9</w:t>
            </w:r>
          </w:p>
        </w:tc>
        <w:tc>
          <w:tcPr>
            <w:tcW w:w="3196" w:type="pct"/>
            <w:shd w:val="clear" w:color="auto" w:fill="auto"/>
            <w:tcMar>
              <w:top w:w="85" w:type="dxa"/>
              <w:bottom w:w="85" w:type="dxa"/>
            </w:tcMar>
          </w:tcPr>
          <w:p w14:paraId="0401E5C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Description of study settings (eg, community clinic, academic hospital) and list of countries where data will be collected. Reference to where list of study sites can be obtained</w:t>
            </w:r>
          </w:p>
        </w:tc>
        <w:tc>
          <w:tcPr>
            <w:tcW w:w="640" w:type="pct"/>
          </w:tcPr>
          <w:p w14:paraId="57D99E25">
            <w:pPr>
              <w:jc w:val="center"/>
              <w:rPr>
                <w:rFonts w:hint="eastAsia"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8</w:t>
            </w:r>
          </w:p>
        </w:tc>
      </w:tr>
      <w:tr w14:paraId="6F23CE72">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3543CCE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Eligibility criteria</w:t>
            </w:r>
          </w:p>
        </w:tc>
        <w:tc>
          <w:tcPr>
            <w:tcW w:w="363" w:type="pct"/>
            <w:shd w:val="clear" w:color="auto" w:fill="FFFFFF"/>
          </w:tcPr>
          <w:p w14:paraId="0519279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10</w:t>
            </w:r>
          </w:p>
        </w:tc>
        <w:tc>
          <w:tcPr>
            <w:tcW w:w="3196" w:type="pct"/>
            <w:shd w:val="clear" w:color="auto" w:fill="FFFFFF"/>
            <w:tcMar>
              <w:top w:w="85" w:type="dxa"/>
              <w:bottom w:w="85" w:type="dxa"/>
            </w:tcMar>
          </w:tcPr>
          <w:p w14:paraId="3110ABF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Inclusion and exclusion criteria for participants. If applicable, eligibility criteria for study centres and individuals who will perform the interventions (eg, surgeons, psychotherapists)</w:t>
            </w:r>
          </w:p>
        </w:tc>
        <w:tc>
          <w:tcPr>
            <w:tcW w:w="640" w:type="pct"/>
            <w:shd w:val="clear" w:color="auto" w:fill="FFFFFF"/>
          </w:tcPr>
          <w:p w14:paraId="67A2E478">
            <w:pPr>
              <w:jc w:val="center"/>
              <w:rPr>
                <w:rFonts w:hint="default"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 xml:space="preserve"> </w:t>
            </w:r>
            <w:r>
              <w:rPr>
                <w:rFonts w:hint="eastAsia" w:ascii="Times New Roman" w:hAnsi="Times New Roman" w:cs="Times New Roman"/>
                <w:color w:val="FF0000"/>
                <w:sz w:val="24"/>
                <w:szCs w:val="24"/>
                <w:lang w:val="en-US" w:eastAsia="zh-CN"/>
              </w:rPr>
              <w:t>8</w:t>
            </w:r>
            <w:r>
              <w:rPr>
                <w:rFonts w:ascii="Times New Roman" w:hAnsi="Times New Roman" w:cs="Times New Roman"/>
                <w:color w:val="FF0000"/>
                <w:sz w:val="24"/>
                <w:szCs w:val="24"/>
              </w:rPr>
              <w:t>-</w:t>
            </w:r>
            <w:r>
              <w:rPr>
                <w:rFonts w:hint="eastAsia" w:ascii="Times New Roman" w:hAnsi="Times New Roman" w:cs="Times New Roman"/>
                <w:color w:val="FF0000"/>
                <w:sz w:val="24"/>
                <w:szCs w:val="24"/>
                <w:lang w:val="en-US" w:eastAsia="zh-CN"/>
              </w:rPr>
              <w:t>10</w:t>
            </w:r>
          </w:p>
        </w:tc>
      </w:tr>
      <w:tr w14:paraId="7F94708B">
        <w:tblPrEx>
          <w:shd w:val="clear" w:color="auto" w:fill="FFFFFF"/>
          <w:tblCellMar>
            <w:top w:w="0" w:type="dxa"/>
            <w:left w:w="56" w:type="dxa"/>
            <w:bottom w:w="0" w:type="dxa"/>
            <w:right w:w="56" w:type="dxa"/>
          </w:tblCellMar>
        </w:tblPrEx>
        <w:trPr>
          <w:cantSplit/>
          <w:trHeight w:val="259" w:hRule="atLeast"/>
        </w:trPr>
        <w:tc>
          <w:tcPr>
            <w:tcW w:w="799" w:type="pct"/>
            <w:vMerge w:val="restart"/>
            <w:shd w:val="clear" w:color="auto" w:fill="FFFFFF"/>
            <w:tcMar>
              <w:top w:w="85" w:type="dxa"/>
              <w:bottom w:w="85" w:type="dxa"/>
            </w:tcMar>
          </w:tcPr>
          <w:p w14:paraId="4BB3D91C">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Interventions</w:t>
            </w:r>
          </w:p>
        </w:tc>
        <w:tc>
          <w:tcPr>
            <w:tcW w:w="363" w:type="pct"/>
            <w:shd w:val="clear" w:color="auto" w:fill="FFFFFF"/>
          </w:tcPr>
          <w:p w14:paraId="4D9CDE0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11a</w:t>
            </w:r>
          </w:p>
        </w:tc>
        <w:tc>
          <w:tcPr>
            <w:tcW w:w="3196" w:type="pct"/>
            <w:shd w:val="clear" w:color="auto" w:fill="FFFFFF"/>
          </w:tcPr>
          <w:p w14:paraId="15FE06F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Interventions for each group with sufficient detail to allow replication, including how and when they will be administered</w:t>
            </w:r>
          </w:p>
        </w:tc>
        <w:tc>
          <w:tcPr>
            <w:tcW w:w="640" w:type="pct"/>
            <w:shd w:val="clear" w:color="auto" w:fill="FFFFFF"/>
          </w:tcPr>
          <w:p w14:paraId="4D5CE39A">
            <w:pPr>
              <w:jc w:val="center"/>
              <w:rPr>
                <w:rFonts w:hint="default" w:ascii="Times New Roman" w:hAnsi="Times New Roman" w:eastAsia="等线" w:cs="Times New Roman"/>
                <w:color w:val="FF0000"/>
                <w:sz w:val="24"/>
                <w:szCs w:val="24"/>
                <w:lang w:val="en-US" w:eastAsia="zh-CN"/>
              </w:rPr>
            </w:pPr>
            <w:r>
              <w:rPr>
                <w:rFonts w:hint="cs" w:ascii="Times New Roman" w:hAnsi="Times New Roman" w:cs="Times New Roman"/>
                <w:color w:val="FF0000"/>
                <w:sz w:val="24"/>
                <w:szCs w:val="24"/>
              </w:rPr>
              <w:t>1</w:t>
            </w:r>
            <w:r>
              <w:rPr>
                <w:rFonts w:ascii="Times New Roman" w:hAnsi="Times New Roman" w:cs="Times New Roman"/>
                <w:color w:val="FF0000"/>
                <w:sz w:val="24"/>
                <w:szCs w:val="24"/>
              </w:rPr>
              <w:t>0</w:t>
            </w:r>
            <w:r>
              <w:rPr>
                <w:rFonts w:hint="eastAsia" w:ascii="Times New Roman" w:hAnsi="Times New Roman" w:cs="Times New Roman"/>
                <w:color w:val="FF0000"/>
                <w:sz w:val="24"/>
                <w:szCs w:val="24"/>
                <w:lang w:val="en-US" w:eastAsia="zh-CN"/>
              </w:rPr>
              <w:t>-11</w:t>
            </w:r>
          </w:p>
        </w:tc>
      </w:tr>
      <w:tr w14:paraId="55A8A17E">
        <w:tblPrEx>
          <w:shd w:val="clear" w:color="auto" w:fill="FFFFFF"/>
          <w:tblCellMar>
            <w:top w:w="0" w:type="dxa"/>
            <w:left w:w="56" w:type="dxa"/>
            <w:bottom w:w="0" w:type="dxa"/>
            <w:right w:w="56" w:type="dxa"/>
          </w:tblCellMar>
        </w:tblPrEx>
        <w:trPr>
          <w:cantSplit/>
          <w:trHeight w:val="259" w:hRule="atLeast"/>
        </w:trPr>
        <w:tc>
          <w:tcPr>
            <w:tcW w:w="799" w:type="pct"/>
            <w:vMerge w:val="continue"/>
            <w:shd w:val="clear" w:color="auto" w:fill="FFFFFF"/>
            <w:tcMar>
              <w:top w:w="85" w:type="dxa"/>
              <w:bottom w:w="85" w:type="dxa"/>
            </w:tcMar>
          </w:tcPr>
          <w:p w14:paraId="7CAE9062">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4FE6049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11b</w:t>
            </w:r>
          </w:p>
        </w:tc>
        <w:tc>
          <w:tcPr>
            <w:tcW w:w="3196" w:type="pct"/>
            <w:shd w:val="clear" w:color="auto" w:fill="FFFFFF"/>
          </w:tcPr>
          <w:p w14:paraId="464B4B4E">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Criteria for discontinuing or modifying allocated interventions for a given trial participant (eg, drug dose change in response to harms, participant request, or improving/worsening disease)</w:t>
            </w:r>
          </w:p>
        </w:tc>
        <w:tc>
          <w:tcPr>
            <w:tcW w:w="640" w:type="pct"/>
            <w:shd w:val="clear" w:color="auto" w:fill="FFFFFF"/>
          </w:tcPr>
          <w:p w14:paraId="5194D47D">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1</w:t>
            </w:r>
          </w:p>
        </w:tc>
      </w:tr>
      <w:tr w14:paraId="006D950B">
        <w:tblPrEx>
          <w:shd w:val="clear" w:color="auto" w:fill="FFFFFF"/>
          <w:tblCellMar>
            <w:top w:w="0" w:type="dxa"/>
            <w:left w:w="56" w:type="dxa"/>
            <w:bottom w:w="0" w:type="dxa"/>
            <w:right w:w="56" w:type="dxa"/>
          </w:tblCellMar>
        </w:tblPrEx>
        <w:trPr>
          <w:cantSplit/>
          <w:trHeight w:val="259" w:hRule="atLeast"/>
        </w:trPr>
        <w:tc>
          <w:tcPr>
            <w:tcW w:w="799" w:type="pct"/>
            <w:vMerge w:val="continue"/>
            <w:shd w:val="clear" w:color="auto" w:fill="FFFFFF"/>
            <w:tcMar>
              <w:top w:w="85" w:type="dxa"/>
              <w:bottom w:w="85" w:type="dxa"/>
            </w:tcMar>
          </w:tcPr>
          <w:p w14:paraId="41482FB2">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095AA01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11c</w:t>
            </w:r>
          </w:p>
        </w:tc>
        <w:tc>
          <w:tcPr>
            <w:tcW w:w="3196" w:type="pct"/>
            <w:shd w:val="clear" w:color="auto" w:fill="FFFFFF"/>
          </w:tcPr>
          <w:p w14:paraId="74BCB02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Strategies to improve adherence to intervention protocols, and any procedures for monitoring adherence (eg, drug tablet return, laboratory tests)</w:t>
            </w:r>
          </w:p>
        </w:tc>
        <w:tc>
          <w:tcPr>
            <w:tcW w:w="640" w:type="pct"/>
            <w:shd w:val="clear" w:color="auto" w:fill="FFFFFF"/>
          </w:tcPr>
          <w:p w14:paraId="05BEB68B">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1</w:t>
            </w:r>
          </w:p>
        </w:tc>
      </w:tr>
      <w:tr w14:paraId="05F255D3">
        <w:tblPrEx>
          <w:shd w:val="clear" w:color="auto" w:fill="FFFFFF"/>
          <w:tblCellMar>
            <w:top w:w="0" w:type="dxa"/>
            <w:left w:w="56" w:type="dxa"/>
            <w:bottom w:w="0" w:type="dxa"/>
            <w:right w:w="56" w:type="dxa"/>
          </w:tblCellMar>
        </w:tblPrEx>
        <w:trPr>
          <w:cantSplit/>
          <w:trHeight w:val="259" w:hRule="atLeast"/>
        </w:trPr>
        <w:tc>
          <w:tcPr>
            <w:tcW w:w="799" w:type="pct"/>
            <w:vMerge w:val="continue"/>
            <w:shd w:val="clear" w:color="auto" w:fill="FFFFFF"/>
            <w:tcMar>
              <w:top w:w="85" w:type="dxa"/>
              <w:bottom w:w="85" w:type="dxa"/>
            </w:tcMar>
          </w:tcPr>
          <w:p w14:paraId="06FB705C">
            <w:pPr>
              <w:rPr>
                <w:rFonts w:ascii="Times New Roman" w:hAnsi="Times New Roman" w:cs="Times New Roman"/>
                <w:color w:val="000000" w:themeColor="text1"/>
                <w:sz w:val="24"/>
                <w:szCs w:val="24"/>
                <w14:textFill>
                  <w14:solidFill>
                    <w14:schemeClr w14:val="tx1"/>
                  </w14:solidFill>
                </w14:textFill>
              </w:rPr>
            </w:pPr>
            <w:bookmarkStart w:id="0" w:name="_Hlk476942271"/>
          </w:p>
        </w:tc>
        <w:tc>
          <w:tcPr>
            <w:tcW w:w="363" w:type="pct"/>
            <w:shd w:val="clear" w:color="auto" w:fill="FFFFFF"/>
          </w:tcPr>
          <w:p w14:paraId="7712371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11d</w:t>
            </w:r>
          </w:p>
        </w:tc>
        <w:tc>
          <w:tcPr>
            <w:tcW w:w="3196" w:type="pct"/>
            <w:shd w:val="clear" w:color="auto" w:fill="FFFFFF"/>
          </w:tcPr>
          <w:p w14:paraId="10D83F2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Relevant concomitant care and interventions that are permitted or prohibited during the trial</w:t>
            </w:r>
          </w:p>
        </w:tc>
        <w:tc>
          <w:tcPr>
            <w:tcW w:w="640" w:type="pct"/>
            <w:shd w:val="clear" w:color="auto" w:fill="FFFFFF"/>
          </w:tcPr>
          <w:p w14:paraId="52FB18C6">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1</w:t>
            </w:r>
          </w:p>
        </w:tc>
      </w:tr>
      <w:bookmarkEnd w:id="0"/>
      <w:tr w14:paraId="0D1BB55B">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3CD336B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Outcomes</w:t>
            </w:r>
          </w:p>
        </w:tc>
        <w:tc>
          <w:tcPr>
            <w:tcW w:w="363" w:type="pct"/>
            <w:shd w:val="clear" w:color="auto" w:fill="FFFFFF"/>
          </w:tcPr>
          <w:p w14:paraId="0DE7447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12</w:t>
            </w:r>
          </w:p>
        </w:tc>
        <w:tc>
          <w:tcPr>
            <w:tcW w:w="3196" w:type="pct"/>
            <w:shd w:val="clear" w:color="auto" w:fill="FFFFFF"/>
            <w:tcMar>
              <w:top w:w="85" w:type="dxa"/>
              <w:bottom w:w="85" w:type="dxa"/>
            </w:tcMar>
          </w:tcPr>
          <w:p w14:paraId="7C39E98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0" w:type="pct"/>
            <w:shd w:val="clear" w:color="auto" w:fill="FFFFFF"/>
          </w:tcPr>
          <w:p w14:paraId="54C10CFA">
            <w:pPr>
              <w:jc w:val="center"/>
              <w:rPr>
                <w:rFonts w:ascii="Times New Roman" w:hAnsi="Times New Roman" w:cs="Times New Roman"/>
                <w:color w:val="FF0000"/>
                <w:sz w:val="24"/>
                <w:szCs w:val="24"/>
              </w:rPr>
            </w:pPr>
            <w:r>
              <w:rPr>
                <w:rFonts w:ascii="Times New Roman" w:hAnsi="Times New Roman" w:cs="Times New Roman"/>
                <w:color w:val="FF0000"/>
                <w:sz w:val="24"/>
                <w:szCs w:val="24"/>
              </w:rPr>
              <w:t>12</w:t>
            </w:r>
          </w:p>
        </w:tc>
      </w:tr>
      <w:tr w14:paraId="5341A480">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7B09121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Participant timeline</w:t>
            </w:r>
          </w:p>
        </w:tc>
        <w:tc>
          <w:tcPr>
            <w:tcW w:w="363" w:type="pct"/>
            <w:shd w:val="clear" w:color="auto" w:fill="FFFFFF"/>
          </w:tcPr>
          <w:p w14:paraId="2606DDE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13</w:t>
            </w:r>
          </w:p>
        </w:tc>
        <w:tc>
          <w:tcPr>
            <w:tcW w:w="3196" w:type="pct"/>
            <w:shd w:val="clear" w:color="auto" w:fill="FFFFFF"/>
            <w:tcMar>
              <w:top w:w="85" w:type="dxa"/>
              <w:bottom w:w="85" w:type="dxa"/>
            </w:tcMar>
          </w:tcPr>
          <w:p w14:paraId="707AFA7E">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Time schedule of enrolment, interventions (including any run-ins and washouts), assessments, and visits for participants. A schematic diagram is highly recommended (see Figure)</w:t>
            </w:r>
          </w:p>
        </w:tc>
        <w:tc>
          <w:tcPr>
            <w:tcW w:w="640" w:type="pct"/>
            <w:shd w:val="clear" w:color="auto" w:fill="FFFFFF"/>
          </w:tcPr>
          <w:p w14:paraId="38E8BA58">
            <w:pPr>
              <w:jc w:val="center"/>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FF0000"/>
                <w:sz w:val="24"/>
                <w:szCs w:val="24"/>
                <w:lang w:val="en-US" w:eastAsia="zh-CN"/>
              </w:rPr>
              <w:t>12-13</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t>Fig.1 and Table 1</w:t>
            </w:r>
          </w:p>
        </w:tc>
      </w:tr>
      <w:tr w14:paraId="638D88C9">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185096D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Sample size</w:t>
            </w:r>
          </w:p>
        </w:tc>
        <w:tc>
          <w:tcPr>
            <w:tcW w:w="363" w:type="pct"/>
            <w:shd w:val="clear" w:color="auto" w:fill="FFFFFF"/>
          </w:tcPr>
          <w:p w14:paraId="66B8B0B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14</w:t>
            </w:r>
          </w:p>
        </w:tc>
        <w:tc>
          <w:tcPr>
            <w:tcW w:w="3196" w:type="pct"/>
            <w:shd w:val="clear" w:color="auto" w:fill="FFFFFF"/>
            <w:tcMar>
              <w:top w:w="85" w:type="dxa"/>
              <w:bottom w:w="85" w:type="dxa"/>
            </w:tcMar>
          </w:tcPr>
          <w:p w14:paraId="5660562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Estimated number of participants needed to achieve study objectives and how it was determined, including clinical and statistical assumptions supporting any sample size calculations</w:t>
            </w:r>
          </w:p>
        </w:tc>
        <w:tc>
          <w:tcPr>
            <w:tcW w:w="640" w:type="pct"/>
            <w:shd w:val="clear" w:color="auto" w:fill="FFFFFF"/>
          </w:tcPr>
          <w:p w14:paraId="48D6627F">
            <w:pPr>
              <w:jc w:val="center"/>
              <w:rPr>
                <w:rFonts w:hint="eastAsia"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w:t>
            </w:r>
            <w:r>
              <w:rPr>
                <w:rFonts w:hint="eastAsia" w:ascii="Times New Roman" w:hAnsi="Times New Roman" w:cs="Times New Roman"/>
                <w:color w:val="FF0000"/>
                <w:sz w:val="24"/>
                <w:szCs w:val="24"/>
                <w:lang w:val="en-US" w:eastAsia="zh-CN"/>
              </w:rPr>
              <w:t>3</w:t>
            </w:r>
          </w:p>
        </w:tc>
      </w:tr>
      <w:tr w14:paraId="08A0E467">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47C5816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Recruitment</w:t>
            </w:r>
          </w:p>
        </w:tc>
        <w:tc>
          <w:tcPr>
            <w:tcW w:w="363" w:type="pct"/>
            <w:shd w:val="clear" w:color="auto" w:fill="FFFFFF"/>
          </w:tcPr>
          <w:p w14:paraId="7F01317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15</w:t>
            </w:r>
          </w:p>
        </w:tc>
        <w:tc>
          <w:tcPr>
            <w:tcW w:w="3196" w:type="pct"/>
            <w:shd w:val="clear" w:color="auto" w:fill="FFFFFF"/>
            <w:tcMar>
              <w:top w:w="85" w:type="dxa"/>
              <w:bottom w:w="85" w:type="dxa"/>
            </w:tcMar>
          </w:tcPr>
          <w:p w14:paraId="6BD38A2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Strategies for achieving adequate participant enrolment to reach target sample size</w:t>
            </w:r>
          </w:p>
        </w:tc>
        <w:tc>
          <w:tcPr>
            <w:tcW w:w="640" w:type="pct"/>
            <w:shd w:val="clear" w:color="auto" w:fill="FFFFFF"/>
          </w:tcPr>
          <w:p w14:paraId="2D67F7F9">
            <w:pPr>
              <w:jc w:val="center"/>
              <w:rPr>
                <w:rFonts w:ascii="Times New Roman" w:hAnsi="Times New Roman" w:cs="Times New Roman"/>
                <w:color w:val="FF0000"/>
                <w:sz w:val="24"/>
                <w:szCs w:val="24"/>
              </w:rPr>
            </w:pPr>
            <w:r>
              <w:rPr>
                <w:rFonts w:ascii="Times New Roman" w:hAnsi="Times New Roman" w:cs="Times New Roman"/>
                <w:color w:val="FF0000"/>
                <w:sz w:val="24"/>
                <w:szCs w:val="24"/>
              </w:rPr>
              <w:t>13</w:t>
            </w:r>
          </w:p>
        </w:tc>
      </w:tr>
      <w:tr w14:paraId="1A8553A7">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14:paraId="1F66E7D6">
            <w:pPr>
              <w:spacing w:before="18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Methods: Assignment of interventions (for controlled trials)</w:t>
            </w:r>
          </w:p>
        </w:tc>
        <w:tc>
          <w:tcPr>
            <w:tcW w:w="640" w:type="pct"/>
            <w:shd w:val="clear" w:color="auto" w:fill="FFFFFF"/>
          </w:tcPr>
          <w:p w14:paraId="49D8BADC">
            <w:pPr>
              <w:jc w:val="center"/>
              <w:rPr>
                <w:rFonts w:ascii="Times New Roman" w:hAnsi="Times New Roman" w:cs="Times New Roman"/>
                <w:b/>
                <w:color w:val="FF0000"/>
                <w:sz w:val="24"/>
                <w:szCs w:val="24"/>
              </w:rPr>
            </w:pPr>
          </w:p>
        </w:tc>
      </w:tr>
      <w:tr w14:paraId="63C453A5">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07E6FD5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Allocation:</w:t>
            </w:r>
          </w:p>
        </w:tc>
        <w:tc>
          <w:tcPr>
            <w:tcW w:w="363" w:type="pct"/>
            <w:shd w:val="clear" w:color="auto" w:fill="FFFFFF"/>
          </w:tcPr>
          <w:p w14:paraId="4390E97D">
            <w:pPr>
              <w:rPr>
                <w:rFonts w:ascii="Times New Roman" w:hAnsi="Times New Roman" w:cs="Times New Roman"/>
                <w:color w:val="000000" w:themeColor="text1"/>
                <w:sz w:val="24"/>
                <w:szCs w:val="24"/>
                <w14:textFill>
                  <w14:solidFill>
                    <w14:schemeClr w14:val="tx1"/>
                  </w14:solidFill>
                </w14:textFill>
              </w:rPr>
            </w:pPr>
          </w:p>
        </w:tc>
        <w:tc>
          <w:tcPr>
            <w:tcW w:w="3196" w:type="pct"/>
            <w:shd w:val="clear" w:color="auto" w:fill="FFFFFF"/>
            <w:tcMar>
              <w:top w:w="85" w:type="dxa"/>
              <w:bottom w:w="85" w:type="dxa"/>
            </w:tcMar>
          </w:tcPr>
          <w:p w14:paraId="295A2AD1">
            <w:pPr>
              <w:rPr>
                <w:rFonts w:ascii="Times New Roman" w:hAnsi="Times New Roman" w:cs="Times New Roman"/>
                <w:color w:val="000000" w:themeColor="text1"/>
                <w:sz w:val="24"/>
                <w:szCs w:val="24"/>
                <w14:textFill>
                  <w14:solidFill>
                    <w14:schemeClr w14:val="tx1"/>
                  </w14:solidFill>
                </w14:textFill>
              </w:rPr>
            </w:pPr>
          </w:p>
        </w:tc>
        <w:tc>
          <w:tcPr>
            <w:tcW w:w="640" w:type="pct"/>
            <w:shd w:val="clear" w:color="auto" w:fill="FFFFFF"/>
          </w:tcPr>
          <w:p w14:paraId="03295591">
            <w:pPr>
              <w:jc w:val="center"/>
              <w:rPr>
                <w:rFonts w:ascii="Times New Roman" w:hAnsi="Times New Roman" w:cs="Times New Roman"/>
                <w:color w:val="FF0000"/>
                <w:sz w:val="24"/>
                <w:szCs w:val="24"/>
              </w:rPr>
            </w:pPr>
          </w:p>
        </w:tc>
      </w:tr>
      <w:tr w14:paraId="0437BCC0">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7DC9D514">
            <w:pPr>
              <w:tabs>
                <w:tab w:val="left" w:pos="180"/>
              </w:tabs>
              <w:ind w:left="27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Sequence generation</w:t>
            </w:r>
          </w:p>
        </w:tc>
        <w:tc>
          <w:tcPr>
            <w:tcW w:w="363" w:type="pct"/>
            <w:shd w:val="clear" w:color="auto" w:fill="FFFFFF"/>
          </w:tcPr>
          <w:p w14:paraId="430065F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16a</w:t>
            </w:r>
          </w:p>
        </w:tc>
        <w:tc>
          <w:tcPr>
            <w:tcW w:w="3196" w:type="pct"/>
            <w:shd w:val="clear" w:color="auto" w:fill="FFFFFF"/>
            <w:tcMar>
              <w:top w:w="85" w:type="dxa"/>
              <w:bottom w:w="85" w:type="dxa"/>
            </w:tcMar>
          </w:tcPr>
          <w:p w14:paraId="015383D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0" w:type="pct"/>
            <w:shd w:val="clear" w:color="auto" w:fill="FFFFFF"/>
          </w:tcPr>
          <w:p w14:paraId="7BF5151C">
            <w:pPr>
              <w:jc w:val="center"/>
              <w:rPr>
                <w:rFonts w:ascii="Times New Roman" w:hAnsi="Times New Roman" w:cs="Times New Roman"/>
                <w:color w:val="FF0000"/>
                <w:sz w:val="24"/>
                <w:szCs w:val="24"/>
              </w:rPr>
            </w:pPr>
            <w:r>
              <w:rPr>
                <w:rFonts w:ascii="Times New Roman" w:hAnsi="Times New Roman" w:cs="Times New Roman"/>
                <w:color w:val="FF0000"/>
                <w:sz w:val="24"/>
                <w:szCs w:val="24"/>
              </w:rPr>
              <w:t>13</w:t>
            </w:r>
          </w:p>
        </w:tc>
      </w:tr>
      <w:tr w14:paraId="6A449D54">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950CE37">
            <w:pPr>
              <w:ind w:left="27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Allocation concealment mechanism</w:t>
            </w:r>
          </w:p>
        </w:tc>
        <w:tc>
          <w:tcPr>
            <w:tcW w:w="363" w:type="pct"/>
            <w:shd w:val="clear" w:color="auto" w:fill="FFFFFF"/>
          </w:tcPr>
          <w:p w14:paraId="5C04043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16b</w:t>
            </w:r>
          </w:p>
        </w:tc>
        <w:tc>
          <w:tcPr>
            <w:tcW w:w="3196" w:type="pct"/>
            <w:shd w:val="clear" w:color="auto" w:fill="FFFFFF"/>
            <w:tcMar>
              <w:top w:w="85" w:type="dxa"/>
              <w:bottom w:w="85" w:type="dxa"/>
            </w:tcMar>
          </w:tcPr>
          <w:p w14:paraId="2122DC4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Mechanism of implementing the allocation sequence (eg, central telephone; sequentially numbered, opaque, sealed envelopes), describing any steps to conceal the sequence until interventions are assigned</w:t>
            </w:r>
          </w:p>
        </w:tc>
        <w:tc>
          <w:tcPr>
            <w:tcW w:w="640" w:type="pct"/>
            <w:shd w:val="clear" w:color="auto" w:fill="FFFFFF"/>
          </w:tcPr>
          <w:p w14:paraId="5169FE10">
            <w:pPr>
              <w:jc w:val="center"/>
              <w:rPr>
                <w:rFonts w:hint="default"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13</w:t>
            </w:r>
            <w:r>
              <w:rPr>
                <w:rFonts w:hint="eastAsia" w:ascii="Times New Roman" w:hAnsi="Times New Roman" w:cs="Times New Roman"/>
                <w:color w:val="FF0000"/>
                <w:sz w:val="24"/>
                <w:szCs w:val="24"/>
                <w:lang w:val="en-US" w:eastAsia="zh-CN"/>
              </w:rPr>
              <w:t>-14</w:t>
            </w:r>
          </w:p>
        </w:tc>
      </w:tr>
      <w:tr w14:paraId="2DAEEB0C">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5548079">
            <w:pPr>
              <w:ind w:left="27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Implementation</w:t>
            </w:r>
          </w:p>
        </w:tc>
        <w:tc>
          <w:tcPr>
            <w:tcW w:w="363" w:type="pct"/>
            <w:shd w:val="clear" w:color="auto" w:fill="FFFFFF"/>
          </w:tcPr>
          <w:p w14:paraId="75D17D7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16c</w:t>
            </w:r>
          </w:p>
        </w:tc>
        <w:tc>
          <w:tcPr>
            <w:tcW w:w="3196" w:type="pct"/>
            <w:shd w:val="clear" w:color="auto" w:fill="FFFFFF"/>
            <w:tcMar>
              <w:top w:w="85" w:type="dxa"/>
              <w:bottom w:w="85" w:type="dxa"/>
            </w:tcMar>
          </w:tcPr>
          <w:p w14:paraId="00C64FF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Who will generate the allocation sequence, who will enrol participants, and who will assign participants to interventions</w:t>
            </w:r>
          </w:p>
        </w:tc>
        <w:tc>
          <w:tcPr>
            <w:tcW w:w="640" w:type="pct"/>
            <w:shd w:val="clear" w:color="auto" w:fill="FFFFFF"/>
          </w:tcPr>
          <w:p w14:paraId="52F575A4">
            <w:pPr>
              <w:jc w:val="center"/>
              <w:rPr>
                <w:rFonts w:hint="eastAsia"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w:t>
            </w:r>
            <w:r>
              <w:rPr>
                <w:rFonts w:hint="eastAsia" w:ascii="Times New Roman" w:hAnsi="Times New Roman" w:cs="Times New Roman"/>
                <w:color w:val="FF0000"/>
                <w:sz w:val="24"/>
                <w:szCs w:val="24"/>
                <w:lang w:val="en-US" w:eastAsia="zh-CN"/>
              </w:rPr>
              <w:t>4</w:t>
            </w:r>
          </w:p>
        </w:tc>
      </w:tr>
      <w:tr w14:paraId="134636BC">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2A7C01D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Blinding (masking)</w:t>
            </w:r>
          </w:p>
        </w:tc>
        <w:tc>
          <w:tcPr>
            <w:tcW w:w="363" w:type="pct"/>
            <w:shd w:val="clear" w:color="auto" w:fill="FFFFFF"/>
          </w:tcPr>
          <w:p w14:paraId="725EED0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17a</w:t>
            </w:r>
          </w:p>
        </w:tc>
        <w:tc>
          <w:tcPr>
            <w:tcW w:w="3196" w:type="pct"/>
            <w:shd w:val="clear" w:color="auto" w:fill="FFFFFF"/>
            <w:tcMar>
              <w:top w:w="85" w:type="dxa"/>
              <w:bottom w:w="85" w:type="dxa"/>
            </w:tcMar>
          </w:tcPr>
          <w:p w14:paraId="3EB7ABD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Who will be blinded after assignment to interventions (eg, trial participants, care providers, outcome assessors, data analysts), and how</w:t>
            </w:r>
          </w:p>
        </w:tc>
        <w:tc>
          <w:tcPr>
            <w:tcW w:w="640" w:type="pct"/>
            <w:shd w:val="clear" w:color="auto" w:fill="FFFFFF"/>
          </w:tcPr>
          <w:p w14:paraId="27481479">
            <w:pPr>
              <w:jc w:val="center"/>
              <w:rPr>
                <w:rFonts w:hint="eastAsia"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w:t>
            </w:r>
            <w:r>
              <w:rPr>
                <w:rFonts w:hint="eastAsia" w:ascii="Times New Roman" w:hAnsi="Times New Roman" w:cs="Times New Roman"/>
                <w:color w:val="FF0000"/>
                <w:sz w:val="24"/>
                <w:szCs w:val="24"/>
                <w:lang w:val="en-US" w:eastAsia="zh-CN"/>
              </w:rPr>
              <w:t>4</w:t>
            </w:r>
          </w:p>
        </w:tc>
      </w:tr>
      <w:tr w14:paraId="3C91352F">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07AE766F">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4B02334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17b</w:t>
            </w:r>
          </w:p>
        </w:tc>
        <w:tc>
          <w:tcPr>
            <w:tcW w:w="3196" w:type="pct"/>
            <w:shd w:val="clear" w:color="auto" w:fill="FFFFFF"/>
          </w:tcPr>
          <w:p w14:paraId="2E75F20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If blinded, circumstances under which unblinding is permissible, and procedure for revealing a participant’s allocated intervention during the trial</w:t>
            </w:r>
          </w:p>
        </w:tc>
        <w:tc>
          <w:tcPr>
            <w:tcW w:w="640" w:type="pct"/>
            <w:shd w:val="clear" w:color="auto" w:fill="FFFFFF"/>
          </w:tcPr>
          <w:p w14:paraId="7DD3AC98">
            <w:pPr>
              <w:jc w:val="center"/>
              <w:rPr>
                <w:rFonts w:ascii="Times New Roman" w:hAnsi="Times New Roman" w:cs="Times New Roman"/>
                <w:color w:val="FF0000"/>
                <w:sz w:val="24"/>
                <w:szCs w:val="24"/>
              </w:rPr>
            </w:pPr>
            <w:r>
              <w:rPr>
                <w:rFonts w:ascii="Times New Roman" w:hAnsi="Times New Roman" w:cs="Times New Roman"/>
                <w:color w:val="FF0000"/>
                <w:sz w:val="24"/>
                <w:szCs w:val="24"/>
              </w:rPr>
              <w:t>14</w:t>
            </w:r>
          </w:p>
        </w:tc>
      </w:tr>
      <w:tr w14:paraId="1F56D014">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14:paraId="29B2308E">
            <w:pPr>
              <w:spacing w:before="18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Methods: Data collection, management, and analysis</w:t>
            </w:r>
          </w:p>
        </w:tc>
        <w:tc>
          <w:tcPr>
            <w:tcW w:w="640" w:type="pct"/>
            <w:shd w:val="clear" w:color="auto" w:fill="FFFFFF"/>
          </w:tcPr>
          <w:p w14:paraId="33FD8151">
            <w:pPr>
              <w:jc w:val="center"/>
              <w:rPr>
                <w:rFonts w:ascii="Times New Roman" w:hAnsi="Times New Roman" w:cs="Times New Roman"/>
                <w:b/>
                <w:color w:val="FF0000"/>
                <w:sz w:val="24"/>
                <w:szCs w:val="24"/>
              </w:rPr>
            </w:pPr>
          </w:p>
        </w:tc>
      </w:tr>
      <w:tr w14:paraId="50F26AAE">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07945F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Data collection methods</w:t>
            </w:r>
          </w:p>
        </w:tc>
        <w:tc>
          <w:tcPr>
            <w:tcW w:w="363" w:type="pct"/>
            <w:shd w:val="clear" w:color="auto" w:fill="FFFFFF"/>
          </w:tcPr>
          <w:p w14:paraId="277DDF2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18a</w:t>
            </w:r>
          </w:p>
        </w:tc>
        <w:tc>
          <w:tcPr>
            <w:tcW w:w="3196" w:type="pct"/>
            <w:shd w:val="clear" w:color="auto" w:fill="FFFFFF"/>
          </w:tcPr>
          <w:p w14:paraId="22E6035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Plans for assessment and collection of outcome, baseline, and other trial data, including any </w:t>
            </w:r>
            <w:r>
              <w:rPr>
                <w:rFonts w:ascii="Times New Roman" w:hAnsi="Times New Roman" w:cs="Times New Roman"/>
                <w:bCs/>
                <w:color w:val="000000" w:themeColor="text1"/>
                <w:sz w:val="24"/>
                <w:szCs w:val="24"/>
                <w14:textFill>
                  <w14:solidFill>
                    <w14:schemeClr w14:val="tx1"/>
                  </w14:solidFill>
                </w14:textFill>
              </w:rPr>
              <w:t>related processes to promote data quality</w:t>
            </w:r>
            <w:r>
              <w:rPr>
                <w:rFonts w:ascii="Times New Roman" w:hAnsi="Times New Roman" w:cs="Times New Roman"/>
                <w:color w:val="000000" w:themeColor="text1"/>
                <w:sz w:val="24"/>
                <w:szCs w:val="24"/>
                <w14:textFill>
                  <w14:solidFill>
                    <w14:schemeClr w14:val="tx1"/>
                  </w14:solidFill>
                </w14:textFill>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0" w:type="pct"/>
            <w:shd w:val="clear" w:color="auto" w:fill="FFFFFF"/>
          </w:tcPr>
          <w:p w14:paraId="6D1B7207">
            <w:pPr>
              <w:jc w:val="center"/>
              <w:rPr>
                <w:rFonts w:hint="default"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14</w:t>
            </w:r>
            <w:r>
              <w:rPr>
                <w:rFonts w:hint="eastAsia" w:ascii="Times New Roman" w:hAnsi="Times New Roman" w:cs="Times New Roman"/>
                <w:color w:val="FF0000"/>
                <w:sz w:val="24"/>
                <w:szCs w:val="24"/>
                <w:lang w:val="en-US" w:eastAsia="zh-CN"/>
              </w:rPr>
              <w:t>-15</w:t>
            </w:r>
          </w:p>
        </w:tc>
      </w:tr>
      <w:tr w14:paraId="7358968F">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7EF38407">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5F1CF32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18b</w:t>
            </w:r>
          </w:p>
        </w:tc>
        <w:tc>
          <w:tcPr>
            <w:tcW w:w="3196" w:type="pct"/>
            <w:shd w:val="clear" w:color="auto" w:fill="FFFFFF"/>
          </w:tcPr>
          <w:p w14:paraId="74AA289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to promote participant retention and complete follow-up, including list of any outcome data to be collected for participants who discontinue or deviate from intervention protocols</w:t>
            </w:r>
          </w:p>
        </w:tc>
        <w:tc>
          <w:tcPr>
            <w:tcW w:w="640" w:type="pct"/>
            <w:shd w:val="clear" w:color="auto" w:fill="FFFFFF"/>
          </w:tcPr>
          <w:p w14:paraId="3EE5075F">
            <w:pPr>
              <w:jc w:val="center"/>
              <w:rPr>
                <w:rFonts w:ascii="Times New Roman" w:hAnsi="Times New Roman" w:cs="Times New Roman"/>
                <w:color w:val="FF0000"/>
                <w:sz w:val="24"/>
                <w:szCs w:val="24"/>
              </w:rPr>
            </w:pPr>
            <w:r>
              <w:rPr>
                <w:rFonts w:ascii="Times New Roman" w:hAnsi="Times New Roman" w:cs="Times New Roman"/>
                <w:color w:val="FF0000"/>
                <w:sz w:val="24"/>
                <w:szCs w:val="24"/>
              </w:rPr>
              <w:t>15</w:t>
            </w:r>
          </w:p>
        </w:tc>
      </w:tr>
      <w:tr w14:paraId="0F2C2AF3">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2894DDFE">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Data management</w:t>
            </w:r>
          </w:p>
        </w:tc>
        <w:tc>
          <w:tcPr>
            <w:tcW w:w="363" w:type="pct"/>
            <w:shd w:val="clear" w:color="auto" w:fill="FFFFFF"/>
          </w:tcPr>
          <w:p w14:paraId="72151E6E">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19</w:t>
            </w:r>
          </w:p>
        </w:tc>
        <w:tc>
          <w:tcPr>
            <w:tcW w:w="3196" w:type="pct"/>
            <w:shd w:val="clear" w:color="auto" w:fill="FFFFFF"/>
            <w:tcMar>
              <w:top w:w="85" w:type="dxa"/>
              <w:bottom w:w="85" w:type="dxa"/>
            </w:tcMar>
          </w:tcPr>
          <w:p w14:paraId="2F3D54E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Plans for data entry, coding, security, and storage, including any </w:t>
            </w:r>
            <w:r>
              <w:rPr>
                <w:rFonts w:ascii="Times New Roman" w:hAnsi="Times New Roman" w:cs="Times New Roman"/>
                <w:bCs/>
                <w:color w:val="000000" w:themeColor="text1"/>
                <w:sz w:val="24"/>
                <w:szCs w:val="24"/>
                <w14:textFill>
                  <w14:solidFill>
                    <w14:schemeClr w14:val="tx1"/>
                  </w14:solidFill>
                </w14:textFill>
              </w:rPr>
              <w:t>related processes to promote data quality</w:t>
            </w:r>
            <w:r>
              <w:rPr>
                <w:rFonts w:ascii="Times New Roman" w:hAnsi="Times New Roman" w:cs="Times New Roman"/>
                <w:color w:val="000000" w:themeColor="text1"/>
                <w:sz w:val="24"/>
                <w:szCs w:val="24"/>
                <w14:textFill>
                  <w14:solidFill>
                    <w14:schemeClr w14:val="tx1"/>
                  </w14:solidFill>
                </w14:textFill>
              </w:rPr>
              <w:t xml:space="preserve"> (eg, double data entry</w:t>
            </w:r>
            <w:r>
              <w:rPr>
                <w:rFonts w:ascii="Times New Roman" w:hAnsi="Times New Roman" w:cs="Times New Roman"/>
                <w:bCs/>
                <w:color w:val="000000" w:themeColor="text1"/>
                <w:sz w:val="24"/>
                <w:szCs w:val="24"/>
                <w14:textFill>
                  <w14:solidFill>
                    <w14:schemeClr w14:val="tx1"/>
                  </w14:solidFill>
                </w14:textFill>
              </w:rPr>
              <w:t>; range checks for data values</w:t>
            </w:r>
            <w:r>
              <w:rPr>
                <w:rFonts w:ascii="Times New Roman" w:hAnsi="Times New Roman" w:cs="Times New Roman"/>
                <w:color w:val="000000" w:themeColor="text1"/>
                <w:sz w:val="24"/>
                <w:szCs w:val="24"/>
                <w14:textFill>
                  <w14:solidFill>
                    <w14:schemeClr w14:val="tx1"/>
                  </w14:solidFill>
                </w14:textFill>
              </w:rPr>
              <w:t>). Reference to where details of data management procedures can be found, if not in the protocol</w:t>
            </w:r>
          </w:p>
        </w:tc>
        <w:tc>
          <w:tcPr>
            <w:tcW w:w="640" w:type="pct"/>
            <w:shd w:val="clear" w:color="auto" w:fill="FFFFFF"/>
          </w:tcPr>
          <w:p w14:paraId="5EEEEDF8">
            <w:pPr>
              <w:jc w:val="center"/>
              <w:rPr>
                <w:rFonts w:ascii="Times New Roman" w:hAnsi="Times New Roman" w:cs="Times New Roman"/>
                <w:color w:val="FF0000"/>
                <w:sz w:val="24"/>
                <w:szCs w:val="24"/>
              </w:rPr>
            </w:pPr>
            <w:r>
              <w:rPr>
                <w:rFonts w:ascii="Times New Roman" w:hAnsi="Times New Roman" w:cs="Times New Roman"/>
                <w:color w:val="FF0000"/>
                <w:sz w:val="24"/>
                <w:szCs w:val="24"/>
              </w:rPr>
              <w:t>15</w:t>
            </w:r>
          </w:p>
        </w:tc>
      </w:tr>
      <w:tr w14:paraId="0A9721C6">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2C78565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Statistical methods</w:t>
            </w:r>
          </w:p>
        </w:tc>
        <w:tc>
          <w:tcPr>
            <w:tcW w:w="363" w:type="pct"/>
            <w:shd w:val="clear" w:color="auto" w:fill="FFFFFF"/>
          </w:tcPr>
          <w:p w14:paraId="1F94111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20a</w:t>
            </w:r>
          </w:p>
        </w:tc>
        <w:tc>
          <w:tcPr>
            <w:tcW w:w="3196" w:type="pct"/>
            <w:shd w:val="clear" w:color="auto" w:fill="FFFFFF"/>
            <w:tcMar>
              <w:top w:w="85" w:type="dxa"/>
              <w:bottom w:w="85" w:type="dxa"/>
            </w:tcMar>
          </w:tcPr>
          <w:p w14:paraId="0E601A3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Statistical methods for analysing primary and secondary outcomes. Reference to where other details of the statistical analysis plan can be found, if not in the protocol</w:t>
            </w:r>
          </w:p>
        </w:tc>
        <w:tc>
          <w:tcPr>
            <w:tcW w:w="640" w:type="pct"/>
            <w:shd w:val="clear" w:color="auto" w:fill="FFFFFF"/>
          </w:tcPr>
          <w:p w14:paraId="17D968D3">
            <w:pPr>
              <w:jc w:val="center"/>
              <w:rPr>
                <w:rFonts w:ascii="Times New Roman" w:hAnsi="Times New Roman" w:cs="Times New Roman"/>
                <w:color w:val="FF0000"/>
                <w:sz w:val="24"/>
                <w:szCs w:val="24"/>
              </w:rPr>
            </w:pPr>
            <w:r>
              <w:rPr>
                <w:rFonts w:ascii="Times New Roman" w:hAnsi="Times New Roman" w:cs="Times New Roman"/>
                <w:color w:val="FF0000"/>
                <w:sz w:val="24"/>
                <w:szCs w:val="24"/>
              </w:rPr>
              <w:t>16</w:t>
            </w:r>
          </w:p>
        </w:tc>
      </w:tr>
      <w:tr w14:paraId="1E9C0A17">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2F76878">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486F9EA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20b</w:t>
            </w:r>
          </w:p>
        </w:tc>
        <w:tc>
          <w:tcPr>
            <w:tcW w:w="3196" w:type="pct"/>
            <w:shd w:val="clear" w:color="auto" w:fill="FFFFFF"/>
          </w:tcPr>
          <w:p w14:paraId="7D257AEC">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Methods for any additional analyses (eg, subgroup and adjusted analyses)</w:t>
            </w:r>
          </w:p>
        </w:tc>
        <w:tc>
          <w:tcPr>
            <w:tcW w:w="640" w:type="pct"/>
            <w:shd w:val="clear" w:color="auto" w:fill="FFFFFF"/>
          </w:tcPr>
          <w:p w14:paraId="21E9BA47">
            <w:pPr>
              <w:jc w:val="center"/>
              <w:rPr>
                <w:rFonts w:ascii="Times New Roman" w:hAnsi="Times New Roman" w:cs="Times New Roman"/>
                <w:color w:val="FF0000"/>
                <w:sz w:val="24"/>
                <w:szCs w:val="24"/>
              </w:rPr>
            </w:pPr>
            <w:r>
              <w:rPr>
                <w:rFonts w:ascii="Times New Roman" w:hAnsi="Times New Roman" w:cs="Times New Roman"/>
                <w:color w:val="FF0000"/>
                <w:sz w:val="24"/>
                <w:szCs w:val="24"/>
              </w:rPr>
              <w:t>16</w:t>
            </w:r>
          </w:p>
        </w:tc>
      </w:tr>
      <w:tr w14:paraId="23DE0EE8">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33BD517">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096AD12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20c</w:t>
            </w:r>
          </w:p>
        </w:tc>
        <w:tc>
          <w:tcPr>
            <w:tcW w:w="3196" w:type="pct"/>
            <w:shd w:val="clear" w:color="auto" w:fill="FFFFFF"/>
          </w:tcPr>
          <w:p w14:paraId="61E6EAC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Definition of analysis population relating to protocol non-adherence (eg, as randomised analysis), and any statistical methods to handle missing data (eg, multiple imputation)</w:t>
            </w:r>
          </w:p>
        </w:tc>
        <w:tc>
          <w:tcPr>
            <w:tcW w:w="640" w:type="pct"/>
            <w:shd w:val="clear" w:color="auto" w:fill="FFFFFF"/>
          </w:tcPr>
          <w:p w14:paraId="72C8FEA6">
            <w:pPr>
              <w:jc w:val="center"/>
              <w:rPr>
                <w:rFonts w:ascii="Times New Roman" w:hAnsi="Times New Roman" w:cs="Times New Roman"/>
                <w:color w:val="FF0000"/>
                <w:sz w:val="24"/>
                <w:szCs w:val="24"/>
              </w:rPr>
            </w:pPr>
            <w:r>
              <w:rPr>
                <w:rFonts w:ascii="Times New Roman" w:hAnsi="Times New Roman" w:cs="Times New Roman"/>
                <w:color w:val="FF0000"/>
                <w:sz w:val="24"/>
                <w:szCs w:val="24"/>
              </w:rPr>
              <w:t>16-17</w:t>
            </w:r>
          </w:p>
        </w:tc>
      </w:tr>
      <w:tr w14:paraId="5DD8DC44">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14:paraId="18EEA3A4">
            <w:pPr>
              <w:spacing w:before="18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Methods: Monitoring</w:t>
            </w:r>
          </w:p>
        </w:tc>
        <w:tc>
          <w:tcPr>
            <w:tcW w:w="640" w:type="pct"/>
            <w:shd w:val="clear" w:color="auto" w:fill="FFFFFF"/>
          </w:tcPr>
          <w:p w14:paraId="16087763">
            <w:pPr>
              <w:jc w:val="center"/>
              <w:rPr>
                <w:rFonts w:ascii="Times New Roman" w:hAnsi="Times New Roman" w:cs="Times New Roman"/>
                <w:b/>
                <w:color w:val="FF0000"/>
                <w:sz w:val="24"/>
                <w:szCs w:val="24"/>
              </w:rPr>
            </w:pPr>
          </w:p>
        </w:tc>
      </w:tr>
      <w:tr w14:paraId="1421E9DE">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63870B9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Data monitoring</w:t>
            </w:r>
          </w:p>
        </w:tc>
        <w:tc>
          <w:tcPr>
            <w:tcW w:w="363" w:type="pct"/>
            <w:shd w:val="clear" w:color="auto" w:fill="FFFFFF"/>
          </w:tcPr>
          <w:p w14:paraId="4ED4BFD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21a</w:t>
            </w:r>
          </w:p>
        </w:tc>
        <w:tc>
          <w:tcPr>
            <w:tcW w:w="3196" w:type="pct"/>
            <w:shd w:val="clear" w:color="auto" w:fill="FFFFFF"/>
            <w:tcMar>
              <w:top w:w="85" w:type="dxa"/>
              <w:bottom w:w="85" w:type="dxa"/>
            </w:tcMar>
          </w:tcPr>
          <w:p w14:paraId="52CFFA4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0" w:type="pct"/>
            <w:shd w:val="clear" w:color="auto" w:fill="FFFFFF"/>
          </w:tcPr>
          <w:p w14:paraId="0FC1AD4C">
            <w:pPr>
              <w:jc w:val="center"/>
              <w:rPr>
                <w:rFonts w:ascii="Times New Roman" w:hAnsi="Times New Roman" w:cs="Times New Roman"/>
                <w:color w:val="FF0000"/>
                <w:sz w:val="24"/>
                <w:szCs w:val="24"/>
              </w:rPr>
            </w:pPr>
            <w:r>
              <w:rPr>
                <w:rFonts w:ascii="Times New Roman" w:hAnsi="Times New Roman" w:cs="Times New Roman"/>
                <w:color w:val="FF0000"/>
                <w:sz w:val="24"/>
                <w:szCs w:val="24"/>
              </w:rPr>
              <w:t>17</w:t>
            </w:r>
          </w:p>
        </w:tc>
      </w:tr>
      <w:tr w14:paraId="1570924A">
        <w:tblPrEx>
          <w:shd w:val="clear" w:color="auto" w:fill="FFFFFF"/>
          <w:tblCellMar>
            <w:top w:w="0" w:type="dxa"/>
            <w:left w:w="56" w:type="dxa"/>
            <w:bottom w:w="0" w:type="dxa"/>
            <w:right w:w="56" w:type="dxa"/>
          </w:tblCellMar>
        </w:tblPrEx>
        <w:trPr>
          <w:cantSplit/>
          <w:trHeight w:val="491" w:hRule="atLeast"/>
        </w:trPr>
        <w:tc>
          <w:tcPr>
            <w:tcW w:w="799" w:type="pct"/>
            <w:shd w:val="clear" w:color="auto" w:fill="FFFFFF"/>
            <w:tcMar>
              <w:top w:w="85" w:type="dxa"/>
              <w:bottom w:w="85" w:type="dxa"/>
            </w:tcMar>
          </w:tcPr>
          <w:p w14:paraId="7415B865">
            <w:pPr>
              <w:rPr>
                <w:rFonts w:ascii="Times New Roman" w:hAnsi="Times New Roman" w:cs="Times New Roman"/>
                <w:color w:val="000000" w:themeColor="text1"/>
                <w:sz w:val="24"/>
                <w:szCs w:val="24"/>
                <w14:textFill>
                  <w14:solidFill>
                    <w14:schemeClr w14:val="tx1"/>
                  </w14:solidFill>
                </w14:textFill>
              </w:rPr>
            </w:pPr>
          </w:p>
        </w:tc>
        <w:tc>
          <w:tcPr>
            <w:tcW w:w="363" w:type="pct"/>
            <w:shd w:val="clear" w:color="auto" w:fill="FFFFFF"/>
          </w:tcPr>
          <w:p w14:paraId="004FF73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21b</w:t>
            </w:r>
          </w:p>
        </w:tc>
        <w:tc>
          <w:tcPr>
            <w:tcW w:w="3196" w:type="pct"/>
            <w:shd w:val="clear" w:color="auto" w:fill="FFFFFF"/>
            <w:tcMar>
              <w:top w:w="85" w:type="dxa"/>
              <w:bottom w:w="85" w:type="dxa"/>
            </w:tcMar>
          </w:tcPr>
          <w:p w14:paraId="16CC1B5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Description of any interim analyses and stopping guidelines, including who will have access to these interim results and make the final decision to terminate the trial</w:t>
            </w:r>
          </w:p>
        </w:tc>
        <w:tc>
          <w:tcPr>
            <w:tcW w:w="640" w:type="pct"/>
            <w:shd w:val="clear" w:color="auto" w:fill="FFFFFF"/>
          </w:tcPr>
          <w:p w14:paraId="2F4216C7">
            <w:pPr>
              <w:jc w:val="center"/>
              <w:rPr>
                <w:rFonts w:ascii="Times New Roman" w:hAnsi="Times New Roman" w:cs="Times New Roman"/>
                <w:color w:val="FF0000"/>
                <w:sz w:val="24"/>
                <w:szCs w:val="24"/>
              </w:rPr>
            </w:pPr>
            <w:r>
              <w:rPr>
                <w:rFonts w:ascii="Times New Roman" w:hAnsi="Times New Roman" w:cs="Times New Roman"/>
                <w:color w:val="FF0000"/>
                <w:sz w:val="24"/>
                <w:szCs w:val="24"/>
              </w:rPr>
              <w:t>16</w:t>
            </w:r>
          </w:p>
        </w:tc>
      </w:tr>
      <w:tr w14:paraId="393DF780">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1AA8DD3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Harms</w:t>
            </w:r>
          </w:p>
        </w:tc>
        <w:tc>
          <w:tcPr>
            <w:tcW w:w="363" w:type="pct"/>
            <w:shd w:val="clear" w:color="auto" w:fill="FFFFFF"/>
          </w:tcPr>
          <w:p w14:paraId="5B3ACFD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22</w:t>
            </w:r>
          </w:p>
        </w:tc>
        <w:tc>
          <w:tcPr>
            <w:tcW w:w="3196" w:type="pct"/>
            <w:shd w:val="clear" w:color="auto" w:fill="FFFFFF"/>
            <w:tcMar>
              <w:top w:w="85" w:type="dxa"/>
              <w:bottom w:w="85" w:type="dxa"/>
            </w:tcMar>
          </w:tcPr>
          <w:p w14:paraId="7A44043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for collecting, assessing, reporting, and managing solicited and spontaneously reported adverse events and other unintended effects of trial interventions or trial conduct</w:t>
            </w:r>
          </w:p>
        </w:tc>
        <w:tc>
          <w:tcPr>
            <w:tcW w:w="640" w:type="pct"/>
            <w:shd w:val="clear" w:color="auto" w:fill="FFFFFF"/>
          </w:tcPr>
          <w:p w14:paraId="1E623953">
            <w:pPr>
              <w:jc w:val="center"/>
              <w:rPr>
                <w:rFonts w:ascii="Times New Roman" w:hAnsi="Times New Roman" w:cs="Times New Roman"/>
                <w:color w:val="FF0000"/>
                <w:sz w:val="24"/>
                <w:szCs w:val="24"/>
              </w:rPr>
            </w:pPr>
            <w:r>
              <w:rPr>
                <w:rFonts w:ascii="Times New Roman" w:hAnsi="Times New Roman" w:cs="Times New Roman"/>
                <w:color w:val="FF0000"/>
                <w:sz w:val="24"/>
                <w:szCs w:val="24"/>
              </w:rPr>
              <w:t>17-18</w:t>
            </w:r>
          </w:p>
        </w:tc>
      </w:tr>
      <w:tr w14:paraId="69B56B82">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194CB4E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Auditing</w:t>
            </w:r>
          </w:p>
        </w:tc>
        <w:tc>
          <w:tcPr>
            <w:tcW w:w="363" w:type="pct"/>
            <w:shd w:val="clear" w:color="auto" w:fill="FFFFFF"/>
          </w:tcPr>
          <w:p w14:paraId="2EC3EB3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23</w:t>
            </w:r>
          </w:p>
        </w:tc>
        <w:tc>
          <w:tcPr>
            <w:tcW w:w="3196" w:type="pct"/>
            <w:shd w:val="clear" w:color="auto" w:fill="FFFFFF"/>
            <w:tcMar>
              <w:top w:w="85" w:type="dxa"/>
              <w:bottom w:w="85" w:type="dxa"/>
            </w:tcMar>
          </w:tcPr>
          <w:p w14:paraId="2D24524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Frequency and procedures for auditing trial conduct, if any, and whether the process will be independent from investigators and the sponsor</w:t>
            </w:r>
          </w:p>
        </w:tc>
        <w:tc>
          <w:tcPr>
            <w:tcW w:w="640" w:type="pct"/>
            <w:shd w:val="clear" w:color="auto" w:fill="FFFFFF"/>
          </w:tcPr>
          <w:p w14:paraId="65758D2A">
            <w:pPr>
              <w:jc w:val="center"/>
              <w:rPr>
                <w:rFonts w:ascii="Times New Roman" w:hAnsi="Times New Roman" w:cs="Times New Roman"/>
                <w:color w:val="FF0000"/>
                <w:sz w:val="24"/>
                <w:szCs w:val="24"/>
              </w:rPr>
            </w:pPr>
            <w:r>
              <w:rPr>
                <w:rFonts w:ascii="Times New Roman" w:hAnsi="Times New Roman" w:cs="Times New Roman"/>
                <w:color w:val="FF0000"/>
                <w:sz w:val="24"/>
                <w:szCs w:val="24"/>
              </w:rPr>
              <w:t>18</w:t>
            </w:r>
          </w:p>
        </w:tc>
      </w:tr>
      <w:tr w14:paraId="2132AE63">
        <w:tblPrEx>
          <w:tblCellMar>
            <w:top w:w="0" w:type="dxa"/>
            <w:left w:w="56" w:type="dxa"/>
            <w:bottom w:w="0" w:type="dxa"/>
            <w:right w:w="56" w:type="dxa"/>
          </w:tblCellMar>
        </w:tblPrEx>
        <w:trPr>
          <w:cantSplit/>
          <w:trHeight w:val="259" w:hRule="atLeast"/>
        </w:trPr>
        <w:tc>
          <w:tcPr>
            <w:tcW w:w="4359" w:type="pct"/>
            <w:gridSpan w:val="3"/>
            <w:shd w:val="clear" w:color="auto" w:fill="auto"/>
            <w:tcMar>
              <w:top w:w="85" w:type="dxa"/>
              <w:bottom w:w="85" w:type="dxa"/>
            </w:tcMar>
          </w:tcPr>
          <w:p w14:paraId="6FEA3F9A">
            <w:pPr>
              <w:pStyle w:val="12"/>
              <w:spacing w:before="180"/>
              <w:rPr>
                <w:color w:val="000000" w:themeColor="text1"/>
                <w:szCs w:val="24"/>
                <w14:textFill>
                  <w14:solidFill>
                    <w14:schemeClr w14:val="tx1"/>
                  </w14:solidFill>
                </w14:textFill>
              </w:rPr>
            </w:pPr>
            <w:r>
              <w:rPr>
                <w:color w:val="000000" w:themeColor="text1"/>
                <w:szCs w:val="24"/>
                <w14:textFill>
                  <w14:solidFill>
                    <w14:schemeClr w14:val="tx1"/>
                  </w14:solidFill>
                </w14:textFill>
              </w:rPr>
              <w:t>Ethics and dissemination</w:t>
            </w:r>
          </w:p>
        </w:tc>
        <w:tc>
          <w:tcPr>
            <w:tcW w:w="640" w:type="pct"/>
          </w:tcPr>
          <w:p w14:paraId="0896EDEF">
            <w:pPr>
              <w:pStyle w:val="12"/>
              <w:jc w:val="center"/>
              <w:rPr>
                <w:color w:val="FF0000"/>
                <w:szCs w:val="24"/>
              </w:rPr>
            </w:pPr>
          </w:p>
        </w:tc>
      </w:tr>
      <w:tr w14:paraId="3725B7F6">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3058C729">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Research ethics approval</w:t>
            </w:r>
          </w:p>
        </w:tc>
        <w:tc>
          <w:tcPr>
            <w:tcW w:w="363" w:type="pct"/>
          </w:tcPr>
          <w:p w14:paraId="58DD366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24</w:t>
            </w:r>
          </w:p>
        </w:tc>
        <w:tc>
          <w:tcPr>
            <w:tcW w:w="3196" w:type="pct"/>
            <w:shd w:val="clear" w:color="auto" w:fill="auto"/>
            <w:tcMar>
              <w:top w:w="85" w:type="dxa"/>
              <w:bottom w:w="85" w:type="dxa"/>
            </w:tcMar>
          </w:tcPr>
          <w:p w14:paraId="397CE45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for seeking research ethics committee/institutional review board (REC/IRB) approval</w:t>
            </w:r>
          </w:p>
        </w:tc>
        <w:tc>
          <w:tcPr>
            <w:tcW w:w="640" w:type="pct"/>
          </w:tcPr>
          <w:p w14:paraId="075085B2">
            <w:pPr>
              <w:jc w:val="center"/>
              <w:rPr>
                <w:rFonts w:hint="default"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22</w:t>
            </w:r>
          </w:p>
        </w:tc>
      </w:tr>
      <w:tr w14:paraId="60292BD1">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3D0F17FB">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Protocol amendments</w:t>
            </w:r>
          </w:p>
        </w:tc>
        <w:tc>
          <w:tcPr>
            <w:tcW w:w="363" w:type="pct"/>
          </w:tcPr>
          <w:p w14:paraId="0717DA3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25</w:t>
            </w:r>
          </w:p>
        </w:tc>
        <w:tc>
          <w:tcPr>
            <w:tcW w:w="3196" w:type="pct"/>
            <w:shd w:val="clear" w:color="auto" w:fill="auto"/>
            <w:tcMar>
              <w:top w:w="85" w:type="dxa"/>
              <w:bottom w:w="85" w:type="dxa"/>
            </w:tcMar>
          </w:tcPr>
          <w:p w14:paraId="391A53C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for communicating important protocol modifications (eg, changes to eligibility criteria, outcomes, analyses) to relevant parties (eg, investigators, REC/IRBs, trial participants, trial registries, journals, regulators)</w:t>
            </w:r>
          </w:p>
        </w:tc>
        <w:tc>
          <w:tcPr>
            <w:tcW w:w="640" w:type="pct"/>
          </w:tcPr>
          <w:p w14:paraId="420BF7AB">
            <w:pPr>
              <w:jc w:val="center"/>
              <w:rPr>
                <w:rFonts w:ascii="Times New Roman" w:hAnsi="Times New Roman" w:cs="Times New Roman"/>
                <w:color w:val="FF0000"/>
                <w:sz w:val="24"/>
                <w:szCs w:val="24"/>
              </w:rPr>
            </w:pPr>
            <w:r>
              <w:rPr>
                <w:rFonts w:ascii="Times New Roman" w:hAnsi="Times New Roman" w:cs="Times New Roman"/>
                <w:color w:val="FF0000"/>
                <w:sz w:val="24"/>
                <w:szCs w:val="24"/>
              </w:rPr>
              <w:t>18</w:t>
            </w:r>
          </w:p>
        </w:tc>
      </w:tr>
      <w:tr w14:paraId="1ADEC22A">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2682E2D2">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Consent or assent</w:t>
            </w:r>
          </w:p>
        </w:tc>
        <w:tc>
          <w:tcPr>
            <w:tcW w:w="363" w:type="pct"/>
          </w:tcPr>
          <w:p w14:paraId="0644495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26a</w:t>
            </w:r>
          </w:p>
        </w:tc>
        <w:tc>
          <w:tcPr>
            <w:tcW w:w="3196" w:type="pct"/>
            <w:shd w:val="clear" w:color="auto" w:fill="auto"/>
            <w:tcMar>
              <w:top w:w="85" w:type="dxa"/>
              <w:bottom w:w="85" w:type="dxa"/>
            </w:tcMar>
          </w:tcPr>
          <w:p w14:paraId="04BF3BAC">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Who will obtain informed consent or assent from potential trial participants or authorised surrogates, and how (see Item 32)</w:t>
            </w:r>
          </w:p>
        </w:tc>
        <w:tc>
          <w:tcPr>
            <w:tcW w:w="640" w:type="pct"/>
          </w:tcPr>
          <w:p w14:paraId="3760E284">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9</w:t>
            </w:r>
          </w:p>
        </w:tc>
      </w:tr>
      <w:tr w14:paraId="64F3EEC4">
        <w:tblPrEx>
          <w:tblCellMar>
            <w:top w:w="0" w:type="dxa"/>
            <w:left w:w="56" w:type="dxa"/>
            <w:bottom w:w="0" w:type="dxa"/>
            <w:right w:w="56" w:type="dxa"/>
          </w:tblCellMar>
        </w:tblPrEx>
        <w:trPr>
          <w:cantSplit/>
          <w:trHeight w:val="820" w:hRule="atLeast"/>
        </w:trPr>
        <w:tc>
          <w:tcPr>
            <w:tcW w:w="799" w:type="pct"/>
            <w:shd w:val="clear" w:color="auto" w:fill="auto"/>
            <w:tcMar>
              <w:top w:w="85" w:type="dxa"/>
              <w:bottom w:w="85" w:type="dxa"/>
            </w:tcMar>
          </w:tcPr>
          <w:p w14:paraId="6ECB816C">
            <w:pPr>
              <w:rPr>
                <w:rFonts w:ascii="Times New Roman" w:hAnsi="Times New Roman" w:cs="Times New Roman"/>
                <w:color w:val="000000" w:themeColor="text1"/>
                <w:sz w:val="24"/>
                <w:szCs w:val="24"/>
                <w14:textFill>
                  <w14:solidFill>
                    <w14:schemeClr w14:val="tx1"/>
                  </w14:solidFill>
                </w14:textFill>
              </w:rPr>
            </w:pPr>
          </w:p>
        </w:tc>
        <w:tc>
          <w:tcPr>
            <w:tcW w:w="363" w:type="pct"/>
          </w:tcPr>
          <w:p w14:paraId="103106F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26b</w:t>
            </w:r>
          </w:p>
        </w:tc>
        <w:tc>
          <w:tcPr>
            <w:tcW w:w="3196" w:type="pct"/>
            <w:shd w:val="clear" w:color="auto" w:fill="auto"/>
            <w:tcMar>
              <w:top w:w="85" w:type="dxa"/>
              <w:bottom w:w="85" w:type="dxa"/>
            </w:tcMar>
          </w:tcPr>
          <w:p w14:paraId="43E51FF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Additional consent provisions for collection and use of participant data and biological specimens in ancillary studies, if applicable</w:t>
            </w:r>
          </w:p>
        </w:tc>
        <w:tc>
          <w:tcPr>
            <w:tcW w:w="640" w:type="pct"/>
          </w:tcPr>
          <w:p w14:paraId="48078E89">
            <w:pPr>
              <w:jc w:val="center"/>
              <w:rPr>
                <w:rFonts w:ascii="Times New Roman" w:hAnsi="Times New Roman" w:cs="Times New Roman"/>
                <w:color w:val="FF0000"/>
                <w:sz w:val="24"/>
                <w:szCs w:val="24"/>
              </w:rPr>
            </w:pPr>
            <w:r>
              <w:rPr>
                <w:rFonts w:hint="eastAsia" w:ascii="Times New Roman" w:hAnsi="Times New Roman" w:cs="Times New Roman"/>
                <w:color w:val="FF0000"/>
                <w:sz w:val="24"/>
                <w:szCs w:val="24"/>
              </w:rPr>
              <w:t>9</w:t>
            </w:r>
          </w:p>
        </w:tc>
      </w:tr>
      <w:tr w14:paraId="743A535B">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7D1BBC9A">
            <w:pPr>
              <w:rPr>
                <w:rFonts w:ascii="Times New Roman" w:hAnsi="Times New Roman" w:cs="Times New Roman"/>
                <w:color w:val="000000" w:themeColor="text1"/>
                <w:sz w:val="24"/>
                <w:szCs w:val="24"/>
                <w14:textFill>
                  <w14:solidFill>
                    <w14:schemeClr w14:val="tx1"/>
                  </w14:solidFill>
                </w14:textFill>
              </w:rPr>
            </w:pPr>
            <w:bookmarkStart w:id="1" w:name="_Hlk476944269"/>
            <w:r>
              <w:rPr>
                <w:rFonts w:ascii="Times New Roman" w:hAnsi="Times New Roman" w:cs="Times New Roman"/>
                <w:color w:val="000000" w:themeColor="text1"/>
                <w:sz w:val="24"/>
                <w:szCs w:val="24"/>
                <w14:textFill>
                  <w14:solidFill>
                    <w14:schemeClr w14:val="tx1"/>
                  </w14:solidFill>
                </w14:textFill>
              </w:rPr>
              <w:t>Confidentiality</w:t>
            </w:r>
          </w:p>
        </w:tc>
        <w:tc>
          <w:tcPr>
            <w:tcW w:w="363" w:type="pct"/>
          </w:tcPr>
          <w:p w14:paraId="2C1F534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27</w:t>
            </w:r>
          </w:p>
        </w:tc>
        <w:tc>
          <w:tcPr>
            <w:tcW w:w="3196" w:type="pct"/>
            <w:shd w:val="clear" w:color="auto" w:fill="auto"/>
            <w:tcMar>
              <w:top w:w="85" w:type="dxa"/>
              <w:bottom w:w="85" w:type="dxa"/>
            </w:tcMar>
          </w:tcPr>
          <w:p w14:paraId="48C9F9CC">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How personal information about potential and enrolled participants will be collected, shared, and maintained in order to protect confidentiality before, during, and after the trial</w:t>
            </w:r>
          </w:p>
        </w:tc>
        <w:tc>
          <w:tcPr>
            <w:tcW w:w="640" w:type="pct"/>
          </w:tcPr>
          <w:p w14:paraId="0780D364">
            <w:pPr>
              <w:jc w:val="center"/>
              <w:rPr>
                <w:rFonts w:ascii="Times New Roman" w:hAnsi="Times New Roman" w:cs="Times New Roman"/>
                <w:color w:val="FF0000"/>
                <w:sz w:val="24"/>
                <w:szCs w:val="24"/>
              </w:rPr>
            </w:pPr>
            <w:r>
              <w:rPr>
                <w:rFonts w:ascii="Times New Roman" w:hAnsi="Times New Roman" w:cs="Times New Roman"/>
                <w:color w:val="FF0000"/>
                <w:sz w:val="24"/>
                <w:szCs w:val="24"/>
              </w:rPr>
              <w:t>15</w:t>
            </w:r>
          </w:p>
        </w:tc>
      </w:tr>
      <w:bookmarkEnd w:id="1"/>
      <w:tr w14:paraId="0907FDEA">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7C9CB47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Declaration of interests</w:t>
            </w:r>
          </w:p>
        </w:tc>
        <w:tc>
          <w:tcPr>
            <w:tcW w:w="363" w:type="pct"/>
          </w:tcPr>
          <w:p w14:paraId="22C3C3A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28</w:t>
            </w:r>
          </w:p>
        </w:tc>
        <w:tc>
          <w:tcPr>
            <w:tcW w:w="3196" w:type="pct"/>
            <w:shd w:val="clear" w:color="auto" w:fill="auto"/>
            <w:tcMar>
              <w:top w:w="85" w:type="dxa"/>
              <w:bottom w:w="85" w:type="dxa"/>
            </w:tcMar>
          </w:tcPr>
          <w:p w14:paraId="4B35745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Financial and other competing interests for principal investigators for the overall trial and each study site</w:t>
            </w:r>
          </w:p>
        </w:tc>
        <w:tc>
          <w:tcPr>
            <w:tcW w:w="640" w:type="pct"/>
          </w:tcPr>
          <w:p w14:paraId="5CBE3BC6">
            <w:pPr>
              <w:jc w:val="center"/>
              <w:rPr>
                <w:rFonts w:hint="default"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22</w:t>
            </w:r>
          </w:p>
        </w:tc>
      </w:tr>
      <w:tr w14:paraId="751C1DF7">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12A4AB7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Access to data</w:t>
            </w:r>
          </w:p>
        </w:tc>
        <w:tc>
          <w:tcPr>
            <w:tcW w:w="363" w:type="pct"/>
            <w:shd w:val="clear" w:color="auto" w:fill="FFFFFF"/>
          </w:tcPr>
          <w:p w14:paraId="5252A33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29</w:t>
            </w:r>
          </w:p>
        </w:tc>
        <w:tc>
          <w:tcPr>
            <w:tcW w:w="3196" w:type="pct"/>
            <w:shd w:val="clear" w:color="auto" w:fill="FFFFFF"/>
            <w:tcMar>
              <w:top w:w="85" w:type="dxa"/>
              <w:bottom w:w="85" w:type="dxa"/>
            </w:tcMar>
          </w:tcPr>
          <w:p w14:paraId="474C242F">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Statement of who will have access to the final trial dataset, and disclosure of contractual agreements that limit such access for investigators</w:t>
            </w:r>
          </w:p>
        </w:tc>
        <w:tc>
          <w:tcPr>
            <w:tcW w:w="640" w:type="pct"/>
            <w:shd w:val="clear" w:color="auto" w:fill="FFFFFF"/>
          </w:tcPr>
          <w:p w14:paraId="4F15098C">
            <w:pPr>
              <w:jc w:val="center"/>
              <w:rPr>
                <w:rFonts w:hint="default"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lang w:val="en-US" w:eastAsia="zh-CN"/>
              </w:rPr>
              <w:t>22</w:t>
            </w:r>
          </w:p>
        </w:tc>
      </w:tr>
      <w:tr w14:paraId="77FA6996">
        <w:tblPrEx>
          <w:shd w:val="clear" w:color="auto" w:fill="FFFFFF"/>
          <w:tblCellMar>
            <w:top w:w="0" w:type="dxa"/>
            <w:left w:w="56" w:type="dxa"/>
            <w:bottom w:w="0" w:type="dxa"/>
            <w:right w:w="56" w:type="dxa"/>
          </w:tblCellMar>
        </w:tblPrEx>
        <w:trPr>
          <w:cantSplit/>
          <w:trHeight w:val="259" w:hRule="atLeast"/>
        </w:trPr>
        <w:tc>
          <w:tcPr>
            <w:tcW w:w="799" w:type="pct"/>
            <w:shd w:val="clear" w:color="auto" w:fill="FFFFFF"/>
            <w:tcMar>
              <w:top w:w="85" w:type="dxa"/>
              <w:bottom w:w="85" w:type="dxa"/>
            </w:tcMar>
          </w:tcPr>
          <w:p w14:paraId="52B69254">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Ancillary and post-trial care</w:t>
            </w:r>
          </w:p>
        </w:tc>
        <w:tc>
          <w:tcPr>
            <w:tcW w:w="363" w:type="pct"/>
            <w:shd w:val="clear" w:color="auto" w:fill="FFFFFF"/>
          </w:tcPr>
          <w:p w14:paraId="4118754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30</w:t>
            </w:r>
          </w:p>
        </w:tc>
        <w:tc>
          <w:tcPr>
            <w:tcW w:w="3196" w:type="pct"/>
            <w:shd w:val="clear" w:color="auto" w:fill="FFFFFF"/>
            <w:tcMar>
              <w:top w:w="85" w:type="dxa"/>
              <w:bottom w:w="85" w:type="dxa"/>
            </w:tcMar>
          </w:tcPr>
          <w:p w14:paraId="62574F8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Provisions, if any, for ancillary and post-trial care, and for compensation to those who suffer harm from trial participation</w:t>
            </w:r>
          </w:p>
        </w:tc>
        <w:tc>
          <w:tcPr>
            <w:tcW w:w="640" w:type="pct"/>
            <w:shd w:val="clear" w:color="auto" w:fill="FFFFFF"/>
          </w:tcPr>
          <w:p w14:paraId="4A92ACC2">
            <w:pPr>
              <w:jc w:val="center"/>
              <w:rPr>
                <w:rFonts w:hint="default" w:ascii="Times New Roman" w:hAnsi="Times New Roman" w:eastAsia="等线" w:cs="Times New Roman"/>
                <w:color w:val="FF0000"/>
                <w:sz w:val="24"/>
                <w:szCs w:val="24"/>
                <w:lang w:val="en-US" w:eastAsia="zh-CN"/>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1</w:t>
            </w:r>
            <w:r>
              <w:rPr>
                <w:rFonts w:hint="eastAsia" w:ascii="Times New Roman" w:hAnsi="Times New Roman" w:cs="Times New Roman"/>
                <w:color w:val="FF0000"/>
                <w:sz w:val="24"/>
                <w:szCs w:val="24"/>
                <w:lang w:val="en-US" w:eastAsia="zh-CN"/>
              </w:rPr>
              <w:t>-12</w:t>
            </w:r>
          </w:p>
        </w:tc>
      </w:tr>
      <w:tr w14:paraId="1EEEC59C">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5CB19AE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Dissemination policy</w:t>
            </w:r>
          </w:p>
        </w:tc>
        <w:tc>
          <w:tcPr>
            <w:tcW w:w="363" w:type="pct"/>
          </w:tcPr>
          <w:p w14:paraId="249049B1">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31a</w:t>
            </w:r>
          </w:p>
        </w:tc>
        <w:tc>
          <w:tcPr>
            <w:tcW w:w="3196" w:type="pct"/>
            <w:shd w:val="clear" w:color="auto" w:fill="auto"/>
            <w:tcMar>
              <w:top w:w="85" w:type="dxa"/>
              <w:bottom w:w="85" w:type="dxa"/>
            </w:tcMar>
          </w:tcPr>
          <w:p w14:paraId="4E67C080">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0" w:type="pct"/>
          </w:tcPr>
          <w:p w14:paraId="7D50C6FD">
            <w:pPr>
              <w:jc w:val="center"/>
              <w:rPr>
                <w:rFonts w:hint="default" w:ascii="Times New Roman" w:hAnsi="Times New Roman" w:eastAsia="等线" w:cs="Times New Roman"/>
                <w:color w:val="FF0000"/>
                <w:sz w:val="24"/>
                <w:szCs w:val="24"/>
                <w:lang w:val="en-US" w:eastAsia="zh-CN"/>
              </w:rPr>
            </w:pPr>
            <w:r>
              <w:rPr>
                <w:rFonts w:ascii="Times New Roman" w:hAnsi="Times New Roman" w:cs="Times New Roman"/>
                <w:color w:val="FF0000"/>
                <w:sz w:val="24"/>
                <w:szCs w:val="24"/>
              </w:rPr>
              <w:t>18</w:t>
            </w:r>
            <w:r>
              <w:rPr>
                <w:rFonts w:hint="eastAsia" w:ascii="Times New Roman" w:hAnsi="Times New Roman" w:cs="Times New Roman"/>
                <w:color w:val="FF0000"/>
                <w:sz w:val="24"/>
                <w:szCs w:val="24"/>
                <w:lang w:val="en-US" w:eastAsia="zh-CN"/>
              </w:rPr>
              <w:t>-19</w:t>
            </w:r>
          </w:p>
        </w:tc>
      </w:tr>
      <w:tr w14:paraId="4D3AC5F6">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491FA226">
            <w:pPr>
              <w:rPr>
                <w:rFonts w:ascii="Times New Roman" w:hAnsi="Times New Roman" w:cs="Times New Roman"/>
                <w:color w:val="000000" w:themeColor="text1"/>
                <w:sz w:val="24"/>
                <w:szCs w:val="24"/>
                <w14:textFill>
                  <w14:solidFill>
                    <w14:schemeClr w14:val="tx1"/>
                  </w14:solidFill>
                </w14:textFill>
              </w:rPr>
            </w:pPr>
          </w:p>
        </w:tc>
        <w:tc>
          <w:tcPr>
            <w:tcW w:w="363" w:type="pct"/>
          </w:tcPr>
          <w:p w14:paraId="5D9C79A6">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31b</w:t>
            </w:r>
          </w:p>
        </w:tc>
        <w:tc>
          <w:tcPr>
            <w:tcW w:w="3196" w:type="pct"/>
            <w:shd w:val="clear" w:color="auto" w:fill="auto"/>
            <w:tcMar>
              <w:top w:w="85" w:type="dxa"/>
              <w:bottom w:w="85" w:type="dxa"/>
            </w:tcMar>
          </w:tcPr>
          <w:p w14:paraId="56F3BA15">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Authorship eligibility guidelines and any intended use of professional writers</w:t>
            </w:r>
          </w:p>
        </w:tc>
        <w:tc>
          <w:tcPr>
            <w:tcW w:w="640" w:type="pct"/>
          </w:tcPr>
          <w:p w14:paraId="5F369D3B">
            <w:pPr>
              <w:jc w:val="center"/>
              <w:rPr>
                <w:rFonts w:ascii="Times New Roman" w:hAnsi="Times New Roman" w:cs="Times New Roman"/>
                <w:color w:val="FF0000"/>
                <w:sz w:val="24"/>
                <w:szCs w:val="24"/>
              </w:rPr>
            </w:pPr>
            <w:bookmarkStart w:id="2" w:name="_GoBack"/>
            <w:bookmarkEnd w:id="2"/>
            <w:r>
              <w:rPr>
                <w:rFonts w:ascii="Times New Roman" w:hAnsi="Times New Roman" w:cs="Times New Roman"/>
                <w:color w:val="FF0000"/>
                <w:sz w:val="24"/>
                <w:szCs w:val="24"/>
              </w:rPr>
              <w:t>23</w:t>
            </w:r>
          </w:p>
        </w:tc>
      </w:tr>
      <w:tr w14:paraId="7D6A9536">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62C94CED">
            <w:pPr>
              <w:rPr>
                <w:rFonts w:ascii="Times New Roman" w:hAnsi="Times New Roman" w:cs="Times New Roman"/>
                <w:color w:val="000000" w:themeColor="text1"/>
                <w:sz w:val="24"/>
                <w:szCs w:val="24"/>
                <w14:textFill>
                  <w14:solidFill>
                    <w14:schemeClr w14:val="tx1"/>
                  </w14:solidFill>
                </w14:textFill>
              </w:rPr>
            </w:pPr>
          </w:p>
        </w:tc>
        <w:tc>
          <w:tcPr>
            <w:tcW w:w="363" w:type="pct"/>
          </w:tcPr>
          <w:p w14:paraId="5F9902C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31c</w:t>
            </w:r>
          </w:p>
        </w:tc>
        <w:tc>
          <w:tcPr>
            <w:tcW w:w="3196" w:type="pct"/>
            <w:shd w:val="clear" w:color="auto" w:fill="auto"/>
            <w:tcMar>
              <w:top w:w="85" w:type="dxa"/>
              <w:bottom w:w="85" w:type="dxa"/>
            </w:tcMar>
          </w:tcPr>
          <w:p w14:paraId="0C0C6E9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if any, for granting public access to the full protocol, participant-level dataset, and statistical code</w:t>
            </w:r>
          </w:p>
        </w:tc>
        <w:tc>
          <w:tcPr>
            <w:tcW w:w="640" w:type="pct"/>
          </w:tcPr>
          <w:p w14:paraId="53FBC969">
            <w:pPr>
              <w:jc w:val="center"/>
              <w:rPr>
                <w:rFonts w:ascii="Times New Roman" w:hAnsi="Times New Roman" w:cs="Times New Roman"/>
                <w:color w:val="FF0000"/>
                <w:sz w:val="24"/>
                <w:szCs w:val="24"/>
              </w:rPr>
            </w:pPr>
            <w:r>
              <w:rPr>
                <w:rFonts w:ascii="Times New Roman" w:hAnsi="Times New Roman" w:cs="Times New Roman"/>
                <w:color w:val="FF0000"/>
                <w:sz w:val="24"/>
                <w:szCs w:val="24"/>
              </w:rPr>
              <w:t>17</w:t>
            </w:r>
          </w:p>
        </w:tc>
      </w:tr>
      <w:tr w14:paraId="40F71A99">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7CEB312C">
            <w:pPr>
              <w:pStyle w:val="12"/>
              <w:spacing w:before="180"/>
              <w:rPr>
                <w:color w:val="000000" w:themeColor="text1"/>
                <w:szCs w:val="24"/>
                <w14:textFill>
                  <w14:solidFill>
                    <w14:schemeClr w14:val="tx1"/>
                  </w14:solidFill>
                </w14:textFill>
              </w:rPr>
            </w:pPr>
            <w:r>
              <w:rPr>
                <w:color w:val="000000" w:themeColor="text1"/>
                <w:szCs w:val="24"/>
                <w14:textFill>
                  <w14:solidFill>
                    <w14:schemeClr w14:val="tx1"/>
                  </w14:solidFill>
                </w14:textFill>
              </w:rPr>
              <w:t>Appendices</w:t>
            </w:r>
          </w:p>
        </w:tc>
        <w:tc>
          <w:tcPr>
            <w:tcW w:w="363" w:type="pct"/>
          </w:tcPr>
          <w:p w14:paraId="65CA6F3A">
            <w:pPr>
              <w:rPr>
                <w:rFonts w:ascii="Times New Roman" w:hAnsi="Times New Roman" w:cs="Times New Roman"/>
                <w:color w:val="000000" w:themeColor="text1"/>
                <w:sz w:val="24"/>
                <w:szCs w:val="24"/>
                <w14:textFill>
                  <w14:solidFill>
                    <w14:schemeClr w14:val="tx1"/>
                  </w14:solidFill>
                </w14:textFill>
              </w:rPr>
            </w:pPr>
          </w:p>
        </w:tc>
        <w:tc>
          <w:tcPr>
            <w:tcW w:w="3196" w:type="pct"/>
            <w:shd w:val="clear" w:color="auto" w:fill="auto"/>
          </w:tcPr>
          <w:p w14:paraId="2219E2DB">
            <w:pPr>
              <w:rPr>
                <w:rFonts w:ascii="Times New Roman" w:hAnsi="Times New Roman" w:cs="Times New Roman"/>
                <w:color w:val="000000" w:themeColor="text1"/>
                <w:sz w:val="24"/>
                <w:szCs w:val="24"/>
                <w14:textFill>
                  <w14:solidFill>
                    <w14:schemeClr w14:val="tx1"/>
                  </w14:solidFill>
                </w14:textFill>
              </w:rPr>
            </w:pPr>
          </w:p>
        </w:tc>
        <w:tc>
          <w:tcPr>
            <w:tcW w:w="640" w:type="pct"/>
          </w:tcPr>
          <w:p w14:paraId="5620BCC8">
            <w:pPr>
              <w:jc w:val="center"/>
              <w:rPr>
                <w:rFonts w:ascii="Times New Roman" w:hAnsi="Times New Roman" w:cs="Times New Roman"/>
                <w:color w:val="000000" w:themeColor="text1"/>
                <w:sz w:val="24"/>
                <w:szCs w:val="24"/>
                <w14:textFill>
                  <w14:solidFill>
                    <w14:schemeClr w14:val="tx1"/>
                  </w14:solidFill>
                </w14:textFill>
              </w:rPr>
            </w:pPr>
          </w:p>
        </w:tc>
      </w:tr>
      <w:tr w14:paraId="4114DD72">
        <w:tblPrEx>
          <w:tblCellMar>
            <w:top w:w="0" w:type="dxa"/>
            <w:left w:w="56" w:type="dxa"/>
            <w:bottom w:w="0" w:type="dxa"/>
            <w:right w:w="56" w:type="dxa"/>
          </w:tblCellMar>
        </w:tblPrEx>
        <w:trPr>
          <w:cantSplit/>
          <w:trHeight w:val="259" w:hRule="atLeast"/>
        </w:trPr>
        <w:tc>
          <w:tcPr>
            <w:tcW w:w="799" w:type="pct"/>
            <w:shd w:val="clear" w:color="auto" w:fill="auto"/>
            <w:tcMar>
              <w:top w:w="85" w:type="dxa"/>
              <w:bottom w:w="85" w:type="dxa"/>
            </w:tcMar>
          </w:tcPr>
          <w:p w14:paraId="62C44688">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Informed consent materials</w:t>
            </w:r>
          </w:p>
        </w:tc>
        <w:tc>
          <w:tcPr>
            <w:tcW w:w="363" w:type="pct"/>
          </w:tcPr>
          <w:p w14:paraId="1ED2BF47">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32</w:t>
            </w:r>
          </w:p>
        </w:tc>
        <w:tc>
          <w:tcPr>
            <w:tcW w:w="3196" w:type="pct"/>
            <w:shd w:val="clear" w:color="auto" w:fill="auto"/>
            <w:tcMar>
              <w:top w:w="85" w:type="dxa"/>
              <w:bottom w:w="85" w:type="dxa"/>
            </w:tcMar>
          </w:tcPr>
          <w:p w14:paraId="1600C18A">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Model consent form and other related documentation given to participants and authorised surrogates</w:t>
            </w:r>
          </w:p>
        </w:tc>
        <w:tc>
          <w:tcPr>
            <w:tcW w:w="640" w:type="pct"/>
          </w:tcPr>
          <w:p w14:paraId="360D8E32">
            <w:pPr>
              <w:jc w:val="center"/>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FF0000"/>
                <w:sz w:val="24"/>
                <w:szCs w:val="24"/>
                <w:lang w:val="en-US" w:eastAsia="zh-CN"/>
              </w:rPr>
              <w:t>22</w:t>
            </w:r>
            <w:r>
              <w:rPr>
                <w:rFonts w:ascii="Times New Roman" w:hAnsi="Times New Roman" w:cs="Times New Roman"/>
                <w:color w:val="FF0000"/>
                <w:sz w:val="24"/>
                <w:szCs w:val="24"/>
              </w:rPr>
              <w:t xml:space="preserve"> and</w:t>
            </w:r>
            <w:r>
              <w:rPr>
                <w:rFonts w:ascii="Times New Roman" w:hAnsi="Times New Roman" w:cs="Times New Roman"/>
                <w:color w:val="000000" w:themeColor="text1"/>
                <w:sz w:val="24"/>
                <w:szCs w:val="24"/>
                <w14:textFill>
                  <w14:solidFill>
                    <w14:schemeClr w14:val="tx1"/>
                  </w14:solidFill>
                </w14:textFill>
              </w:rPr>
              <w:t xml:space="preserve"> Additional file 2</w:t>
            </w:r>
          </w:p>
        </w:tc>
      </w:tr>
      <w:tr w14:paraId="01EB459C">
        <w:tblPrEx>
          <w:tblCellMar>
            <w:top w:w="0" w:type="dxa"/>
            <w:left w:w="56" w:type="dxa"/>
            <w:bottom w:w="0" w:type="dxa"/>
            <w:right w:w="56" w:type="dxa"/>
          </w:tblCellMar>
        </w:tblPrEx>
        <w:trPr>
          <w:cantSplit/>
          <w:trHeight w:val="259" w:hRule="atLeast"/>
        </w:trPr>
        <w:tc>
          <w:tcPr>
            <w:tcW w:w="799" w:type="pct"/>
            <w:tcBorders>
              <w:bottom w:val="single" w:color="auto" w:sz="4" w:space="0"/>
            </w:tcBorders>
            <w:shd w:val="clear" w:color="auto" w:fill="auto"/>
            <w:tcMar>
              <w:top w:w="85" w:type="dxa"/>
              <w:bottom w:w="85" w:type="dxa"/>
            </w:tcMar>
          </w:tcPr>
          <w:p w14:paraId="58802A9D">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Biological specimens</w:t>
            </w:r>
          </w:p>
        </w:tc>
        <w:tc>
          <w:tcPr>
            <w:tcW w:w="363" w:type="pct"/>
            <w:tcBorders>
              <w:bottom w:val="single" w:color="auto" w:sz="4" w:space="0"/>
            </w:tcBorders>
          </w:tcPr>
          <w:p w14:paraId="47EFBED3">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33</w:t>
            </w:r>
          </w:p>
        </w:tc>
        <w:tc>
          <w:tcPr>
            <w:tcW w:w="3196" w:type="pct"/>
            <w:tcBorders>
              <w:bottom w:val="single" w:color="auto" w:sz="4" w:space="0"/>
            </w:tcBorders>
            <w:shd w:val="clear" w:color="auto" w:fill="auto"/>
            <w:tcMar>
              <w:top w:w="85" w:type="dxa"/>
              <w:bottom w:w="85" w:type="dxa"/>
            </w:tcMar>
          </w:tcPr>
          <w:p w14:paraId="53786CCF">
            <w:pPr>
              <w:spacing w:after="6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Plans for collection, laboratory evaluation, and storage of biological specimens for genetic or molecular analysis in the current trial and for future use in ancillary studies, if applicable</w:t>
            </w:r>
          </w:p>
        </w:tc>
        <w:tc>
          <w:tcPr>
            <w:tcW w:w="640" w:type="pct"/>
            <w:tcBorders>
              <w:bottom w:val="single" w:color="auto" w:sz="4" w:space="0"/>
            </w:tcBorders>
          </w:tcPr>
          <w:p w14:paraId="4DF317F7">
            <w:pPr>
              <w:jc w:val="center"/>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FF0000"/>
                <w:sz w:val="24"/>
                <w:szCs w:val="24"/>
              </w:rPr>
              <w:t>1</w:t>
            </w:r>
            <w:r>
              <w:rPr>
                <w:rFonts w:ascii="Times New Roman" w:hAnsi="Times New Roman" w:cs="Times New Roman"/>
                <w:color w:val="FF0000"/>
                <w:sz w:val="24"/>
                <w:szCs w:val="24"/>
              </w:rPr>
              <w:t>5</w:t>
            </w:r>
          </w:p>
        </w:tc>
      </w:tr>
    </w:tbl>
    <w:p w14:paraId="548C8AD0">
      <w:pPr>
        <w:rPr>
          <w:rFonts w:ascii="Times New Roman" w:hAnsi="Times New Roman" w:cs="Times New Roman"/>
          <w:color w:val="000000" w:themeColor="text1"/>
          <w:sz w:val="24"/>
          <w:szCs w:val="24"/>
          <w14:textFill>
            <w14:solidFill>
              <w14:schemeClr w14:val="tx1"/>
            </w14:solidFill>
          </w14:textFill>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3A229">
    <w:pPr>
      <w:pStyle w:val="4"/>
      <w:jc w:val="center"/>
      <w:rPr>
        <w:sz w:val="22"/>
        <w:szCs w:val="22"/>
      </w:rPr>
    </w:pPr>
    <w:r>
      <w:rPr>
        <w:sz w:val="22"/>
        <w:szCs w:val="22"/>
      </w:rPr>
      <w:fldChar w:fldCharType="begin"/>
    </w:r>
    <w:r>
      <w:rPr>
        <w:sz w:val="22"/>
        <w:szCs w:val="22"/>
      </w:rPr>
      <w:instrText xml:space="preserve">PAGE    \* MERGEFORMAT</w:instrText>
    </w:r>
    <w:r>
      <w:rPr>
        <w:sz w:val="22"/>
        <w:szCs w:val="22"/>
      </w:rPr>
      <w:fldChar w:fldCharType="separate"/>
    </w:r>
    <w:r>
      <w:rPr>
        <w:rFonts w:ascii="等线 Light" w:hAnsi="等线 Light" w:eastAsia="等线 Light"/>
        <w:sz w:val="22"/>
        <w:szCs w:val="22"/>
        <w:lang w:val="zh-CN"/>
      </w:rPr>
      <w:t>5</w:t>
    </w:r>
    <w:r>
      <w:rPr>
        <w:rFonts w:ascii="等线 Light" w:hAnsi="等线 Light" w:eastAsia="等线 Light"/>
        <w:sz w:val="22"/>
        <w:szCs w:val="22"/>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B01"/>
    <w:rsid w:val="00034AD4"/>
    <w:rsid w:val="000758F0"/>
    <w:rsid w:val="0009712F"/>
    <w:rsid w:val="00097862"/>
    <w:rsid w:val="000A2FFC"/>
    <w:rsid w:val="000A4B71"/>
    <w:rsid w:val="000B15A5"/>
    <w:rsid w:val="00143F2A"/>
    <w:rsid w:val="00146970"/>
    <w:rsid w:val="00151DA2"/>
    <w:rsid w:val="00165C9E"/>
    <w:rsid w:val="001952C5"/>
    <w:rsid w:val="001A2DD0"/>
    <w:rsid w:val="001B0CD4"/>
    <w:rsid w:val="001D53BB"/>
    <w:rsid w:val="00224D38"/>
    <w:rsid w:val="0025043E"/>
    <w:rsid w:val="002517AC"/>
    <w:rsid w:val="00260487"/>
    <w:rsid w:val="002B0CBB"/>
    <w:rsid w:val="002B2024"/>
    <w:rsid w:val="002B272A"/>
    <w:rsid w:val="002E6130"/>
    <w:rsid w:val="00367C0D"/>
    <w:rsid w:val="00375DBB"/>
    <w:rsid w:val="0038659A"/>
    <w:rsid w:val="00406CDB"/>
    <w:rsid w:val="0041253E"/>
    <w:rsid w:val="0045540E"/>
    <w:rsid w:val="00482D67"/>
    <w:rsid w:val="004A778A"/>
    <w:rsid w:val="004C4429"/>
    <w:rsid w:val="004F2472"/>
    <w:rsid w:val="00511F4C"/>
    <w:rsid w:val="00513B88"/>
    <w:rsid w:val="0051573F"/>
    <w:rsid w:val="0052456E"/>
    <w:rsid w:val="0053131F"/>
    <w:rsid w:val="005457D5"/>
    <w:rsid w:val="00557C06"/>
    <w:rsid w:val="00572ED6"/>
    <w:rsid w:val="00574B43"/>
    <w:rsid w:val="005776D0"/>
    <w:rsid w:val="005825D2"/>
    <w:rsid w:val="005A387B"/>
    <w:rsid w:val="005B4B39"/>
    <w:rsid w:val="00600255"/>
    <w:rsid w:val="006534F5"/>
    <w:rsid w:val="006649A7"/>
    <w:rsid w:val="00665540"/>
    <w:rsid w:val="006A26B5"/>
    <w:rsid w:val="006C4CCF"/>
    <w:rsid w:val="006C79A8"/>
    <w:rsid w:val="006E7C5C"/>
    <w:rsid w:val="00723FEE"/>
    <w:rsid w:val="007B177C"/>
    <w:rsid w:val="007B4B64"/>
    <w:rsid w:val="007B5110"/>
    <w:rsid w:val="007D7F6E"/>
    <w:rsid w:val="00802E98"/>
    <w:rsid w:val="00864721"/>
    <w:rsid w:val="00882F07"/>
    <w:rsid w:val="008A3650"/>
    <w:rsid w:val="008A3936"/>
    <w:rsid w:val="008C0191"/>
    <w:rsid w:val="008D2D24"/>
    <w:rsid w:val="008F66A6"/>
    <w:rsid w:val="00920C77"/>
    <w:rsid w:val="009650E2"/>
    <w:rsid w:val="009754B7"/>
    <w:rsid w:val="009B38BA"/>
    <w:rsid w:val="009B62C2"/>
    <w:rsid w:val="009D64C6"/>
    <w:rsid w:val="00A01740"/>
    <w:rsid w:val="00A17CA7"/>
    <w:rsid w:val="00A33B04"/>
    <w:rsid w:val="00A47BAC"/>
    <w:rsid w:val="00AB4A02"/>
    <w:rsid w:val="00AC12EC"/>
    <w:rsid w:val="00AC217D"/>
    <w:rsid w:val="00AD0061"/>
    <w:rsid w:val="00AD5E57"/>
    <w:rsid w:val="00AF4980"/>
    <w:rsid w:val="00B23141"/>
    <w:rsid w:val="00B23BC0"/>
    <w:rsid w:val="00BD770B"/>
    <w:rsid w:val="00BE50C2"/>
    <w:rsid w:val="00C0775F"/>
    <w:rsid w:val="00C11C93"/>
    <w:rsid w:val="00C21B40"/>
    <w:rsid w:val="00C65647"/>
    <w:rsid w:val="00C70015"/>
    <w:rsid w:val="00CA22E8"/>
    <w:rsid w:val="00CC1DA6"/>
    <w:rsid w:val="00CE056A"/>
    <w:rsid w:val="00CE445D"/>
    <w:rsid w:val="00D039D9"/>
    <w:rsid w:val="00D54B01"/>
    <w:rsid w:val="00D76044"/>
    <w:rsid w:val="00D87719"/>
    <w:rsid w:val="00D91F19"/>
    <w:rsid w:val="00D93775"/>
    <w:rsid w:val="00E20124"/>
    <w:rsid w:val="00E40D30"/>
    <w:rsid w:val="00E43B87"/>
    <w:rsid w:val="00E6627C"/>
    <w:rsid w:val="00EB7C44"/>
    <w:rsid w:val="00EC4F75"/>
    <w:rsid w:val="00EF0A46"/>
    <w:rsid w:val="00F45032"/>
    <w:rsid w:val="00F54E1F"/>
    <w:rsid w:val="00F905A0"/>
    <w:rsid w:val="00FA150E"/>
    <w:rsid w:val="00FC0612"/>
    <w:rsid w:val="00FC6787"/>
    <w:rsid w:val="5CAD2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脚 字符"/>
    <w:basedOn w:val="8"/>
    <w:link w:val="4"/>
    <w:qFormat/>
    <w:uiPriority w:val="99"/>
    <w:rPr>
      <w:rFonts w:ascii="等线" w:hAnsi="等线" w:eastAsia="等线" w:cs="宋体"/>
      <w:sz w:val="18"/>
      <w:szCs w:val="18"/>
    </w:rPr>
  </w:style>
  <w:style w:type="paragraph" w:customStyle="1" w:styleId="11">
    <w:name w:val="TableHeader"/>
    <w:basedOn w:val="1"/>
    <w:qFormat/>
    <w:uiPriority w:val="0"/>
    <w:pPr>
      <w:widowControl/>
      <w:spacing w:before="120"/>
      <w:jc w:val="left"/>
    </w:pPr>
    <w:rPr>
      <w:rFonts w:ascii="Times New Roman" w:hAnsi="Times New Roman" w:eastAsia="Times New Roman" w:cs="Times New Roman"/>
      <w:b/>
      <w:kern w:val="0"/>
      <w:sz w:val="24"/>
      <w:szCs w:val="20"/>
      <w:lang w:val="en-GB" w:eastAsia="en-US"/>
    </w:rPr>
  </w:style>
  <w:style w:type="paragraph" w:customStyle="1" w:styleId="12">
    <w:name w:val="TableSubHead"/>
    <w:basedOn w:val="11"/>
    <w:qFormat/>
    <w:uiPriority w:val="0"/>
  </w:style>
  <w:style w:type="character" w:customStyle="1" w:styleId="13">
    <w:name w:val="页眉 字符"/>
    <w:basedOn w:val="8"/>
    <w:link w:val="5"/>
    <w:qFormat/>
    <w:uiPriority w:val="99"/>
    <w:rPr>
      <w:rFonts w:ascii="等线" w:hAnsi="等线" w:eastAsia="等线" w:cs="宋体"/>
      <w:sz w:val="18"/>
      <w:szCs w:val="18"/>
    </w:rPr>
  </w:style>
  <w:style w:type="character" w:customStyle="1" w:styleId="14">
    <w:name w:val="批注框文本 字符"/>
    <w:basedOn w:val="8"/>
    <w:link w:val="3"/>
    <w:semiHidden/>
    <w:qFormat/>
    <w:uiPriority w:val="99"/>
    <w:rPr>
      <w:rFonts w:ascii="等线" w:hAnsi="等线" w:eastAsia="等线" w:cs="宋体"/>
      <w:sz w:val="18"/>
      <w:szCs w:val="18"/>
    </w:rPr>
  </w:style>
  <w:style w:type="paragraph" w:customStyle="1" w:styleId="15">
    <w:name w:val="Revision"/>
    <w:hidden/>
    <w:semiHidden/>
    <w:uiPriority w:val="99"/>
    <w:rPr>
      <w:rFonts w:ascii="等线" w:hAnsi="等线" w:eastAsia="等线" w:cs="宋体"/>
      <w:kern w:val="2"/>
      <w:sz w:val="21"/>
      <w:szCs w:val="22"/>
      <w:lang w:val="en-US" w:eastAsia="zh-CN" w:bidi="ar-SA"/>
    </w:rPr>
  </w:style>
  <w:style w:type="character" w:customStyle="1" w:styleId="16">
    <w:name w:val="批注文字 字符"/>
    <w:basedOn w:val="8"/>
    <w:link w:val="2"/>
    <w:semiHidden/>
    <w:qFormat/>
    <w:uiPriority w:val="99"/>
    <w:rPr>
      <w:rFonts w:ascii="等线" w:hAnsi="等线" w:eastAsia="等线" w:cs="宋体"/>
    </w:rPr>
  </w:style>
  <w:style w:type="character" w:customStyle="1" w:styleId="17">
    <w:name w:val="批注主题 字符"/>
    <w:basedOn w:val="16"/>
    <w:link w:val="6"/>
    <w:semiHidden/>
    <w:uiPriority w:val="99"/>
    <w:rPr>
      <w:rFonts w:ascii="等线" w:hAnsi="等线" w:eastAsia="等线" w:cs="宋体"/>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1356</Words>
  <Characters>8192</Characters>
  <Lines>68</Lines>
  <Paragraphs>19</Paragraphs>
  <TotalTime>294</TotalTime>
  <ScaleCrop>false</ScaleCrop>
  <LinksUpToDate>false</LinksUpToDate>
  <CharactersWithSpaces>9348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 Gao</dc:creator>
  <cp:lastModifiedBy>Drgaojie</cp:lastModifiedBy>
  <cp:revision>78</cp:revision>
  <dcterms:created xsi:type="dcterms:W3CDTF">2017-11-18T13:13:00Z</dcterms:created>
  <dcterms:modified xsi:type="dcterms:W3CDTF">2025-02-13T15:06:50Z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eyJoZGlkIjoiZTM1ZDEwNmQ0YjE2NmRhZjIxNTVlZjQ2YjRiOTFmOWIiLCJ1c2VySWQiOiIxOTY0NjU1MSJ9</vt:lpwstr>
  </property>
  <property fmtid="{D5CDD505-2E9C-101B-9397-08002B2CF9AE}" pid="3" name="KSOProductBuildVer">
    <vt:lpwstr>2052-12.1.0.19770</vt:lpwstr>
  </property>
  <property fmtid="{D5CDD505-2E9C-101B-9397-08002B2CF9AE}" pid="4" name="ICV">
    <vt:lpwstr>2747F303ED0A4FB39089F41453D3F36E_12</vt:lpwstr>
  </property>
</Properties>
</file>