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0B03B0" w14:textId="60ADA373" w:rsidR="00DC22C1" w:rsidRDefault="00DC22C1" w:rsidP="00B25A41">
      <w:pPr>
        <w:jc w:val="center"/>
        <w:rPr>
          <w:b/>
          <w:bCs/>
          <w:sz w:val="40"/>
          <w:szCs w:val="40"/>
          <w:lang w:val="en-US"/>
        </w:rPr>
      </w:pPr>
      <w:bookmarkStart w:id="0" w:name="_Hlk190430063"/>
      <w:r w:rsidRPr="00DC22C1">
        <w:rPr>
          <w:b/>
          <w:bCs/>
          <w:sz w:val="40"/>
          <w:szCs w:val="40"/>
          <w:lang w:val="en-US"/>
        </w:rPr>
        <w:t>Supplementals</w:t>
      </w:r>
    </w:p>
    <w:p w14:paraId="0B4E05C0" w14:textId="715C66C9" w:rsidR="00DC22C1" w:rsidRDefault="00DC22C1" w:rsidP="00DC22C1">
      <w:pPr>
        <w:spacing w:after="160" w:line="259" w:lineRule="auto"/>
        <w:jc w:val="center"/>
        <w:rPr>
          <w:lang w:val="en-US"/>
        </w:rPr>
      </w:pPr>
    </w:p>
    <w:p w14:paraId="77FECEA5" w14:textId="5BD1DA9B" w:rsidR="00B62570" w:rsidRDefault="00B62570" w:rsidP="00DC22C1">
      <w:pPr>
        <w:spacing w:after="160" w:line="259" w:lineRule="auto"/>
        <w:jc w:val="center"/>
        <w:rPr>
          <w:lang w:val="en-US"/>
        </w:rPr>
      </w:pPr>
      <w:r>
        <w:rPr>
          <w:noProof/>
          <w:lang w:val="en-US"/>
        </w:rPr>
        <w:drawing>
          <wp:inline distT="0" distB="0" distL="0" distR="0" wp14:anchorId="092D41BE" wp14:editId="14C59F76">
            <wp:extent cx="5274000" cy="1305048"/>
            <wp:effectExtent l="0" t="0" r="3175" b="9525"/>
            <wp:docPr id="88762211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000" cy="1305048"/>
                    </a:xfrm>
                    <a:prstGeom prst="rect">
                      <a:avLst/>
                    </a:prstGeom>
                    <a:noFill/>
                  </pic:spPr>
                </pic:pic>
              </a:graphicData>
            </a:graphic>
          </wp:inline>
        </w:drawing>
      </w:r>
    </w:p>
    <w:p w14:paraId="3101FE58" w14:textId="77777777" w:rsidR="00B25A41" w:rsidRDefault="00B25A41" w:rsidP="00DC22C1">
      <w:pPr>
        <w:spacing w:after="160" w:line="259" w:lineRule="auto"/>
        <w:jc w:val="center"/>
        <w:rPr>
          <w:lang w:val="en-US"/>
        </w:rPr>
      </w:pPr>
    </w:p>
    <w:p w14:paraId="4B3F4BA6" w14:textId="77777777" w:rsidR="00DC22C1" w:rsidRDefault="00DC22C1" w:rsidP="00DC22C1">
      <w:pPr>
        <w:spacing w:after="160" w:line="259" w:lineRule="auto"/>
        <w:rPr>
          <w:lang w:val="en-US"/>
        </w:rPr>
      </w:pPr>
      <w:r w:rsidRPr="003272E4">
        <w:rPr>
          <w:b/>
          <w:bCs/>
          <w:lang w:val="en-US"/>
        </w:rPr>
        <w:t>Supplemental Figure 1</w:t>
      </w:r>
      <w:r>
        <w:rPr>
          <w:lang w:val="en-US"/>
        </w:rPr>
        <w:t xml:space="preserve">: Consort diagram of plasma samples used in the study. </w:t>
      </w:r>
    </w:p>
    <w:p w14:paraId="4937D873" w14:textId="77777777" w:rsidR="00DC22C1" w:rsidRDefault="00DC22C1" w:rsidP="00DC22C1">
      <w:pPr>
        <w:spacing w:after="160" w:line="259" w:lineRule="auto"/>
        <w:rPr>
          <w:lang w:val="en-US"/>
        </w:rPr>
      </w:pPr>
    </w:p>
    <w:p w14:paraId="46C8D836" w14:textId="1EFB1088" w:rsidR="00C87C27" w:rsidRPr="00C87C27" w:rsidRDefault="00C87C27" w:rsidP="00C87C27">
      <w:pPr>
        <w:jc w:val="center"/>
      </w:pPr>
      <w:r w:rsidRPr="00C87C27">
        <w:rPr>
          <w:noProof/>
        </w:rPr>
        <w:drawing>
          <wp:inline distT="0" distB="0" distL="0" distR="0" wp14:anchorId="7A0FAF66" wp14:editId="2440B0FA">
            <wp:extent cx="3240000" cy="3240000"/>
            <wp:effectExtent l="0" t="0" r="0" b="0"/>
            <wp:docPr id="1262320859" name="Image 5" descr="Une image contenant texte, conception, outil d’écritu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320859" name="Image 5" descr="Une image contenant texte, conception, outil d’écriture&#10;&#10;Description générée automatiquemen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40000" cy="3240000"/>
                    </a:xfrm>
                    <a:prstGeom prst="rect">
                      <a:avLst/>
                    </a:prstGeom>
                    <a:noFill/>
                    <a:ln>
                      <a:noFill/>
                    </a:ln>
                  </pic:spPr>
                </pic:pic>
              </a:graphicData>
            </a:graphic>
          </wp:inline>
        </w:drawing>
      </w:r>
    </w:p>
    <w:p w14:paraId="155165BB" w14:textId="77777777" w:rsidR="00B25A41" w:rsidRDefault="00DC22C1" w:rsidP="00B25A41">
      <w:pPr>
        <w:jc w:val="both"/>
        <w:rPr>
          <w:lang w:val="en-US"/>
        </w:rPr>
      </w:pPr>
      <w:r w:rsidRPr="000030D3">
        <w:rPr>
          <w:b/>
          <w:bCs/>
          <w:lang w:val="en-US"/>
        </w:rPr>
        <w:t xml:space="preserve">Supplemental Figure </w:t>
      </w:r>
      <w:r>
        <w:rPr>
          <w:b/>
          <w:bCs/>
          <w:lang w:val="en-US"/>
        </w:rPr>
        <w:t>2</w:t>
      </w:r>
      <w:r>
        <w:rPr>
          <w:lang w:val="en-US"/>
        </w:rPr>
        <w:t xml:space="preserve">: Deconvolution of methylation signal from </w:t>
      </w:r>
      <w:r w:rsidR="008A7FA2">
        <w:rPr>
          <w:lang w:val="en-US"/>
        </w:rPr>
        <w:t>normal</w:t>
      </w:r>
      <w:r>
        <w:rPr>
          <w:lang w:val="en-US"/>
        </w:rPr>
        <w:t xml:space="preserve"> ovarian tissues (n = 9) and ovarian tumors (n = 12) using </w:t>
      </w:r>
      <w:proofErr w:type="spellStart"/>
      <w:r w:rsidRPr="007F09A0">
        <w:rPr>
          <w:i/>
          <w:iCs/>
          <w:lang w:val="en-US"/>
        </w:rPr>
        <w:t>UXM_deconv</w:t>
      </w:r>
      <w:proofErr w:type="spellEnd"/>
      <w:r>
        <w:rPr>
          <w:lang w:val="en-US"/>
        </w:rPr>
        <w:t xml:space="preserve"> algorithm (16). </w:t>
      </w:r>
    </w:p>
    <w:p w14:paraId="32DFDAF1" w14:textId="77777777" w:rsidR="00B25A41" w:rsidRDefault="00B25A41" w:rsidP="00B25A41">
      <w:pPr>
        <w:jc w:val="center"/>
        <w:rPr>
          <w:lang w:val="en-US"/>
        </w:rPr>
      </w:pPr>
    </w:p>
    <w:p w14:paraId="558B2025" w14:textId="64A47CB7" w:rsidR="00DC22C1" w:rsidRPr="00425273" w:rsidRDefault="00F2798E" w:rsidP="00B25A41">
      <w:pPr>
        <w:jc w:val="center"/>
      </w:pPr>
      <w:r w:rsidRPr="00F2798E">
        <w:rPr>
          <w:noProof/>
        </w:rPr>
        <w:lastRenderedPageBreak/>
        <w:drawing>
          <wp:inline distT="0" distB="0" distL="0" distR="0" wp14:anchorId="14E37225" wp14:editId="6BE0724C">
            <wp:extent cx="4696778" cy="4696778"/>
            <wp:effectExtent l="0" t="0" r="8890" b="8890"/>
            <wp:docPr id="1708777827" name="Image 8" descr="Une image contenant texte, diagramme, capture d’écran, Tracé&#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777827" name="Image 8" descr="Une image contenant texte, diagramme, capture d’écran, Tracé&#10;&#10;Le contenu généré par l’IA peut êtr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02272" cy="4702272"/>
                    </a:xfrm>
                    <a:prstGeom prst="rect">
                      <a:avLst/>
                    </a:prstGeom>
                    <a:noFill/>
                    <a:ln>
                      <a:noFill/>
                    </a:ln>
                  </pic:spPr>
                </pic:pic>
              </a:graphicData>
            </a:graphic>
          </wp:inline>
        </w:drawing>
      </w:r>
    </w:p>
    <w:p w14:paraId="555D1D08" w14:textId="0346459B" w:rsidR="00DC22C1" w:rsidRDefault="00DC22C1" w:rsidP="00DC22C1">
      <w:pPr>
        <w:jc w:val="both"/>
        <w:rPr>
          <w:lang w:val="en-US"/>
        </w:rPr>
      </w:pPr>
      <w:r w:rsidRPr="00425273">
        <w:rPr>
          <w:b/>
          <w:bCs/>
          <w:lang w:val="en-US"/>
        </w:rPr>
        <w:t xml:space="preserve">Supplemental Figure </w:t>
      </w:r>
      <w:r>
        <w:rPr>
          <w:b/>
          <w:bCs/>
          <w:lang w:val="en-US"/>
        </w:rPr>
        <w:t>3</w:t>
      </w:r>
      <w:r w:rsidRPr="00425273">
        <w:rPr>
          <w:b/>
          <w:bCs/>
          <w:lang w:val="en-US"/>
        </w:rPr>
        <w:t>:</w:t>
      </w:r>
      <w:r>
        <w:rPr>
          <w:lang w:val="en-US"/>
        </w:rPr>
        <w:t xml:space="preserve"> </w:t>
      </w:r>
      <w:r w:rsidR="00142DB8" w:rsidRPr="00142DB8">
        <w:rPr>
          <w:lang w:val="en-US"/>
        </w:rPr>
        <w:t xml:space="preserve">This </w:t>
      </w:r>
      <w:r w:rsidR="00F2798E">
        <w:rPr>
          <w:lang w:val="en-US"/>
        </w:rPr>
        <w:t>density plot</w:t>
      </w:r>
      <w:r w:rsidR="00142DB8" w:rsidRPr="00142DB8">
        <w:rPr>
          <w:lang w:val="en-US"/>
        </w:rPr>
        <w:t xml:space="preserve"> </w:t>
      </w:r>
      <w:r w:rsidR="00F2798E">
        <w:rPr>
          <w:lang w:val="en-US"/>
        </w:rPr>
        <w:t>illustrates</w:t>
      </w:r>
      <w:r w:rsidR="00142DB8" w:rsidRPr="00142DB8">
        <w:rPr>
          <w:lang w:val="en-US"/>
        </w:rPr>
        <w:t xml:space="preserve"> the distribution of fragment counts </w:t>
      </w:r>
      <w:r w:rsidR="00F2798E">
        <w:rPr>
          <w:lang w:val="en-US"/>
        </w:rPr>
        <w:t>for</w:t>
      </w:r>
      <w:r w:rsidR="00142DB8" w:rsidRPr="00142DB8">
        <w:rPr>
          <w:lang w:val="en-US"/>
        </w:rPr>
        <w:t xml:space="preserve"> expected variants (tumor</w:t>
      </w:r>
      <w:r w:rsidR="00F2798E">
        <w:rPr>
          <w:lang w:val="en-US"/>
        </w:rPr>
        <w:t>-</w:t>
      </w:r>
      <w:r w:rsidR="00142DB8" w:rsidRPr="00142DB8">
        <w:rPr>
          <w:lang w:val="en-US"/>
        </w:rPr>
        <w:t>SNVs, shown in red) versus un</w:t>
      </w:r>
      <w:r w:rsidR="00A73ED7">
        <w:rPr>
          <w:lang w:val="en-US"/>
        </w:rPr>
        <w:t>specific</w:t>
      </w:r>
      <w:r w:rsidR="00142DB8" w:rsidRPr="00142DB8">
        <w:rPr>
          <w:lang w:val="en-US"/>
        </w:rPr>
        <w:t xml:space="preserve"> variants (shown in blue)</w:t>
      </w:r>
      <w:r w:rsidR="00F62AE3">
        <w:rPr>
          <w:lang w:val="en-US"/>
        </w:rPr>
        <w:t xml:space="preserve"> for a patient before the beginning of the chemotherapy (V1)</w:t>
      </w:r>
      <w:r w:rsidR="00142DB8" w:rsidRPr="00142DB8">
        <w:rPr>
          <w:lang w:val="en-US"/>
        </w:rPr>
        <w:t xml:space="preserve">. Expected SNVs are supported by multiple fragments (up to 127), whereas </w:t>
      </w:r>
      <w:r w:rsidR="00A73ED7">
        <w:rPr>
          <w:lang w:val="en-US"/>
        </w:rPr>
        <w:t>unspecific</w:t>
      </w:r>
      <w:r w:rsidR="00142DB8" w:rsidRPr="00142DB8">
        <w:rPr>
          <w:lang w:val="en-US"/>
        </w:rPr>
        <w:t xml:space="preserve"> SNVs are typically supported by only a few fragments (1 </w:t>
      </w:r>
      <w:r w:rsidR="00F2798E">
        <w:rPr>
          <w:lang w:val="en-US"/>
        </w:rPr>
        <w:t>to 4</w:t>
      </w:r>
      <w:r w:rsidR="00142DB8" w:rsidRPr="00142DB8">
        <w:rPr>
          <w:lang w:val="en-US"/>
        </w:rPr>
        <w:t xml:space="preserve">). </w:t>
      </w:r>
      <w:r w:rsidR="00F2798E" w:rsidRPr="00F2798E">
        <w:rPr>
          <w:lang w:val="en-US"/>
        </w:rPr>
        <w:t xml:space="preserve">Additionally, </w:t>
      </w:r>
      <w:r w:rsidR="00F2798E">
        <w:rPr>
          <w:lang w:val="en-US"/>
        </w:rPr>
        <w:t xml:space="preserve">sequencing </w:t>
      </w:r>
      <w:r w:rsidR="00F2798E" w:rsidRPr="00F2798E">
        <w:rPr>
          <w:lang w:val="en-US"/>
        </w:rPr>
        <w:t xml:space="preserve">errors are </w:t>
      </w:r>
      <w:r w:rsidR="00F2798E">
        <w:rPr>
          <w:lang w:val="en-US"/>
        </w:rPr>
        <w:t>more frequent at</w:t>
      </w:r>
      <w:r w:rsidR="00F2798E" w:rsidRPr="00F2798E">
        <w:rPr>
          <w:lang w:val="en-US"/>
        </w:rPr>
        <w:t xml:space="preserve"> cytosine and guanosine bases.</w:t>
      </w:r>
      <w:r w:rsidR="00F2798E">
        <w:rPr>
          <w:lang w:val="en-US"/>
        </w:rPr>
        <w:t xml:space="preserve"> A s</w:t>
      </w:r>
      <w:r w:rsidR="00142DB8" w:rsidRPr="00142DB8">
        <w:rPr>
          <w:lang w:val="en-US"/>
        </w:rPr>
        <w:t xml:space="preserve">tatistical analysis was conducted to compare the frequencies of </w:t>
      </w:r>
      <w:r w:rsidR="00A73ED7">
        <w:rPr>
          <w:lang w:val="en-US"/>
        </w:rPr>
        <w:t>unspecific</w:t>
      </w:r>
      <w:r w:rsidR="00142DB8" w:rsidRPr="00142DB8">
        <w:rPr>
          <w:lang w:val="en-US"/>
        </w:rPr>
        <w:t xml:space="preserve"> and expected SNVs</w:t>
      </w:r>
      <w:r w:rsidR="00F2798E">
        <w:rPr>
          <w:lang w:val="en-US"/>
        </w:rPr>
        <w:t xml:space="preserve"> by base type</w:t>
      </w:r>
      <w:r w:rsidR="00142DB8" w:rsidRPr="00142DB8">
        <w:rPr>
          <w:lang w:val="en-US"/>
        </w:rPr>
        <w:t xml:space="preserve">, </w:t>
      </w:r>
      <w:r w:rsidR="00F2798E">
        <w:rPr>
          <w:lang w:val="en-US"/>
        </w:rPr>
        <w:t xml:space="preserve">facilitating the distinction of </w:t>
      </w:r>
      <w:r w:rsidR="00142DB8" w:rsidRPr="00142DB8">
        <w:rPr>
          <w:lang w:val="en-US"/>
        </w:rPr>
        <w:t>true ctDNA signals and potential sequencing artifacts.</w:t>
      </w:r>
    </w:p>
    <w:p w14:paraId="0719B725" w14:textId="77777777" w:rsidR="008D2E6D" w:rsidRDefault="008D2E6D" w:rsidP="00DC22C1">
      <w:pPr>
        <w:jc w:val="both"/>
        <w:rPr>
          <w:lang w:val="en-US"/>
        </w:rPr>
      </w:pPr>
    </w:p>
    <w:p w14:paraId="3F0DF582" w14:textId="77777777" w:rsidR="008D2E6D" w:rsidRDefault="008D2E6D" w:rsidP="00DC22C1">
      <w:pPr>
        <w:jc w:val="both"/>
        <w:rPr>
          <w:lang w:val="en-US"/>
        </w:rPr>
      </w:pPr>
    </w:p>
    <w:p w14:paraId="25B7A3E9" w14:textId="77777777" w:rsidR="007E0175" w:rsidRDefault="007E0175" w:rsidP="00DC22C1">
      <w:pPr>
        <w:spacing w:after="160" w:line="259" w:lineRule="auto"/>
        <w:rPr>
          <w:lang w:val="en-US"/>
        </w:rPr>
      </w:pPr>
    </w:p>
    <w:p w14:paraId="3A56CE91" w14:textId="77777777" w:rsidR="007E0175" w:rsidRDefault="007E0175" w:rsidP="007E0175">
      <w:pPr>
        <w:spacing w:after="160" w:line="259" w:lineRule="auto"/>
        <w:jc w:val="center"/>
        <w:rPr>
          <w:lang w:val="en-US"/>
        </w:rPr>
      </w:pPr>
      <w:r>
        <w:rPr>
          <w:noProof/>
          <w:lang w:val="en-US"/>
          <w14:ligatures w14:val="standardContextual"/>
        </w:rPr>
        <w:lastRenderedPageBreak/>
        <w:drawing>
          <wp:inline distT="0" distB="0" distL="0" distR="0" wp14:anchorId="7BFDC2C3" wp14:editId="4FFAB44D">
            <wp:extent cx="3240000" cy="3240000"/>
            <wp:effectExtent l="0" t="0" r="0" b="0"/>
            <wp:docPr id="197865976" name="Image 5" descr="Une image contenant texte, capture d’écran, ligne,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5976" name="Image 5" descr="Une image contenant texte, capture d’écran, ligne, diagramme&#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40000" cy="3240000"/>
                    </a:xfrm>
                    <a:prstGeom prst="rect">
                      <a:avLst/>
                    </a:prstGeom>
                  </pic:spPr>
                </pic:pic>
              </a:graphicData>
            </a:graphic>
          </wp:inline>
        </w:drawing>
      </w:r>
    </w:p>
    <w:p w14:paraId="702FA3D4" w14:textId="732D6436" w:rsidR="00DC22C1" w:rsidRDefault="008D2E6D" w:rsidP="008D2E6D">
      <w:pPr>
        <w:spacing w:after="160" w:line="259" w:lineRule="auto"/>
        <w:jc w:val="both"/>
        <w:rPr>
          <w:lang w:val="en-US"/>
        </w:rPr>
      </w:pPr>
      <w:r w:rsidRPr="00425273">
        <w:rPr>
          <w:b/>
          <w:bCs/>
          <w:lang w:val="en-US"/>
        </w:rPr>
        <w:t xml:space="preserve">Supplemental Figure </w:t>
      </w:r>
      <w:r>
        <w:rPr>
          <w:b/>
          <w:bCs/>
          <w:lang w:val="en-US"/>
        </w:rPr>
        <w:t>4</w:t>
      </w:r>
      <w:r w:rsidRPr="00425273">
        <w:rPr>
          <w:b/>
          <w:bCs/>
          <w:lang w:val="en-US"/>
        </w:rPr>
        <w:t>:</w:t>
      </w:r>
      <w:r>
        <w:rPr>
          <w:lang w:val="en-US"/>
        </w:rPr>
        <w:t xml:space="preserve"> </w:t>
      </w:r>
      <w:r w:rsidRPr="008D2E6D">
        <w:rPr>
          <w:lang w:val="en-US"/>
        </w:rPr>
        <w:t>Scatter plot illustrating the correlation of average beta values between healthy and baseline patient plasma samples for each retained DMR.</w:t>
      </w:r>
      <w:r>
        <w:rPr>
          <w:b/>
          <w:bCs/>
          <w:lang w:val="en-US"/>
        </w:rPr>
        <w:t xml:space="preserve"> </w:t>
      </w:r>
      <w:r w:rsidRPr="00BB5431">
        <w:rPr>
          <w:lang w:val="en-US"/>
        </w:rPr>
        <w:t xml:space="preserve">Tumor </w:t>
      </w:r>
      <w:r>
        <w:rPr>
          <w:lang w:val="en-US"/>
        </w:rPr>
        <w:t>h</w:t>
      </w:r>
      <w:r w:rsidRPr="00DE4A7C">
        <w:rPr>
          <w:lang w:val="en-US"/>
        </w:rPr>
        <w:t xml:space="preserve">ypermethylated DMRs are shown in red, while </w:t>
      </w:r>
      <w:r>
        <w:rPr>
          <w:lang w:val="en-US"/>
        </w:rPr>
        <w:t xml:space="preserve">tumor </w:t>
      </w:r>
      <w:r w:rsidRPr="00DE4A7C">
        <w:rPr>
          <w:lang w:val="en-US"/>
        </w:rPr>
        <w:t xml:space="preserve">hypomethylated DMRs are shown in blue, highlighting </w:t>
      </w:r>
      <w:r>
        <w:rPr>
          <w:lang w:val="en-US"/>
        </w:rPr>
        <w:t>the increasing of beta</w:t>
      </w:r>
      <w:r w:rsidR="00A73ED7">
        <w:rPr>
          <w:lang w:val="en-US"/>
        </w:rPr>
        <w:t xml:space="preserve"> </w:t>
      </w:r>
      <w:r>
        <w:rPr>
          <w:lang w:val="en-US"/>
        </w:rPr>
        <w:t>value in the tumor plasma patients as compared to healthy plasma subject</w:t>
      </w:r>
      <w:r w:rsidRPr="00DE4A7C">
        <w:rPr>
          <w:lang w:val="en-US"/>
        </w:rPr>
        <w:t>.</w:t>
      </w:r>
      <w:r>
        <w:rPr>
          <w:lang w:val="en-US"/>
        </w:rPr>
        <w:t xml:space="preserve"> </w:t>
      </w:r>
      <w:r w:rsidR="00DC22C1">
        <w:rPr>
          <w:lang w:val="en-US"/>
        </w:rPr>
        <w:br w:type="page"/>
      </w:r>
    </w:p>
    <w:p w14:paraId="50723B4C" w14:textId="77777777" w:rsidR="008D2E6D" w:rsidRPr="008364B3" w:rsidRDefault="008D2E6D" w:rsidP="008D2E6D">
      <w:pPr>
        <w:jc w:val="center"/>
      </w:pPr>
      <w:r w:rsidRPr="00576C1D">
        <w:rPr>
          <w:noProof/>
        </w:rPr>
        <w:lastRenderedPageBreak/>
        <w:drawing>
          <wp:inline distT="0" distB="0" distL="0" distR="0" wp14:anchorId="114D7D09" wp14:editId="64C28FAB">
            <wp:extent cx="3240000" cy="3240000"/>
            <wp:effectExtent l="0" t="0" r="0" b="0"/>
            <wp:docPr id="1839390698" name="Image 6" descr="Une image contenant texte, ligne, capture d’écran,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390698" name="Image 6" descr="Une image contenant texte, ligne, capture d’écran, diagramme&#10;&#10;Description générée automatiquemen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0000" cy="3240000"/>
                    </a:xfrm>
                    <a:prstGeom prst="rect">
                      <a:avLst/>
                    </a:prstGeom>
                    <a:noFill/>
                    <a:ln>
                      <a:noFill/>
                    </a:ln>
                  </pic:spPr>
                </pic:pic>
              </a:graphicData>
            </a:graphic>
          </wp:inline>
        </w:drawing>
      </w:r>
    </w:p>
    <w:p w14:paraId="1499F543" w14:textId="1C8DB16B" w:rsidR="00E27139" w:rsidRPr="00B25A41" w:rsidRDefault="008D2E6D" w:rsidP="00E27139">
      <w:pPr>
        <w:jc w:val="both"/>
        <w:rPr>
          <w:lang w:val="en-US"/>
        </w:rPr>
      </w:pPr>
      <w:r w:rsidRPr="00776BD4">
        <w:rPr>
          <w:b/>
          <w:bCs/>
          <w:lang w:val="en-US"/>
        </w:rPr>
        <w:t xml:space="preserve">Supplemental Figure </w:t>
      </w:r>
      <w:r>
        <w:rPr>
          <w:b/>
          <w:bCs/>
          <w:lang w:val="en-US"/>
        </w:rPr>
        <w:t>5</w:t>
      </w:r>
      <w:r w:rsidRPr="00776BD4">
        <w:rPr>
          <w:b/>
          <w:bCs/>
          <w:lang w:val="en-US"/>
        </w:rPr>
        <w:t xml:space="preserve">: </w:t>
      </w:r>
      <w:r w:rsidRPr="008364B3">
        <w:rPr>
          <w:lang w:val="en-US"/>
        </w:rPr>
        <w:t>Correlation between tumoral DNA quantified by beta values of selected DMRs and expected values</w:t>
      </w:r>
      <w:r>
        <w:rPr>
          <w:lang w:val="en-US"/>
        </w:rPr>
        <w:t xml:space="preserve"> from in-house mix</w:t>
      </w:r>
      <w:r w:rsidR="000B2CC8">
        <w:rPr>
          <w:lang w:val="en-US"/>
        </w:rPr>
        <w:t>es</w:t>
      </w:r>
      <w:r>
        <w:rPr>
          <w:lang w:val="en-US"/>
        </w:rPr>
        <w:t xml:space="preserve"> of DNA (n = 12)</w:t>
      </w:r>
      <w:r w:rsidRPr="008364B3">
        <w:rPr>
          <w:lang w:val="en-US"/>
        </w:rPr>
        <w:t>. Error bars represent the 95% confidence intervals of the beta values from DMRs used for tumoral DNA quantification.</w:t>
      </w:r>
      <w:r w:rsidR="00E27139">
        <w:rPr>
          <w:lang w:val="en-US"/>
        </w:rPr>
        <w:t xml:space="preserve"> </w:t>
      </w:r>
    </w:p>
    <w:p w14:paraId="50248654" w14:textId="77777777" w:rsidR="00DC22C1" w:rsidRDefault="00DC22C1" w:rsidP="00B25A41">
      <w:pPr>
        <w:rPr>
          <w:b/>
          <w:bCs/>
          <w:sz w:val="40"/>
          <w:szCs w:val="40"/>
          <w:lang w:val="en-US"/>
        </w:rPr>
      </w:pPr>
    </w:p>
    <w:p w14:paraId="0FC4594F" w14:textId="4439CAA7" w:rsidR="00A51B26" w:rsidRPr="00A51B26" w:rsidRDefault="00A51B26" w:rsidP="00A51B26">
      <w:pPr>
        <w:jc w:val="center"/>
      </w:pPr>
      <w:r w:rsidRPr="00A51B26">
        <w:rPr>
          <w:noProof/>
        </w:rPr>
        <w:drawing>
          <wp:inline distT="0" distB="0" distL="0" distR="0" wp14:anchorId="3A815C72" wp14:editId="13991D22">
            <wp:extent cx="3240000" cy="3240000"/>
            <wp:effectExtent l="0" t="0" r="0" b="0"/>
            <wp:docPr id="135303878" name="Image 6" descr="Une image contenant texte, capture d’écran, diagramme, Trac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03878" name="Image 6" descr="Une image contenant texte, capture d’écran, diagramme, Tracé&#10;&#10;Description générée automatiquemen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40000" cy="3240000"/>
                    </a:xfrm>
                    <a:prstGeom prst="rect">
                      <a:avLst/>
                    </a:prstGeom>
                    <a:noFill/>
                    <a:ln>
                      <a:noFill/>
                    </a:ln>
                  </pic:spPr>
                </pic:pic>
              </a:graphicData>
            </a:graphic>
          </wp:inline>
        </w:drawing>
      </w:r>
    </w:p>
    <w:p w14:paraId="36A93A7E" w14:textId="4E442D80" w:rsidR="00E00072" w:rsidRPr="00E00072" w:rsidRDefault="00E00072" w:rsidP="00E00072">
      <w:pPr>
        <w:jc w:val="center"/>
      </w:pPr>
    </w:p>
    <w:p w14:paraId="497EAAD7" w14:textId="4E0EF0A0" w:rsidR="00E27139" w:rsidRDefault="00E27139" w:rsidP="00B25A41">
      <w:pPr>
        <w:jc w:val="both"/>
        <w:rPr>
          <w:lang w:val="en-US"/>
        </w:rPr>
      </w:pPr>
      <w:r w:rsidRPr="009606E7">
        <w:rPr>
          <w:b/>
          <w:bCs/>
          <w:lang w:val="en-US"/>
        </w:rPr>
        <w:t xml:space="preserve">Supplemental Figure </w:t>
      </w:r>
      <w:r w:rsidR="00017F5A">
        <w:rPr>
          <w:b/>
          <w:bCs/>
          <w:lang w:val="en-US"/>
        </w:rPr>
        <w:t>6</w:t>
      </w:r>
      <w:r>
        <w:rPr>
          <w:lang w:val="en-US"/>
        </w:rPr>
        <w:t xml:space="preserve">: </w:t>
      </w:r>
      <w:r w:rsidR="00BD5652" w:rsidRPr="00BD5652">
        <w:rPr>
          <w:lang w:val="en-US"/>
        </w:rPr>
        <w:t xml:space="preserve">Correlation between cfDNA input in library preparation and SVM model predicted values. </w:t>
      </w:r>
      <w:r w:rsidR="00A02E2B">
        <w:rPr>
          <w:lang w:val="en-US"/>
        </w:rPr>
        <w:t>E</w:t>
      </w:r>
      <w:r w:rsidR="00BD5652" w:rsidRPr="00BD5652">
        <w:rPr>
          <w:lang w:val="en-US"/>
        </w:rPr>
        <w:t xml:space="preserve">OC patient plasmas are represented in blue (n = 75), while healthy </w:t>
      </w:r>
      <w:r w:rsidR="00A02E2B">
        <w:rPr>
          <w:lang w:val="en-US"/>
        </w:rPr>
        <w:t>subject</w:t>
      </w:r>
      <w:r w:rsidR="00BD5652" w:rsidRPr="00BD5652">
        <w:rPr>
          <w:lang w:val="en-US"/>
        </w:rPr>
        <w:t xml:space="preserve"> plasmas are in red (n = 30). The horizontal red dashed line represents the prediction value threshold for sample classification. The black line shows the correlation between predicted values and input amounts for all samples, while the blue line corresponds to patient plasma samples and the red line to healthy </w:t>
      </w:r>
      <w:r w:rsidR="00A02E2B">
        <w:rPr>
          <w:lang w:val="en-US"/>
        </w:rPr>
        <w:t>subject</w:t>
      </w:r>
      <w:r w:rsidR="00BD5652" w:rsidRPr="00BD5652">
        <w:rPr>
          <w:lang w:val="en-US"/>
        </w:rPr>
        <w:t xml:space="preserve"> plasma samples.</w:t>
      </w:r>
    </w:p>
    <w:p w14:paraId="1B6CE3FB" w14:textId="4E3E073A" w:rsidR="00E27139" w:rsidRPr="00BD5652" w:rsidRDefault="00E27139" w:rsidP="00E27139">
      <w:pPr>
        <w:jc w:val="center"/>
        <w:rPr>
          <w:lang w:val="en-US"/>
        </w:rPr>
      </w:pPr>
    </w:p>
    <w:p w14:paraId="63914489" w14:textId="35A091E2" w:rsidR="00A715C6" w:rsidRPr="00A715C6" w:rsidRDefault="00A715C6" w:rsidP="00A715C6">
      <w:pPr>
        <w:jc w:val="center"/>
      </w:pPr>
      <w:r>
        <w:rPr>
          <w:noProof/>
          <w14:ligatures w14:val="standardContextual"/>
        </w:rPr>
        <w:drawing>
          <wp:inline distT="0" distB="0" distL="0" distR="0" wp14:anchorId="6C09690F" wp14:editId="3D30D0C3">
            <wp:extent cx="3240000" cy="3240000"/>
            <wp:effectExtent l="0" t="0" r="0" b="0"/>
            <wp:docPr id="451082986"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082986" name="Image 45108298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0000" cy="3240000"/>
                    </a:xfrm>
                    <a:prstGeom prst="rect">
                      <a:avLst/>
                    </a:prstGeom>
                  </pic:spPr>
                </pic:pic>
              </a:graphicData>
            </a:graphic>
          </wp:inline>
        </w:drawing>
      </w:r>
    </w:p>
    <w:p w14:paraId="3073D2E6" w14:textId="77777777" w:rsidR="00A715C6" w:rsidRPr="00360128" w:rsidRDefault="00A715C6" w:rsidP="00E27139">
      <w:pPr>
        <w:jc w:val="center"/>
      </w:pPr>
    </w:p>
    <w:p w14:paraId="3B72E0E9" w14:textId="113A406A" w:rsidR="00E27139" w:rsidRDefault="00E27139" w:rsidP="00E27139">
      <w:pPr>
        <w:jc w:val="both"/>
        <w:rPr>
          <w:lang w:val="en-US"/>
        </w:rPr>
      </w:pPr>
      <w:r w:rsidRPr="005C102A">
        <w:rPr>
          <w:b/>
          <w:bCs/>
          <w:lang w:val="en-US"/>
        </w:rPr>
        <w:t xml:space="preserve">Supplemental Figure </w:t>
      </w:r>
      <w:r w:rsidR="00017F5A">
        <w:rPr>
          <w:b/>
          <w:bCs/>
          <w:lang w:val="en-US"/>
        </w:rPr>
        <w:t>7</w:t>
      </w:r>
      <w:r>
        <w:rPr>
          <w:lang w:val="en-US"/>
        </w:rPr>
        <w:t xml:space="preserve">: </w:t>
      </w:r>
      <w:r w:rsidR="0053471E">
        <w:rPr>
          <w:lang w:val="en-US"/>
        </w:rPr>
        <w:t>Histogram</w:t>
      </w:r>
      <w:r>
        <w:rPr>
          <w:lang w:val="en-US"/>
        </w:rPr>
        <w:t xml:space="preserve"> showing the distribution of correlation values for the association between DMRs beta values and healthy donors ages (n = </w:t>
      </w:r>
      <w:r w:rsidR="0053471E">
        <w:rPr>
          <w:lang w:val="en-US"/>
        </w:rPr>
        <w:t>54</w:t>
      </w:r>
      <w:r>
        <w:rPr>
          <w:lang w:val="en-US"/>
        </w:rPr>
        <w:t xml:space="preserve"> healthy samples). </w:t>
      </w:r>
    </w:p>
    <w:p w14:paraId="329CC52C" w14:textId="77777777" w:rsidR="00E27139" w:rsidRPr="00425273" w:rsidRDefault="00E27139" w:rsidP="00E27139">
      <w:pPr>
        <w:jc w:val="both"/>
        <w:rPr>
          <w:lang w:val="en-US"/>
        </w:rPr>
      </w:pPr>
    </w:p>
    <w:p w14:paraId="53F559AF" w14:textId="6999044A" w:rsidR="00017F5A" w:rsidRDefault="00C24CB8" w:rsidP="00D868E1">
      <w:pPr>
        <w:spacing w:after="160"/>
        <w:jc w:val="center"/>
        <w:rPr>
          <w:lang w:val="en-US"/>
        </w:rPr>
      </w:pPr>
      <w:r>
        <w:rPr>
          <w:noProof/>
          <w:lang w:val="en-US"/>
          <w14:ligatures w14:val="standardContextual"/>
        </w:rPr>
        <w:lastRenderedPageBreak/>
        <w:drawing>
          <wp:inline distT="0" distB="0" distL="0" distR="0" wp14:anchorId="2E4687F1" wp14:editId="00646BF1">
            <wp:extent cx="5760000" cy="6776503"/>
            <wp:effectExtent l="0" t="0" r="0" b="5715"/>
            <wp:docPr id="582343481" name="Image 6" descr="Une image contenant diagramme, texte, ligne, car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343481" name="Image 6" descr="Une image contenant diagramme, texte, ligne, carte&#10;&#10;Le contenu généré par l’IA peut êtr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000" cy="6776503"/>
                    </a:xfrm>
                    <a:prstGeom prst="rect">
                      <a:avLst/>
                    </a:prstGeom>
                  </pic:spPr>
                </pic:pic>
              </a:graphicData>
            </a:graphic>
          </wp:inline>
        </w:drawing>
      </w:r>
    </w:p>
    <w:p w14:paraId="067E7D8C" w14:textId="320C8A0E" w:rsidR="00017F5A" w:rsidRDefault="00017F5A" w:rsidP="00D868E1">
      <w:pPr>
        <w:jc w:val="both"/>
        <w:rPr>
          <w:lang w:val="en-US"/>
        </w:rPr>
      </w:pPr>
      <w:r w:rsidRPr="009606E7">
        <w:rPr>
          <w:b/>
          <w:bCs/>
          <w:lang w:val="en-US"/>
        </w:rPr>
        <w:t xml:space="preserve">Supplemental Figure </w:t>
      </w:r>
      <w:r>
        <w:rPr>
          <w:b/>
          <w:bCs/>
          <w:lang w:val="en-US"/>
        </w:rPr>
        <w:t>8</w:t>
      </w:r>
      <w:r>
        <w:rPr>
          <w:lang w:val="en-US"/>
        </w:rPr>
        <w:t xml:space="preserve">: ctDNA follow-up with the tumor-type informed </w:t>
      </w:r>
      <w:r w:rsidR="00236B35">
        <w:rPr>
          <w:lang w:val="en-US"/>
        </w:rPr>
        <w:t xml:space="preserve">approach </w:t>
      </w:r>
      <w:r>
        <w:rPr>
          <w:lang w:val="en-US"/>
        </w:rPr>
        <w:t>for patients with multiple plasma samples available and not analyzed with tumor-informed approach. Error bars show the 95% confidence interval</w:t>
      </w:r>
      <w:r w:rsidR="00E14271">
        <w:rPr>
          <w:lang w:val="en-US"/>
        </w:rPr>
        <w:t xml:space="preserve"> (CI95)</w:t>
      </w:r>
      <w:r>
        <w:rPr>
          <w:lang w:val="en-US"/>
        </w:rPr>
        <w:t xml:space="preserve"> of </w:t>
      </w:r>
      <w:r w:rsidRPr="00E14271">
        <w:rPr>
          <w:lang w:val="en-US"/>
        </w:rPr>
        <w:t>beta values</w:t>
      </w:r>
      <w:r>
        <w:rPr>
          <w:lang w:val="en-US"/>
        </w:rPr>
        <w:t xml:space="preserve"> for DMRs selected for ctDNA quantification. Red points indicate positive predicted value for ctDNA presence, while black points are negative. </w:t>
      </w:r>
      <w:bookmarkEnd w:id="0"/>
    </w:p>
    <w:sectPr w:rsidR="00017F5A" w:rsidSect="00B25A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2C1"/>
    <w:rsid w:val="00017F5A"/>
    <w:rsid w:val="000222D4"/>
    <w:rsid w:val="000A499E"/>
    <w:rsid w:val="000B2CC8"/>
    <w:rsid w:val="000C15B4"/>
    <w:rsid w:val="00106CBC"/>
    <w:rsid w:val="0011294D"/>
    <w:rsid w:val="00142DB8"/>
    <w:rsid w:val="0015577D"/>
    <w:rsid w:val="001611C0"/>
    <w:rsid w:val="0017384F"/>
    <w:rsid w:val="00195DC3"/>
    <w:rsid w:val="001A49A1"/>
    <w:rsid w:val="001E68AC"/>
    <w:rsid w:val="0020770B"/>
    <w:rsid w:val="0021345C"/>
    <w:rsid w:val="0023394F"/>
    <w:rsid w:val="00236B35"/>
    <w:rsid w:val="00282D98"/>
    <w:rsid w:val="0029698F"/>
    <w:rsid w:val="002B0D87"/>
    <w:rsid w:val="002D29BA"/>
    <w:rsid w:val="0033670A"/>
    <w:rsid w:val="00340A9B"/>
    <w:rsid w:val="003A432A"/>
    <w:rsid w:val="00430084"/>
    <w:rsid w:val="00496954"/>
    <w:rsid w:val="004B44E4"/>
    <w:rsid w:val="004D4A3E"/>
    <w:rsid w:val="004F60E9"/>
    <w:rsid w:val="004F7746"/>
    <w:rsid w:val="005224CE"/>
    <w:rsid w:val="0053471E"/>
    <w:rsid w:val="0053631F"/>
    <w:rsid w:val="00547FED"/>
    <w:rsid w:val="0056289E"/>
    <w:rsid w:val="00632ECB"/>
    <w:rsid w:val="00670026"/>
    <w:rsid w:val="00702A00"/>
    <w:rsid w:val="007041FB"/>
    <w:rsid w:val="007273DD"/>
    <w:rsid w:val="007308D5"/>
    <w:rsid w:val="007326D7"/>
    <w:rsid w:val="00733517"/>
    <w:rsid w:val="00745E1D"/>
    <w:rsid w:val="0076005D"/>
    <w:rsid w:val="00761900"/>
    <w:rsid w:val="00785AB0"/>
    <w:rsid w:val="007C302F"/>
    <w:rsid w:val="007E0175"/>
    <w:rsid w:val="00865507"/>
    <w:rsid w:val="0087468F"/>
    <w:rsid w:val="008A1316"/>
    <w:rsid w:val="008A2FCD"/>
    <w:rsid w:val="008A6230"/>
    <w:rsid w:val="008A7FA2"/>
    <w:rsid w:val="008B5B5B"/>
    <w:rsid w:val="008D2E6D"/>
    <w:rsid w:val="00903F89"/>
    <w:rsid w:val="00916D49"/>
    <w:rsid w:val="00916E01"/>
    <w:rsid w:val="00954801"/>
    <w:rsid w:val="00957A8D"/>
    <w:rsid w:val="009749A8"/>
    <w:rsid w:val="009A1997"/>
    <w:rsid w:val="009B13C8"/>
    <w:rsid w:val="009C5E4A"/>
    <w:rsid w:val="009E4050"/>
    <w:rsid w:val="009F5BF1"/>
    <w:rsid w:val="00A02E2B"/>
    <w:rsid w:val="00A1037D"/>
    <w:rsid w:val="00A27C38"/>
    <w:rsid w:val="00A5186A"/>
    <w:rsid w:val="00A51B26"/>
    <w:rsid w:val="00A715C6"/>
    <w:rsid w:val="00A73ED7"/>
    <w:rsid w:val="00A80DF9"/>
    <w:rsid w:val="00A85D1F"/>
    <w:rsid w:val="00AE6EFA"/>
    <w:rsid w:val="00B25A41"/>
    <w:rsid w:val="00B62570"/>
    <w:rsid w:val="00BD08B5"/>
    <w:rsid w:val="00BD5652"/>
    <w:rsid w:val="00BE36AD"/>
    <w:rsid w:val="00BE7A5E"/>
    <w:rsid w:val="00C24CB8"/>
    <w:rsid w:val="00C87C27"/>
    <w:rsid w:val="00C939CC"/>
    <w:rsid w:val="00D378C7"/>
    <w:rsid w:val="00D5658E"/>
    <w:rsid w:val="00D868E1"/>
    <w:rsid w:val="00D87D36"/>
    <w:rsid w:val="00D92F13"/>
    <w:rsid w:val="00DC22C1"/>
    <w:rsid w:val="00DC5492"/>
    <w:rsid w:val="00E00072"/>
    <w:rsid w:val="00E14271"/>
    <w:rsid w:val="00E27139"/>
    <w:rsid w:val="00E75AD1"/>
    <w:rsid w:val="00E95E10"/>
    <w:rsid w:val="00EA30DA"/>
    <w:rsid w:val="00EB098E"/>
    <w:rsid w:val="00EC771E"/>
    <w:rsid w:val="00EE5E77"/>
    <w:rsid w:val="00EF1F69"/>
    <w:rsid w:val="00F25ECC"/>
    <w:rsid w:val="00F2798E"/>
    <w:rsid w:val="00F3657C"/>
    <w:rsid w:val="00F36A82"/>
    <w:rsid w:val="00F60C58"/>
    <w:rsid w:val="00F62AE3"/>
    <w:rsid w:val="00F72315"/>
    <w:rsid w:val="00F95F98"/>
    <w:rsid w:val="00FB2C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355B1"/>
  <w15:chartTrackingRefBased/>
  <w15:docId w15:val="{5379BAEF-DC23-4A4E-BBF2-6C0AC78E1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2C1"/>
    <w:pPr>
      <w:spacing w:after="0" w:line="240" w:lineRule="auto"/>
    </w:pPr>
    <w:rPr>
      <w:rFonts w:ascii="Times New Roman" w:eastAsia="Times New Roman" w:hAnsi="Times New Roman" w:cs="Times New Roman"/>
      <w:kern w:val="0"/>
      <w:sz w:val="24"/>
      <w:szCs w:val="24"/>
      <w:lang w:eastAsia="fr-CA"/>
      <w14:ligatures w14:val="none"/>
    </w:rPr>
  </w:style>
  <w:style w:type="paragraph" w:styleId="Titre1">
    <w:name w:val="heading 1"/>
    <w:basedOn w:val="Normal"/>
    <w:next w:val="Normal"/>
    <w:link w:val="Titre1Car"/>
    <w:uiPriority w:val="9"/>
    <w:qFormat/>
    <w:rsid w:val="00DC22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C22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C22C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C22C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C22C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C22C1"/>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C22C1"/>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C22C1"/>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C22C1"/>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C22C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C22C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C22C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C22C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C22C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C22C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C22C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C22C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C22C1"/>
    <w:rPr>
      <w:rFonts w:eastAsiaTheme="majorEastAsia" w:cstheme="majorBidi"/>
      <w:color w:val="272727" w:themeColor="text1" w:themeTint="D8"/>
    </w:rPr>
  </w:style>
  <w:style w:type="paragraph" w:styleId="Titre">
    <w:name w:val="Title"/>
    <w:basedOn w:val="Normal"/>
    <w:next w:val="Normal"/>
    <w:link w:val="TitreCar"/>
    <w:uiPriority w:val="10"/>
    <w:qFormat/>
    <w:rsid w:val="00DC22C1"/>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C22C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C22C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C22C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C22C1"/>
    <w:pPr>
      <w:spacing w:before="160"/>
      <w:jc w:val="center"/>
    </w:pPr>
    <w:rPr>
      <w:i/>
      <w:iCs/>
      <w:color w:val="404040" w:themeColor="text1" w:themeTint="BF"/>
    </w:rPr>
  </w:style>
  <w:style w:type="character" w:customStyle="1" w:styleId="CitationCar">
    <w:name w:val="Citation Car"/>
    <w:basedOn w:val="Policepardfaut"/>
    <w:link w:val="Citation"/>
    <w:uiPriority w:val="29"/>
    <w:rsid w:val="00DC22C1"/>
    <w:rPr>
      <w:i/>
      <w:iCs/>
      <w:color w:val="404040" w:themeColor="text1" w:themeTint="BF"/>
    </w:rPr>
  </w:style>
  <w:style w:type="paragraph" w:styleId="Paragraphedeliste">
    <w:name w:val="List Paragraph"/>
    <w:basedOn w:val="Normal"/>
    <w:uiPriority w:val="34"/>
    <w:qFormat/>
    <w:rsid w:val="00DC22C1"/>
    <w:pPr>
      <w:ind w:left="720"/>
      <w:contextualSpacing/>
    </w:pPr>
  </w:style>
  <w:style w:type="character" w:styleId="Accentuationintense">
    <w:name w:val="Intense Emphasis"/>
    <w:basedOn w:val="Policepardfaut"/>
    <w:uiPriority w:val="21"/>
    <w:qFormat/>
    <w:rsid w:val="00DC22C1"/>
    <w:rPr>
      <w:i/>
      <w:iCs/>
      <w:color w:val="0F4761" w:themeColor="accent1" w:themeShade="BF"/>
    </w:rPr>
  </w:style>
  <w:style w:type="paragraph" w:styleId="Citationintense">
    <w:name w:val="Intense Quote"/>
    <w:basedOn w:val="Normal"/>
    <w:next w:val="Normal"/>
    <w:link w:val="CitationintenseCar"/>
    <w:uiPriority w:val="30"/>
    <w:qFormat/>
    <w:rsid w:val="00DC22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C22C1"/>
    <w:rPr>
      <w:i/>
      <w:iCs/>
      <w:color w:val="0F4761" w:themeColor="accent1" w:themeShade="BF"/>
    </w:rPr>
  </w:style>
  <w:style w:type="character" w:styleId="Rfrenceintense">
    <w:name w:val="Intense Reference"/>
    <w:basedOn w:val="Policepardfaut"/>
    <w:uiPriority w:val="32"/>
    <w:qFormat/>
    <w:rsid w:val="00DC22C1"/>
    <w:rPr>
      <w:b/>
      <w:bCs/>
      <w:smallCaps/>
      <w:color w:val="0F4761" w:themeColor="accent1" w:themeShade="BF"/>
      <w:spacing w:val="5"/>
    </w:rPr>
  </w:style>
  <w:style w:type="character" w:customStyle="1" w:styleId="gtfootnotemarks">
    <w:name w:val="gt_footnote_marks"/>
    <w:basedOn w:val="Policepardfaut"/>
    <w:rsid w:val="00DC22C1"/>
  </w:style>
  <w:style w:type="table" w:styleId="Tableausimple3">
    <w:name w:val="Plain Table 3"/>
    <w:basedOn w:val="TableauNormal"/>
    <w:uiPriority w:val="43"/>
    <w:rsid w:val="00DC22C1"/>
    <w:pPr>
      <w:spacing w:after="0" w:line="240" w:lineRule="auto"/>
    </w:pPr>
    <w:rPr>
      <w:sz w:val="24"/>
      <w:szCs w:val="24"/>
      <w:lang w:val="fr-CA"/>
    </w:rPr>
    <w:tblPr>
      <w:tblStyleRowBandSize w:val="1"/>
      <w:tblStyleColBandSize w:val="1"/>
      <w:tblInd w:w="0" w:type="nil"/>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ev">
    <w:name w:val="Strong"/>
    <w:basedOn w:val="Policepardfaut"/>
    <w:uiPriority w:val="22"/>
    <w:qFormat/>
    <w:rsid w:val="00DC22C1"/>
    <w:rPr>
      <w:b/>
      <w:bCs/>
    </w:rPr>
  </w:style>
  <w:style w:type="character" w:styleId="Marquedecommentaire">
    <w:name w:val="annotation reference"/>
    <w:basedOn w:val="Policepardfaut"/>
    <w:uiPriority w:val="99"/>
    <w:semiHidden/>
    <w:unhideWhenUsed/>
    <w:rsid w:val="00DC22C1"/>
    <w:rPr>
      <w:sz w:val="16"/>
      <w:szCs w:val="16"/>
    </w:rPr>
  </w:style>
  <w:style w:type="paragraph" w:styleId="Commentaire">
    <w:name w:val="annotation text"/>
    <w:basedOn w:val="Normal"/>
    <w:link w:val="CommentaireCar"/>
    <w:uiPriority w:val="99"/>
    <w:unhideWhenUsed/>
    <w:rsid w:val="00DC22C1"/>
    <w:rPr>
      <w:sz w:val="20"/>
      <w:szCs w:val="20"/>
    </w:rPr>
  </w:style>
  <w:style w:type="character" w:customStyle="1" w:styleId="CommentaireCar">
    <w:name w:val="Commentaire Car"/>
    <w:basedOn w:val="Policepardfaut"/>
    <w:link w:val="Commentaire"/>
    <w:uiPriority w:val="99"/>
    <w:rsid w:val="00DC22C1"/>
    <w:rPr>
      <w:rFonts w:ascii="Times New Roman" w:eastAsia="Times New Roman" w:hAnsi="Times New Roman" w:cs="Times New Roman"/>
      <w:kern w:val="0"/>
      <w:sz w:val="20"/>
      <w:szCs w:val="20"/>
      <w:lang w:eastAsia="fr-CA"/>
      <w14:ligatures w14:val="none"/>
    </w:rPr>
  </w:style>
  <w:style w:type="paragraph" w:styleId="NormalWeb">
    <w:name w:val="Normal (Web)"/>
    <w:basedOn w:val="Normal"/>
    <w:uiPriority w:val="99"/>
    <w:semiHidden/>
    <w:unhideWhenUsed/>
    <w:rsid w:val="00496954"/>
    <w:pPr>
      <w:spacing w:before="100" w:beforeAutospacing="1" w:after="100" w:afterAutospacing="1"/>
    </w:pPr>
    <w:rPr>
      <w:lang w:eastAsia="fr-FR"/>
    </w:rPr>
  </w:style>
  <w:style w:type="table" w:styleId="Grilledutableau">
    <w:name w:val="Table Grid"/>
    <w:basedOn w:val="TableauNormal"/>
    <w:uiPriority w:val="39"/>
    <w:rsid w:val="004969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1">
    <w:name w:val="Plain Table 1"/>
    <w:basedOn w:val="TableauNormal"/>
    <w:uiPriority w:val="41"/>
    <w:rsid w:val="0049695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Objetducommentaire">
    <w:name w:val="annotation subject"/>
    <w:basedOn w:val="Commentaire"/>
    <w:next w:val="Commentaire"/>
    <w:link w:val="ObjetducommentaireCar"/>
    <w:uiPriority w:val="99"/>
    <w:semiHidden/>
    <w:unhideWhenUsed/>
    <w:rsid w:val="00D5658E"/>
    <w:rPr>
      <w:b/>
      <w:bCs/>
    </w:rPr>
  </w:style>
  <w:style w:type="character" w:customStyle="1" w:styleId="ObjetducommentaireCar">
    <w:name w:val="Objet du commentaire Car"/>
    <w:basedOn w:val="CommentaireCar"/>
    <w:link w:val="Objetducommentaire"/>
    <w:uiPriority w:val="99"/>
    <w:semiHidden/>
    <w:rsid w:val="00D5658E"/>
    <w:rPr>
      <w:rFonts w:ascii="Times New Roman" w:eastAsia="Times New Roman" w:hAnsi="Times New Roman" w:cs="Times New Roman"/>
      <w:b/>
      <w:bCs/>
      <w:kern w:val="0"/>
      <w:sz w:val="20"/>
      <w:szCs w:val="20"/>
      <w:lang w:eastAsia="fr-CA"/>
      <w14:ligatures w14:val="none"/>
    </w:rPr>
  </w:style>
  <w:style w:type="paragraph" w:styleId="Rvision">
    <w:name w:val="Revision"/>
    <w:hidden/>
    <w:uiPriority w:val="99"/>
    <w:semiHidden/>
    <w:rsid w:val="00D92F13"/>
    <w:pPr>
      <w:spacing w:after="0" w:line="240" w:lineRule="auto"/>
    </w:pPr>
    <w:rPr>
      <w:rFonts w:ascii="Times New Roman" w:eastAsia="Times New Roman" w:hAnsi="Times New Roman" w:cs="Times New Roman"/>
      <w:kern w:val="0"/>
      <w:sz w:val="24"/>
      <w:szCs w:val="24"/>
      <w:lang w:eastAsia="fr-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07926">
      <w:bodyDiv w:val="1"/>
      <w:marLeft w:val="0"/>
      <w:marRight w:val="0"/>
      <w:marTop w:val="0"/>
      <w:marBottom w:val="0"/>
      <w:divBdr>
        <w:top w:val="none" w:sz="0" w:space="0" w:color="auto"/>
        <w:left w:val="none" w:sz="0" w:space="0" w:color="auto"/>
        <w:bottom w:val="none" w:sz="0" w:space="0" w:color="auto"/>
        <w:right w:val="none" w:sz="0" w:space="0" w:color="auto"/>
      </w:divBdr>
    </w:div>
    <w:div w:id="86846882">
      <w:bodyDiv w:val="1"/>
      <w:marLeft w:val="0"/>
      <w:marRight w:val="0"/>
      <w:marTop w:val="0"/>
      <w:marBottom w:val="0"/>
      <w:divBdr>
        <w:top w:val="none" w:sz="0" w:space="0" w:color="auto"/>
        <w:left w:val="none" w:sz="0" w:space="0" w:color="auto"/>
        <w:bottom w:val="none" w:sz="0" w:space="0" w:color="auto"/>
        <w:right w:val="none" w:sz="0" w:space="0" w:color="auto"/>
      </w:divBdr>
    </w:div>
    <w:div w:id="94181481">
      <w:bodyDiv w:val="1"/>
      <w:marLeft w:val="0"/>
      <w:marRight w:val="0"/>
      <w:marTop w:val="0"/>
      <w:marBottom w:val="0"/>
      <w:divBdr>
        <w:top w:val="none" w:sz="0" w:space="0" w:color="auto"/>
        <w:left w:val="none" w:sz="0" w:space="0" w:color="auto"/>
        <w:bottom w:val="none" w:sz="0" w:space="0" w:color="auto"/>
        <w:right w:val="none" w:sz="0" w:space="0" w:color="auto"/>
      </w:divBdr>
    </w:div>
    <w:div w:id="95684848">
      <w:bodyDiv w:val="1"/>
      <w:marLeft w:val="0"/>
      <w:marRight w:val="0"/>
      <w:marTop w:val="0"/>
      <w:marBottom w:val="0"/>
      <w:divBdr>
        <w:top w:val="none" w:sz="0" w:space="0" w:color="auto"/>
        <w:left w:val="none" w:sz="0" w:space="0" w:color="auto"/>
        <w:bottom w:val="none" w:sz="0" w:space="0" w:color="auto"/>
        <w:right w:val="none" w:sz="0" w:space="0" w:color="auto"/>
      </w:divBdr>
    </w:div>
    <w:div w:id="381369491">
      <w:bodyDiv w:val="1"/>
      <w:marLeft w:val="0"/>
      <w:marRight w:val="0"/>
      <w:marTop w:val="0"/>
      <w:marBottom w:val="0"/>
      <w:divBdr>
        <w:top w:val="none" w:sz="0" w:space="0" w:color="auto"/>
        <w:left w:val="none" w:sz="0" w:space="0" w:color="auto"/>
        <w:bottom w:val="none" w:sz="0" w:space="0" w:color="auto"/>
        <w:right w:val="none" w:sz="0" w:space="0" w:color="auto"/>
      </w:divBdr>
    </w:div>
    <w:div w:id="564461938">
      <w:bodyDiv w:val="1"/>
      <w:marLeft w:val="0"/>
      <w:marRight w:val="0"/>
      <w:marTop w:val="0"/>
      <w:marBottom w:val="0"/>
      <w:divBdr>
        <w:top w:val="none" w:sz="0" w:space="0" w:color="auto"/>
        <w:left w:val="none" w:sz="0" w:space="0" w:color="auto"/>
        <w:bottom w:val="none" w:sz="0" w:space="0" w:color="auto"/>
        <w:right w:val="none" w:sz="0" w:space="0" w:color="auto"/>
      </w:divBdr>
    </w:div>
    <w:div w:id="595946014">
      <w:bodyDiv w:val="1"/>
      <w:marLeft w:val="0"/>
      <w:marRight w:val="0"/>
      <w:marTop w:val="0"/>
      <w:marBottom w:val="0"/>
      <w:divBdr>
        <w:top w:val="none" w:sz="0" w:space="0" w:color="auto"/>
        <w:left w:val="none" w:sz="0" w:space="0" w:color="auto"/>
        <w:bottom w:val="none" w:sz="0" w:space="0" w:color="auto"/>
        <w:right w:val="none" w:sz="0" w:space="0" w:color="auto"/>
      </w:divBdr>
    </w:div>
    <w:div w:id="725028524">
      <w:bodyDiv w:val="1"/>
      <w:marLeft w:val="0"/>
      <w:marRight w:val="0"/>
      <w:marTop w:val="0"/>
      <w:marBottom w:val="0"/>
      <w:divBdr>
        <w:top w:val="none" w:sz="0" w:space="0" w:color="auto"/>
        <w:left w:val="none" w:sz="0" w:space="0" w:color="auto"/>
        <w:bottom w:val="none" w:sz="0" w:space="0" w:color="auto"/>
        <w:right w:val="none" w:sz="0" w:space="0" w:color="auto"/>
      </w:divBdr>
    </w:div>
    <w:div w:id="775514598">
      <w:bodyDiv w:val="1"/>
      <w:marLeft w:val="0"/>
      <w:marRight w:val="0"/>
      <w:marTop w:val="0"/>
      <w:marBottom w:val="0"/>
      <w:divBdr>
        <w:top w:val="none" w:sz="0" w:space="0" w:color="auto"/>
        <w:left w:val="none" w:sz="0" w:space="0" w:color="auto"/>
        <w:bottom w:val="none" w:sz="0" w:space="0" w:color="auto"/>
        <w:right w:val="none" w:sz="0" w:space="0" w:color="auto"/>
      </w:divBdr>
    </w:div>
    <w:div w:id="812796032">
      <w:bodyDiv w:val="1"/>
      <w:marLeft w:val="0"/>
      <w:marRight w:val="0"/>
      <w:marTop w:val="0"/>
      <w:marBottom w:val="0"/>
      <w:divBdr>
        <w:top w:val="none" w:sz="0" w:space="0" w:color="auto"/>
        <w:left w:val="none" w:sz="0" w:space="0" w:color="auto"/>
        <w:bottom w:val="none" w:sz="0" w:space="0" w:color="auto"/>
        <w:right w:val="none" w:sz="0" w:space="0" w:color="auto"/>
      </w:divBdr>
    </w:div>
    <w:div w:id="820076662">
      <w:bodyDiv w:val="1"/>
      <w:marLeft w:val="0"/>
      <w:marRight w:val="0"/>
      <w:marTop w:val="0"/>
      <w:marBottom w:val="0"/>
      <w:divBdr>
        <w:top w:val="none" w:sz="0" w:space="0" w:color="auto"/>
        <w:left w:val="none" w:sz="0" w:space="0" w:color="auto"/>
        <w:bottom w:val="none" w:sz="0" w:space="0" w:color="auto"/>
        <w:right w:val="none" w:sz="0" w:space="0" w:color="auto"/>
      </w:divBdr>
    </w:div>
    <w:div w:id="969825822">
      <w:bodyDiv w:val="1"/>
      <w:marLeft w:val="0"/>
      <w:marRight w:val="0"/>
      <w:marTop w:val="0"/>
      <w:marBottom w:val="0"/>
      <w:divBdr>
        <w:top w:val="none" w:sz="0" w:space="0" w:color="auto"/>
        <w:left w:val="none" w:sz="0" w:space="0" w:color="auto"/>
        <w:bottom w:val="none" w:sz="0" w:space="0" w:color="auto"/>
        <w:right w:val="none" w:sz="0" w:space="0" w:color="auto"/>
      </w:divBdr>
    </w:div>
    <w:div w:id="1017735730">
      <w:bodyDiv w:val="1"/>
      <w:marLeft w:val="0"/>
      <w:marRight w:val="0"/>
      <w:marTop w:val="0"/>
      <w:marBottom w:val="0"/>
      <w:divBdr>
        <w:top w:val="none" w:sz="0" w:space="0" w:color="auto"/>
        <w:left w:val="none" w:sz="0" w:space="0" w:color="auto"/>
        <w:bottom w:val="none" w:sz="0" w:space="0" w:color="auto"/>
        <w:right w:val="none" w:sz="0" w:space="0" w:color="auto"/>
      </w:divBdr>
    </w:div>
    <w:div w:id="1103652759">
      <w:bodyDiv w:val="1"/>
      <w:marLeft w:val="0"/>
      <w:marRight w:val="0"/>
      <w:marTop w:val="0"/>
      <w:marBottom w:val="0"/>
      <w:divBdr>
        <w:top w:val="none" w:sz="0" w:space="0" w:color="auto"/>
        <w:left w:val="none" w:sz="0" w:space="0" w:color="auto"/>
        <w:bottom w:val="none" w:sz="0" w:space="0" w:color="auto"/>
        <w:right w:val="none" w:sz="0" w:space="0" w:color="auto"/>
      </w:divBdr>
    </w:div>
    <w:div w:id="1169715926">
      <w:bodyDiv w:val="1"/>
      <w:marLeft w:val="0"/>
      <w:marRight w:val="0"/>
      <w:marTop w:val="0"/>
      <w:marBottom w:val="0"/>
      <w:divBdr>
        <w:top w:val="none" w:sz="0" w:space="0" w:color="auto"/>
        <w:left w:val="none" w:sz="0" w:space="0" w:color="auto"/>
        <w:bottom w:val="none" w:sz="0" w:space="0" w:color="auto"/>
        <w:right w:val="none" w:sz="0" w:space="0" w:color="auto"/>
      </w:divBdr>
    </w:div>
    <w:div w:id="1379816640">
      <w:bodyDiv w:val="1"/>
      <w:marLeft w:val="0"/>
      <w:marRight w:val="0"/>
      <w:marTop w:val="0"/>
      <w:marBottom w:val="0"/>
      <w:divBdr>
        <w:top w:val="none" w:sz="0" w:space="0" w:color="auto"/>
        <w:left w:val="none" w:sz="0" w:space="0" w:color="auto"/>
        <w:bottom w:val="none" w:sz="0" w:space="0" w:color="auto"/>
        <w:right w:val="none" w:sz="0" w:space="0" w:color="auto"/>
      </w:divBdr>
    </w:div>
    <w:div w:id="1381243570">
      <w:bodyDiv w:val="1"/>
      <w:marLeft w:val="0"/>
      <w:marRight w:val="0"/>
      <w:marTop w:val="0"/>
      <w:marBottom w:val="0"/>
      <w:divBdr>
        <w:top w:val="none" w:sz="0" w:space="0" w:color="auto"/>
        <w:left w:val="none" w:sz="0" w:space="0" w:color="auto"/>
        <w:bottom w:val="none" w:sz="0" w:space="0" w:color="auto"/>
        <w:right w:val="none" w:sz="0" w:space="0" w:color="auto"/>
      </w:divBdr>
    </w:div>
    <w:div w:id="1497183405">
      <w:bodyDiv w:val="1"/>
      <w:marLeft w:val="0"/>
      <w:marRight w:val="0"/>
      <w:marTop w:val="0"/>
      <w:marBottom w:val="0"/>
      <w:divBdr>
        <w:top w:val="none" w:sz="0" w:space="0" w:color="auto"/>
        <w:left w:val="none" w:sz="0" w:space="0" w:color="auto"/>
        <w:bottom w:val="none" w:sz="0" w:space="0" w:color="auto"/>
        <w:right w:val="none" w:sz="0" w:space="0" w:color="auto"/>
      </w:divBdr>
    </w:div>
    <w:div w:id="1922447719">
      <w:bodyDiv w:val="1"/>
      <w:marLeft w:val="0"/>
      <w:marRight w:val="0"/>
      <w:marTop w:val="0"/>
      <w:marBottom w:val="0"/>
      <w:divBdr>
        <w:top w:val="none" w:sz="0" w:space="0" w:color="auto"/>
        <w:left w:val="none" w:sz="0" w:space="0" w:color="auto"/>
        <w:bottom w:val="none" w:sz="0" w:space="0" w:color="auto"/>
        <w:right w:val="none" w:sz="0" w:space="0" w:color="auto"/>
      </w:divBdr>
    </w:div>
    <w:div w:id="2012492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410</Words>
  <Characters>2259</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Mehdi Ben Sassi</dc:creator>
  <cp:keywords/>
  <dc:description/>
  <cp:lastModifiedBy>Mehdi Ben Sassi</cp:lastModifiedBy>
  <cp:revision>3</cp:revision>
  <cp:lastPrinted>2025-02-13T11:07:00Z</cp:lastPrinted>
  <dcterms:created xsi:type="dcterms:W3CDTF">2025-02-14T15:21:00Z</dcterms:created>
  <dcterms:modified xsi:type="dcterms:W3CDTF">2025-02-14T15:24:00Z</dcterms:modified>
</cp:coreProperties>
</file>