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CA4" w:rsidRPr="006749AB" w:rsidRDefault="00E67CA4" w:rsidP="00E67CA4">
      <w:pPr>
        <w:widowControl/>
        <w:spacing w:line="480" w:lineRule="auto"/>
        <w:jc w:val="left"/>
        <w:rPr>
          <w:rFonts w:cstheme="minorHAnsi"/>
          <w:b/>
          <w:bCs/>
          <w:i/>
          <w:iCs/>
          <w:sz w:val="22"/>
          <w:szCs w:val="20"/>
        </w:rPr>
      </w:pPr>
      <w:r w:rsidRPr="006749AB">
        <w:rPr>
          <w:rFonts w:cstheme="minorHAnsi"/>
          <w:b/>
          <w:bCs/>
          <w:i/>
          <w:iCs/>
          <w:sz w:val="22"/>
          <w:szCs w:val="20"/>
        </w:rPr>
        <w:t xml:space="preserve">Supplementary Methods </w:t>
      </w:r>
    </w:p>
    <w:p w:rsidR="00E67CA4" w:rsidRPr="006749AB" w:rsidRDefault="00E67CA4" w:rsidP="00E67CA4">
      <w:pPr>
        <w:spacing w:line="480" w:lineRule="auto"/>
        <w:rPr>
          <w:rFonts w:cstheme="minorHAnsi"/>
          <w:b/>
          <w:bCs/>
          <w:sz w:val="20"/>
          <w:szCs w:val="20"/>
        </w:rPr>
      </w:pPr>
      <w:r w:rsidRPr="006749AB">
        <w:rPr>
          <w:rFonts w:cstheme="minorHAnsi"/>
          <w:b/>
          <w:bCs/>
          <w:sz w:val="20"/>
          <w:szCs w:val="20"/>
        </w:rPr>
        <w:t>Participants Inclusion and Variables of interest</w:t>
      </w:r>
    </w:p>
    <w:p w:rsidR="00E67CA4" w:rsidRPr="006749AB" w:rsidRDefault="00E67CA4" w:rsidP="00E67CA4">
      <w:pPr>
        <w:spacing w:line="480" w:lineRule="auto"/>
        <w:rPr>
          <w:rFonts w:cstheme="minorHAnsi"/>
          <w:sz w:val="20"/>
          <w:szCs w:val="20"/>
        </w:rPr>
      </w:pPr>
      <w:r w:rsidRPr="006749AB">
        <w:rPr>
          <w:rFonts w:cstheme="minorHAnsi"/>
          <w:sz w:val="20"/>
          <w:szCs w:val="20"/>
        </w:rPr>
        <w:t xml:space="preserve">Chinese patients were recruited at a national referral motor neuron disease (MND) center at Department of Neurology, Peking University Third Hospital (PUTH), Beijing between 2007 to 2013, which has been described </w:t>
      </w:r>
      <w:proofErr w:type="gramStart"/>
      <w:r w:rsidRPr="006749AB">
        <w:rPr>
          <w:rFonts w:cstheme="minorHAnsi"/>
          <w:sz w:val="20"/>
          <w:szCs w:val="20"/>
        </w:rPr>
        <w:t>previously</w:t>
      </w:r>
      <w:proofErr w:type="gramEnd"/>
      <w:r w:rsidRPr="006749AB">
        <w:rPr>
          <w:rFonts w:cstheme="minorHAnsi"/>
          <w:sz w:val="20"/>
          <w:szCs w:val="20"/>
        </w:rPr>
        <w:fldChar w:fldCharType="begin"/>
      </w:r>
      <w:r w:rsidRPr="006749AB">
        <w:rPr>
          <w:rFonts w:cstheme="minorHAnsi"/>
          <w:sz w:val="20"/>
          <w:szCs w:val="20"/>
        </w:rPr>
        <w:instrText xml:space="preserve"> ADDIN NE.Ref.{4B28A692-374E-4AB4-B60B-BEC62E9E216C}</w:instrText>
      </w:r>
      <w:r w:rsidRPr="006749AB">
        <w:rPr>
          <w:rFonts w:cstheme="minorHAnsi"/>
          <w:sz w:val="20"/>
          <w:szCs w:val="20"/>
        </w:rPr>
        <w:fldChar w:fldCharType="separate"/>
      </w:r>
      <w:r w:rsidRPr="006749AB">
        <w:rPr>
          <w:rFonts w:cstheme="minorHAnsi"/>
          <w:color w:val="080000"/>
          <w:kern w:val="0"/>
          <w:sz w:val="20"/>
          <w:szCs w:val="20"/>
        </w:rPr>
        <w:t>[1]</w:t>
      </w:r>
      <w:r w:rsidRPr="006749AB">
        <w:rPr>
          <w:rFonts w:cstheme="minorHAnsi"/>
          <w:sz w:val="20"/>
          <w:szCs w:val="20"/>
        </w:rPr>
        <w:fldChar w:fldCharType="end"/>
      </w:r>
      <w:r w:rsidRPr="006749AB">
        <w:rPr>
          <w:rFonts w:cstheme="minorHAnsi"/>
          <w:sz w:val="20"/>
          <w:szCs w:val="20"/>
        </w:rPr>
        <w:t xml:space="preserve">. Roughly about one fifth of the patients in this center were recruited from Beijing metropolitan </w:t>
      </w:r>
      <w:proofErr w:type="gramStart"/>
      <w:r w:rsidRPr="006749AB">
        <w:rPr>
          <w:rFonts w:cstheme="minorHAnsi"/>
          <w:sz w:val="20"/>
          <w:szCs w:val="20"/>
        </w:rPr>
        <w:t>area</w:t>
      </w:r>
      <w:proofErr w:type="gramEnd"/>
      <w:r w:rsidRPr="006749AB">
        <w:rPr>
          <w:rFonts w:cstheme="minorHAnsi"/>
          <w:sz w:val="20"/>
          <w:szCs w:val="20"/>
        </w:rPr>
        <w:fldChar w:fldCharType="begin"/>
      </w:r>
      <w:r w:rsidRPr="006749AB">
        <w:rPr>
          <w:rFonts w:cstheme="minorHAnsi"/>
          <w:sz w:val="20"/>
          <w:szCs w:val="20"/>
        </w:rPr>
        <w:instrText xml:space="preserve"> ADDIN NE.Ref.{1389D973-990A-49DE-9E5D-E0756AA9E24A}</w:instrText>
      </w:r>
      <w:r w:rsidRPr="006749AB">
        <w:rPr>
          <w:rFonts w:cstheme="minorHAnsi"/>
          <w:sz w:val="20"/>
          <w:szCs w:val="20"/>
        </w:rPr>
        <w:fldChar w:fldCharType="separate"/>
      </w:r>
      <w:r w:rsidRPr="006749AB">
        <w:rPr>
          <w:rFonts w:cstheme="minorHAnsi"/>
          <w:color w:val="080000"/>
          <w:kern w:val="0"/>
          <w:sz w:val="20"/>
          <w:szCs w:val="20"/>
        </w:rPr>
        <w:t>[2]</w:t>
      </w:r>
      <w:r w:rsidRPr="006749AB">
        <w:rPr>
          <w:rFonts w:cstheme="minorHAnsi"/>
          <w:sz w:val="20"/>
          <w:szCs w:val="20"/>
        </w:rPr>
        <w:fldChar w:fldCharType="end"/>
      </w:r>
      <w:r w:rsidRPr="006749AB">
        <w:rPr>
          <w:rFonts w:cstheme="minorHAnsi"/>
          <w:sz w:val="20"/>
          <w:szCs w:val="20"/>
        </w:rPr>
        <w:t xml:space="preserve">. German patients were collected from the database of the German network for MND between 1999 and 2019. The German MND network is a consortium consisting of 21 centers specialized in ALS. The ALS center of PUTH and the German ALS network have established a long-lasting cooperation over the last years, which included the synchronization of databases in order to obtain comparable data </w:t>
      </w:r>
      <w:r w:rsidRPr="006749AB">
        <w:rPr>
          <w:rFonts w:cstheme="minorHAnsi"/>
          <w:sz w:val="20"/>
          <w:szCs w:val="20"/>
        </w:rPr>
        <w:fldChar w:fldCharType="begin"/>
      </w:r>
      <w:r w:rsidRPr="006749AB">
        <w:rPr>
          <w:rFonts w:cstheme="minorHAnsi"/>
          <w:sz w:val="20"/>
          <w:szCs w:val="20"/>
        </w:rPr>
        <w:instrText xml:space="preserve"> ADDIN NE.Ref.{209FC057-7CA8-4F1A-86B2-A40A3DD27D1C}</w:instrText>
      </w:r>
      <w:r w:rsidRPr="006749AB">
        <w:rPr>
          <w:rFonts w:cstheme="minorHAnsi"/>
          <w:sz w:val="20"/>
          <w:szCs w:val="20"/>
        </w:rPr>
        <w:fldChar w:fldCharType="separate"/>
      </w:r>
      <w:r w:rsidRPr="006749AB">
        <w:rPr>
          <w:rFonts w:cstheme="minorHAnsi"/>
          <w:color w:val="080000"/>
          <w:kern w:val="0"/>
          <w:sz w:val="20"/>
          <w:szCs w:val="20"/>
        </w:rPr>
        <w:t>[3]</w:t>
      </w:r>
      <w:r w:rsidRPr="006749AB">
        <w:rPr>
          <w:rFonts w:cstheme="minorHAnsi"/>
          <w:sz w:val="20"/>
          <w:szCs w:val="20"/>
        </w:rPr>
        <w:fldChar w:fldCharType="end"/>
      </w:r>
      <w:r w:rsidRPr="006749AB">
        <w:rPr>
          <w:rFonts w:cstheme="minorHAnsi"/>
          <w:sz w:val="20"/>
          <w:szCs w:val="20"/>
        </w:rPr>
        <w:t>.</w:t>
      </w:r>
    </w:p>
    <w:p w:rsidR="00E67CA4" w:rsidRPr="006749AB" w:rsidRDefault="00E67CA4" w:rsidP="00E67CA4">
      <w:pPr>
        <w:spacing w:line="480" w:lineRule="auto"/>
        <w:ind w:firstLineChars="142" w:firstLine="284"/>
        <w:rPr>
          <w:rFonts w:cstheme="minorHAnsi"/>
          <w:sz w:val="20"/>
          <w:szCs w:val="20"/>
        </w:rPr>
      </w:pPr>
      <w:r w:rsidRPr="006749AB">
        <w:rPr>
          <w:rFonts w:cstheme="minorHAnsi"/>
          <w:sz w:val="20"/>
          <w:szCs w:val="20"/>
        </w:rPr>
        <w:t xml:space="preserve">Written informed consent was obtained from all patients for participation in clinical and genetic studies, which were approved by the respective local institutional ethics committees. Patients were diagnosed with definite, probable, or possible ALS according to Airlie House diagnostic criteria </w:t>
      </w:r>
      <w:r w:rsidRPr="006749AB">
        <w:rPr>
          <w:rFonts w:cstheme="minorHAnsi"/>
          <w:sz w:val="20"/>
          <w:szCs w:val="20"/>
        </w:rPr>
        <w:fldChar w:fldCharType="begin"/>
      </w:r>
      <w:r w:rsidRPr="006749AB">
        <w:rPr>
          <w:rFonts w:cstheme="minorHAnsi"/>
          <w:sz w:val="20"/>
          <w:szCs w:val="20"/>
        </w:rPr>
        <w:instrText xml:space="preserve"> ADDIN NE.Ref.{4772F389-DDF9-49A9-8241-50EE41B41330}</w:instrText>
      </w:r>
      <w:r w:rsidRPr="006749AB">
        <w:rPr>
          <w:rFonts w:cstheme="minorHAnsi"/>
          <w:sz w:val="20"/>
          <w:szCs w:val="20"/>
        </w:rPr>
        <w:fldChar w:fldCharType="separate"/>
      </w:r>
      <w:r w:rsidRPr="006749AB">
        <w:rPr>
          <w:rFonts w:cstheme="minorHAnsi"/>
          <w:color w:val="080000"/>
          <w:kern w:val="0"/>
          <w:sz w:val="20"/>
          <w:szCs w:val="20"/>
        </w:rPr>
        <w:t>[4]</w:t>
      </w:r>
      <w:r w:rsidRPr="006749AB">
        <w:rPr>
          <w:rFonts w:cstheme="minorHAnsi"/>
          <w:sz w:val="20"/>
          <w:szCs w:val="20"/>
        </w:rPr>
        <w:fldChar w:fldCharType="end"/>
      </w:r>
      <w:r w:rsidRPr="006749AB">
        <w:rPr>
          <w:rFonts w:cstheme="minorHAnsi"/>
          <w:sz w:val="20"/>
          <w:szCs w:val="20"/>
        </w:rPr>
        <w:t xml:space="preserve"> and had a known </w:t>
      </w:r>
      <w:r w:rsidRPr="006749AB">
        <w:rPr>
          <w:rFonts w:cstheme="minorHAnsi"/>
          <w:i/>
          <w:iCs/>
          <w:sz w:val="20"/>
          <w:szCs w:val="20"/>
        </w:rPr>
        <w:t>SOD1</w:t>
      </w:r>
      <w:r w:rsidRPr="006749AB">
        <w:rPr>
          <w:rFonts w:cstheme="minorHAnsi"/>
          <w:sz w:val="20"/>
          <w:szCs w:val="20"/>
        </w:rPr>
        <w:t xml:space="preserve"> mutation, a SOD1 variant of uncertain significance, or a likely pathogenic SOD1 variant according to </w:t>
      </w:r>
      <w:r w:rsidRPr="006749AB">
        <w:rPr>
          <w:rFonts w:cstheme="minorHAnsi"/>
          <w:noProof/>
          <w:sz w:val="20"/>
          <w:szCs w:val="20"/>
        </w:rPr>
        <w:t xml:space="preserve">American College of Medical Genetics (ACMG) Standards and Guidelines </w:t>
      </w:r>
      <w:r w:rsidRPr="006749AB">
        <w:rPr>
          <w:rFonts w:cstheme="minorHAnsi"/>
          <w:noProof/>
          <w:sz w:val="20"/>
          <w:szCs w:val="20"/>
        </w:rPr>
        <w:fldChar w:fldCharType="begin"/>
      </w:r>
      <w:r w:rsidRPr="006749AB">
        <w:rPr>
          <w:rFonts w:cstheme="minorHAnsi"/>
          <w:noProof/>
          <w:sz w:val="20"/>
          <w:szCs w:val="20"/>
        </w:rPr>
        <w:instrText xml:space="preserve"> ADDIN NE.Ref.{9B42D11A-94C6-409F-91BB-3E87530F183A}</w:instrText>
      </w:r>
      <w:r w:rsidRPr="006749AB">
        <w:rPr>
          <w:rFonts w:cstheme="minorHAnsi"/>
          <w:noProof/>
          <w:sz w:val="20"/>
          <w:szCs w:val="20"/>
        </w:rPr>
        <w:fldChar w:fldCharType="separate"/>
      </w:r>
      <w:r w:rsidRPr="006749AB">
        <w:rPr>
          <w:rFonts w:cstheme="minorHAnsi"/>
          <w:color w:val="080000"/>
          <w:kern w:val="0"/>
          <w:sz w:val="20"/>
          <w:szCs w:val="20"/>
        </w:rPr>
        <w:t>[5]</w:t>
      </w:r>
      <w:r w:rsidRPr="006749AB">
        <w:rPr>
          <w:rFonts w:cstheme="minorHAnsi"/>
          <w:noProof/>
          <w:sz w:val="20"/>
          <w:szCs w:val="20"/>
        </w:rPr>
        <w:fldChar w:fldCharType="end"/>
      </w:r>
      <w:r w:rsidRPr="006749AB">
        <w:rPr>
          <w:rFonts w:cstheme="minorHAnsi"/>
          <w:sz w:val="20"/>
          <w:szCs w:val="20"/>
        </w:rPr>
        <w:t xml:space="preserve">. Patients were followed up every 3-6 months (Germany: visits in outpatient clinics; China: phone call follow-ups). </w:t>
      </w:r>
    </w:p>
    <w:p w:rsidR="00E67CA4" w:rsidRPr="006749AB" w:rsidRDefault="00E67CA4" w:rsidP="00E67CA4">
      <w:pPr>
        <w:spacing w:line="480" w:lineRule="auto"/>
        <w:ind w:firstLineChars="100" w:firstLine="200"/>
        <w:rPr>
          <w:rFonts w:cstheme="minorHAnsi"/>
          <w:sz w:val="20"/>
          <w:szCs w:val="20"/>
        </w:rPr>
      </w:pPr>
      <w:r w:rsidRPr="006749AB">
        <w:rPr>
          <w:rFonts w:cstheme="minorHAnsi"/>
          <w:sz w:val="20"/>
          <w:szCs w:val="20"/>
        </w:rPr>
        <w:t xml:space="preserve">Demographic information included sex, date of birth, month/year of disease onset, date of diagnosis, date of last follow-up, month/year of death or invasive ventilation (if applicable, both were defined as endpoint events), and self-reported ethnicity and family history of ALS. Clinical information included site of onset, first clinical symptom, </w:t>
      </w:r>
      <w:proofErr w:type="gramStart"/>
      <w:r w:rsidRPr="006749AB">
        <w:rPr>
          <w:rFonts w:cstheme="minorHAnsi"/>
          <w:sz w:val="20"/>
          <w:szCs w:val="20"/>
        </w:rPr>
        <w:t xml:space="preserve">predominant affection of UMN or LMN, body mass index (BMI) at diagnosis, and ALS-Functional Rating Scale Revised (ALSFRS-R) </w:t>
      </w:r>
      <w:r w:rsidRPr="006749AB">
        <w:rPr>
          <w:rFonts w:cstheme="minorHAnsi"/>
          <w:sz w:val="20"/>
          <w:szCs w:val="20"/>
        </w:rPr>
        <w:fldChar w:fldCharType="begin"/>
      </w:r>
      <w:r w:rsidRPr="006749AB">
        <w:rPr>
          <w:rFonts w:cstheme="minorHAnsi"/>
          <w:sz w:val="20"/>
          <w:szCs w:val="20"/>
        </w:rPr>
        <w:instrText xml:space="preserve"> ADDIN NE.Ref.{3B0519CF-2878-439B-9054-6517783D5B09}</w:instrText>
      </w:r>
      <w:r w:rsidRPr="006749AB">
        <w:rPr>
          <w:rFonts w:cstheme="minorHAnsi"/>
          <w:sz w:val="20"/>
          <w:szCs w:val="20"/>
        </w:rPr>
        <w:fldChar w:fldCharType="separate"/>
      </w:r>
      <w:r w:rsidRPr="006749AB">
        <w:rPr>
          <w:rFonts w:cstheme="minorHAnsi"/>
          <w:color w:val="080000"/>
          <w:kern w:val="0"/>
          <w:sz w:val="20"/>
          <w:szCs w:val="20"/>
        </w:rPr>
        <w:t>[6]</w:t>
      </w:r>
      <w:r w:rsidRPr="006749AB">
        <w:rPr>
          <w:rFonts w:cstheme="minorHAnsi"/>
          <w:sz w:val="20"/>
          <w:szCs w:val="20"/>
        </w:rPr>
        <w:fldChar w:fldCharType="end"/>
      </w:r>
      <w:r w:rsidRPr="006749AB">
        <w:rPr>
          <w:rFonts w:cstheme="minorHAnsi"/>
          <w:sz w:val="20"/>
          <w:szCs w:val="20"/>
        </w:rPr>
        <w:t xml:space="preserve"> at each visit/follow-up</w:t>
      </w:r>
      <w:proofErr w:type="gramEnd"/>
      <w:r w:rsidRPr="006749AB">
        <w:rPr>
          <w:rFonts w:cstheme="minorHAnsi"/>
          <w:sz w:val="20"/>
          <w:szCs w:val="20"/>
        </w:rPr>
        <w:t xml:space="preserve">. </w:t>
      </w:r>
    </w:p>
    <w:p w:rsidR="00E67CA4" w:rsidRPr="006749AB" w:rsidRDefault="00E67CA4" w:rsidP="00E67CA4">
      <w:pPr>
        <w:spacing w:line="480" w:lineRule="auto"/>
        <w:ind w:firstLineChars="100" w:firstLine="200"/>
        <w:rPr>
          <w:rFonts w:cstheme="minorHAnsi"/>
          <w:sz w:val="20"/>
          <w:szCs w:val="20"/>
        </w:rPr>
      </w:pPr>
      <w:r w:rsidRPr="006749AB">
        <w:rPr>
          <w:rFonts w:cstheme="minorHAnsi"/>
          <w:sz w:val="20"/>
          <w:szCs w:val="20"/>
        </w:rPr>
        <w:lastRenderedPageBreak/>
        <w:t xml:space="preserve">Diagnostic delay was defined as the interval between onset (first paresis) and diagnosis. Disease progression rate was defined as loss of ALSFRS-R score per month between diagnosis and first visit/follow-up (early progression rate) as well as between first and last visit/follow-up (late progression rate). Survival was defined as the time between onset and endpoint events. </w:t>
      </w:r>
    </w:p>
    <w:p w:rsidR="00E67CA4" w:rsidRPr="006749AB" w:rsidRDefault="00E67CA4" w:rsidP="00E67CA4">
      <w:pPr>
        <w:spacing w:line="480" w:lineRule="auto"/>
        <w:rPr>
          <w:rFonts w:cstheme="minorHAnsi"/>
          <w:sz w:val="20"/>
          <w:szCs w:val="20"/>
        </w:rPr>
      </w:pPr>
    </w:p>
    <w:p w:rsidR="00E67CA4" w:rsidRPr="006749AB" w:rsidRDefault="00E67CA4" w:rsidP="00E67CA4">
      <w:pPr>
        <w:spacing w:line="480" w:lineRule="auto"/>
        <w:rPr>
          <w:rFonts w:cstheme="minorHAnsi"/>
          <w:b/>
          <w:bCs/>
          <w:sz w:val="20"/>
          <w:szCs w:val="20"/>
        </w:rPr>
      </w:pPr>
      <w:r w:rsidRPr="006749AB">
        <w:rPr>
          <w:rFonts w:cstheme="minorHAnsi"/>
          <w:b/>
          <w:bCs/>
          <w:sz w:val="20"/>
          <w:szCs w:val="20"/>
        </w:rPr>
        <w:t xml:space="preserve">DNA sequencing and analysis </w:t>
      </w:r>
    </w:p>
    <w:p w:rsidR="00E67CA4" w:rsidRPr="006749AB" w:rsidRDefault="00E67CA4" w:rsidP="00E67CA4">
      <w:pPr>
        <w:spacing w:line="480" w:lineRule="auto"/>
        <w:rPr>
          <w:rFonts w:cstheme="minorHAnsi"/>
          <w:noProof/>
          <w:sz w:val="20"/>
          <w:szCs w:val="20"/>
        </w:rPr>
      </w:pPr>
      <w:r w:rsidRPr="006749AB">
        <w:rPr>
          <w:rFonts w:cstheme="minorHAnsi"/>
          <w:sz w:val="20"/>
          <w:szCs w:val="20"/>
        </w:rPr>
        <w:t xml:space="preserve">DNA was extracted from blood samples collected from outpatient visits or in hospital, usually at first visit. For Chinese cases, both apparently sporadic patients and the </w:t>
      </w:r>
      <w:proofErr w:type="spellStart"/>
      <w:r w:rsidRPr="006749AB">
        <w:rPr>
          <w:rFonts w:cstheme="minorHAnsi"/>
          <w:sz w:val="20"/>
          <w:szCs w:val="20"/>
        </w:rPr>
        <w:t>probands</w:t>
      </w:r>
      <w:proofErr w:type="spellEnd"/>
      <w:r w:rsidRPr="006749AB">
        <w:rPr>
          <w:rFonts w:cstheme="minorHAnsi"/>
          <w:sz w:val="20"/>
          <w:szCs w:val="20"/>
        </w:rPr>
        <w:t xml:space="preserve"> of families were consecutively included in genetic analysis. Sequence analysis has been previously partly </w:t>
      </w:r>
      <w:proofErr w:type="gramStart"/>
      <w:r w:rsidRPr="006749AB">
        <w:rPr>
          <w:rFonts w:cstheme="minorHAnsi"/>
          <w:sz w:val="20"/>
          <w:szCs w:val="20"/>
        </w:rPr>
        <w:t>published</w:t>
      </w:r>
      <w:proofErr w:type="gramEnd"/>
      <w:r w:rsidRPr="006749AB">
        <w:rPr>
          <w:rFonts w:cstheme="minorHAnsi"/>
          <w:sz w:val="20"/>
          <w:szCs w:val="20"/>
        </w:rPr>
        <w:fldChar w:fldCharType="begin"/>
      </w:r>
      <w:r w:rsidRPr="006749AB">
        <w:rPr>
          <w:rFonts w:cstheme="minorHAnsi"/>
          <w:sz w:val="20"/>
          <w:szCs w:val="20"/>
        </w:rPr>
        <w:instrText xml:space="preserve"> ADDIN NE.Ref.{F748AAC9-BD60-47EC-B8F9-D97F78C27A79}</w:instrText>
      </w:r>
      <w:r w:rsidRPr="006749AB">
        <w:rPr>
          <w:rFonts w:cstheme="minorHAnsi"/>
          <w:sz w:val="20"/>
          <w:szCs w:val="20"/>
        </w:rPr>
        <w:fldChar w:fldCharType="separate"/>
      </w:r>
      <w:r w:rsidRPr="006749AB">
        <w:rPr>
          <w:rFonts w:cstheme="minorHAnsi"/>
          <w:color w:val="080000"/>
          <w:kern w:val="0"/>
          <w:sz w:val="20"/>
          <w:szCs w:val="20"/>
        </w:rPr>
        <w:t>[1]</w:t>
      </w:r>
      <w:r w:rsidRPr="006749AB">
        <w:rPr>
          <w:rFonts w:cstheme="minorHAnsi"/>
          <w:sz w:val="20"/>
          <w:szCs w:val="20"/>
        </w:rPr>
        <w:fldChar w:fldCharType="end"/>
      </w:r>
      <w:r w:rsidRPr="006749AB">
        <w:rPr>
          <w:rFonts w:cstheme="minorHAnsi"/>
          <w:sz w:val="20"/>
          <w:szCs w:val="20"/>
        </w:rPr>
        <w:t xml:space="preserve">. Briefly, </w:t>
      </w:r>
      <w:smartTag w:uri="urn:schemas:contacts" w:element="Sn">
        <w:r w:rsidRPr="006749AB">
          <w:rPr>
            <w:rFonts w:cstheme="minorHAnsi"/>
            <w:sz w:val="20"/>
            <w:szCs w:val="20"/>
          </w:rPr>
          <w:t>Sanger</w:t>
        </w:r>
      </w:smartTag>
      <w:r w:rsidRPr="006749AB">
        <w:rPr>
          <w:rFonts w:cstheme="minorHAnsi"/>
          <w:sz w:val="20"/>
          <w:szCs w:val="20"/>
        </w:rPr>
        <w:t xml:space="preserve"> sequencing was performed for all coding </w:t>
      </w:r>
      <w:proofErr w:type="spellStart"/>
      <w:r w:rsidRPr="006749AB">
        <w:rPr>
          <w:rFonts w:cstheme="minorHAnsi"/>
          <w:sz w:val="20"/>
          <w:szCs w:val="20"/>
        </w:rPr>
        <w:t>exons</w:t>
      </w:r>
      <w:proofErr w:type="spellEnd"/>
      <w:r w:rsidRPr="006749AB">
        <w:rPr>
          <w:rFonts w:cstheme="minorHAnsi"/>
          <w:sz w:val="20"/>
          <w:szCs w:val="20"/>
        </w:rPr>
        <w:t xml:space="preserve"> and flanking 50bps of </w:t>
      </w:r>
      <w:r w:rsidRPr="006749AB">
        <w:rPr>
          <w:rFonts w:cstheme="minorHAnsi"/>
          <w:i/>
          <w:iCs/>
          <w:sz w:val="20"/>
          <w:szCs w:val="20"/>
        </w:rPr>
        <w:t xml:space="preserve">SOD1 </w:t>
      </w:r>
      <w:r w:rsidRPr="006749AB">
        <w:rPr>
          <w:rFonts w:cstheme="minorHAnsi"/>
          <w:iCs/>
          <w:sz w:val="20"/>
          <w:szCs w:val="20"/>
        </w:rPr>
        <w:t>(NM 000454.5)</w:t>
      </w:r>
      <w:r w:rsidRPr="006749AB">
        <w:rPr>
          <w:rFonts w:cstheme="minorHAnsi"/>
          <w:sz w:val="20"/>
          <w:szCs w:val="20"/>
        </w:rPr>
        <w:t xml:space="preserve">. In Germany, patients with a positive family history of ALS and patients with unusual features (such as young age of onset) were routinely tested. Additionally, sporadic patients without these features who wished genetic testing via the German MND network were tested as well. The patients </w:t>
      </w:r>
      <w:r w:rsidRPr="006749AB">
        <w:rPr>
          <w:rFonts w:cstheme="minorHAnsi"/>
          <w:noProof/>
          <w:sz w:val="20"/>
          <w:szCs w:val="20"/>
        </w:rPr>
        <w:t xml:space="preserve">were screened by </w:t>
      </w:r>
      <w:smartTag w:uri="urn:schemas:contacts" w:element="Sn">
        <w:r w:rsidRPr="006749AB">
          <w:rPr>
            <w:rFonts w:cstheme="minorHAnsi"/>
            <w:noProof/>
            <w:sz w:val="20"/>
            <w:szCs w:val="20"/>
          </w:rPr>
          <w:t>Sanger</w:t>
        </w:r>
      </w:smartTag>
      <w:r w:rsidRPr="006749AB">
        <w:rPr>
          <w:rFonts w:cstheme="minorHAnsi"/>
          <w:noProof/>
          <w:sz w:val="20"/>
          <w:szCs w:val="20"/>
        </w:rPr>
        <w:t xml:space="preserve"> sequencing for all coding exons of </w:t>
      </w:r>
      <w:proofErr w:type="gramStart"/>
      <w:r w:rsidRPr="006749AB">
        <w:rPr>
          <w:rFonts w:cstheme="minorHAnsi"/>
          <w:i/>
          <w:iCs/>
          <w:noProof/>
          <w:sz w:val="20"/>
          <w:szCs w:val="20"/>
        </w:rPr>
        <w:t>SOD1</w:t>
      </w:r>
      <w:r w:rsidRPr="006749AB">
        <w:rPr>
          <w:rFonts w:cstheme="minorHAnsi"/>
          <w:iCs/>
          <w:sz w:val="20"/>
          <w:szCs w:val="20"/>
        </w:rPr>
        <w:t>(</w:t>
      </w:r>
      <w:proofErr w:type="gramEnd"/>
      <w:r w:rsidRPr="006749AB">
        <w:rPr>
          <w:rFonts w:cstheme="minorHAnsi"/>
          <w:iCs/>
          <w:sz w:val="20"/>
          <w:szCs w:val="20"/>
        </w:rPr>
        <w:t>NM 000454.5)</w:t>
      </w:r>
      <w:r w:rsidRPr="006749AB">
        <w:rPr>
          <w:rFonts w:cstheme="minorHAnsi"/>
          <w:noProof/>
          <w:sz w:val="20"/>
          <w:szCs w:val="20"/>
        </w:rPr>
        <w:t xml:space="preserve">. The novel variants identified in the present study were evaluated according to the ACMG Standards and Guidelines.  </w:t>
      </w:r>
    </w:p>
    <w:p w:rsidR="00E67CA4" w:rsidRPr="006749AB" w:rsidRDefault="00E67CA4" w:rsidP="00E67CA4">
      <w:pPr>
        <w:spacing w:line="480" w:lineRule="auto"/>
        <w:rPr>
          <w:rFonts w:cstheme="minorHAnsi"/>
          <w:noProof/>
          <w:sz w:val="20"/>
          <w:szCs w:val="20"/>
        </w:rPr>
      </w:pPr>
    </w:p>
    <w:p w:rsidR="00E67CA4" w:rsidRPr="006749AB" w:rsidRDefault="00E67CA4" w:rsidP="00E67CA4">
      <w:pPr>
        <w:spacing w:line="480" w:lineRule="auto"/>
        <w:rPr>
          <w:rFonts w:cstheme="minorHAnsi"/>
          <w:b/>
          <w:bCs/>
          <w:sz w:val="20"/>
          <w:szCs w:val="20"/>
        </w:rPr>
      </w:pPr>
      <w:r w:rsidRPr="006749AB">
        <w:rPr>
          <w:rFonts w:cstheme="minorHAnsi"/>
          <w:b/>
          <w:bCs/>
          <w:sz w:val="20"/>
          <w:szCs w:val="20"/>
        </w:rPr>
        <w:t>Statistical analysis</w:t>
      </w:r>
    </w:p>
    <w:p w:rsidR="00E67CA4" w:rsidRPr="006749AB" w:rsidRDefault="00E67CA4" w:rsidP="00E67CA4">
      <w:pPr>
        <w:spacing w:line="480" w:lineRule="auto"/>
        <w:rPr>
          <w:rFonts w:cstheme="minorHAnsi"/>
          <w:sz w:val="20"/>
          <w:szCs w:val="20"/>
        </w:rPr>
      </w:pPr>
      <w:r w:rsidRPr="006749AB">
        <w:rPr>
          <w:rFonts w:cstheme="minorHAnsi"/>
          <w:sz w:val="20"/>
          <w:szCs w:val="20"/>
        </w:rPr>
        <w:t xml:space="preserve">Descriptive statistics (frequencies and percentages, mean and 95% confidence intervals [95% CI], or medians and </w:t>
      </w:r>
      <w:proofErr w:type="spellStart"/>
      <w:r w:rsidRPr="006749AB">
        <w:rPr>
          <w:rFonts w:cstheme="minorHAnsi"/>
          <w:sz w:val="20"/>
          <w:szCs w:val="20"/>
        </w:rPr>
        <w:t>interquartile</w:t>
      </w:r>
      <w:proofErr w:type="spellEnd"/>
      <w:r w:rsidRPr="006749AB">
        <w:rPr>
          <w:rFonts w:cstheme="minorHAnsi"/>
          <w:sz w:val="20"/>
          <w:szCs w:val="20"/>
        </w:rPr>
        <w:t xml:space="preserve"> ranges [IQRs], as appropriate) were used to characterize the study participants. The Chi-square test was used for nominal variables. Independent-sample student’s t-test or ANOVA test was applied for analyzing normally distributed continuous variables, and </w:t>
      </w:r>
      <w:r w:rsidRPr="006749AB">
        <w:rPr>
          <w:rFonts w:cstheme="minorHAnsi"/>
          <w:sz w:val="20"/>
          <w:szCs w:val="20"/>
        </w:rPr>
        <w:lastRenderedPageBreak/>
        <w:t xml:space="preserve">non-parametric </w:t>
      </w:r>
      <w:smartTag w:uri="urn:schemas-microsoft-com:office:smarttags" w:element="PersonName">
        <w:smartTag w:uri="urn:schemas:contacts" w:element="GivenName">
          <w:r w:rsidRPr="006749AB">
            <w:rPr>
              <w:rFonts w:cstheme="minorHAnsi"/>
              <w:sz w:val="20"/>
              <w:szCs w:val="20"/>
            </w:rPr>
            <w:t>Mann-Whitney</w:t>
          </w:r>
        </w:smartTag>
        <w:r w:rsidRPr="006749AB">
          <w:rPr>
            <w:rFonts w:cstheme="minorHAnsi"/>
            <w:sz w:val="20"/>
            <w:szCs w:val="20"/>
          </w:rPr>
          <w:t xml:space="preserve"> </w:t>
        </w:r>
        <w:smartTag w:uri="urn:schemas:contacts" w:element="Sn">
          <w:r w:rsidRPr="006749AB">
            <w:rPr>
              <w:rFonts w:cstheme="minorHAnsi"/>
              <w:sz w:val="20"/>
              <w:szCs w:val="20"/>
            </w:rPr>
            <w:t>U</w:t>
          </w:r>
        </w:smartTag>
      </w:smartTag>
      <w:r w:rsidRPr="006749AB">
        <w:rPr>
          <w:rFonts w:cstheme="minorHAnsi"/>
          <w:sz w:val="20"/>
          <w:szCs w:val="20"/>
        </w:rPr>
        <w:t xml:space="preserve"> test or </w:t>
      </w:r>
      <w:proofErr w:type="spellStart"/>
      <w:r w:rsidRPr="006749AB">
        <w:rPr>
          <w:rFonts w:cstheme="minorHAnsi"/>
          <w:sz w:val="20"/>
          <w:szCs w:val="20"/>
        </w:rPr>
        <w:t>Kruskal</w:t>
      </w:r>
      <w:proofErr w:type="spellEnd"/>
      <w:r w:rsidRPr="006749AB">
        <w:rPr>
          <w:rFonts w:cstheme="minorHAnsi"/>
          <w:sz w:val="20"/>
          <w:szCs w:val="20"/>
        </w:rPr>
        <w:t>-Wallis test for non-normally distributed variables. Kaplan-Meier curves and log-rank test were applied to determine the effect of demographic or clinical parameters on survival. A Cox multivariate proportional hazards model was applied to account for prognostic variables. Statistical significance was set at p&lt;0.05 (two-sided). Because of the explorative nature of this study, the results from the statistical analysis have to be interpreted as hypothesis generating only but not as confirmatory. No adjustment for multiple testing was applied.</w:t>
      </w:r>
      <w:r w:rsidRPr="006749AB">
        <w:rPr>
          <w:rFonts w:cstheme="minorHAnsi"/>
          <w:sz w:val="20"/>
          <w:szCs w:val="20"/>
        </w:rPr>
        <w:br w:type="page"/>
      </w:r>
    </w:p>
    <w:p w:rsidR="00E67CA4" w:rsidRPr="006749AB" w:rsidRDefault="00E67CA4" w:rsidP="00E67CA4">
      <w:pPr>
        <w:autoSpaceDE w:val="0"/>
        <w:autoSpaceDN w:val="0"/>
        <w:adjustRightInd w:val="0"/>
        <w:spacing w:line="480" w:lineRule="auto"/>
        <w:jc w:val="left"/>
        <w:rPr>
          <w:rFonts w:cstheme="minorHAnsi"/>
          <w:kern w:val="0"/>
          <w:sz w:val="20"/>
          <w:szCs w:val="24"/>
        </w:rPr>
      </w:pPr>
      <w:r w:rsidRPr="006749AB">
        <w:rPr>
          <w:rFonts w:cstheme="minorHAnsi"/>
        </w:rPr>
        <w:lastRenderedPageBreak/>
        <w:fldChar w:fldCharType="begin"/>
      </w:r>
      <w:r w:rsidRPr="006749AB">
        <w:rPr>
          <w:rFonts w:cstheme="minorHAnsi"/>
        </w:rPr>
        <w:instrText xml:space="preserve"> ADDIN NE.Bib</w:instrText>
      </w:r>
      <w:r w:rsidRPr="006749AB">
        <w:rPr>
          <w:rFonts w:cstheme="minorHAnsi"/>
        </w:rPr>
        <w:fldChar w:fldCharType="separate"/>
      </w:r>
      <w:r w:rsidRPr="006749AB">
        <w:rPr>
          <w:rFonts w:cstheme="minorHAnsi"/>
          <w:b/>
          <w:bCs/>
          <w:color w:val="000000"/>
          <w:kern w:val="0"/>
          <w:sz w:val="28"/>
          <w:szCs w:val="40"/>
        </w:rPr>
        <w:t>References</w:t>
      </w:r>
    </w:p>
    <w:p w:rsidR="00E67CA4" w:rsidRPr="006749AB" w:rsidRDefault="00E67CA4" w:rsidP="00E67CA4">
      <w:pPr>
        <w:autoSpaceDE w:val="0"/>
        <w:autoSpaceDN w:val="0"/>
        <w:adjustRightInd w:val="0"/>
        <w:spacing w:line="480" w:lineRule="auto"/>
        <w:rPr>
          <w:rFonts w:cstheme="minorHAnsi"/>
          <w:kern w:val="0"/>
          <w:sz w:val="24"/>
          <w:szCs w:val="24"/>
        </w:rPr>
      </w:pPr>
      <w:r w:rsidRPr="006749AB">
        <w:rPr>
          <w:rFonts w:cstheme="minorHAnsi"/>
          <w:color w:val="000000"/>
          <w:kern w:val="0"/>
          <w:sz w:val="20"/>
          <w:szCs w:val="20"/>
        </w:rPr>
        <w:t>1.</w:t>
      </w:r>
      <w:r w:rsidRPr="006749AB">
        <w:rPr>
          <w:rFonts w:cstheme="minorHAnsi"/>
          <w:color w:val="000000"/>
          <w:kern w:val="0"/>
          <w:sz w:val="20"/>
          <w:szCs w:val="20"/>
        </w:rPr>
        <w:tab/>
      </w:r>
      <w:bookmarkStart w:id="0" w:name="_neb36965C8C_DE27_4BB3_81E2_59F3118B3FBE"/>
      <w:r w:rsidRPr="006749AB">
        <w:rPr>
          <w:rFonts w:cstheme="minorHAnsi"/>
          <w:color w:val="000000"/>
          <w:kern w:val="0"/>
          <w:sz w:val="20"/>
          <w:szCs w:val="20"/>
        </w:rPr>
        <w:t xml:space="preserve">Tang L, Ma Y, Liu X, Chen L, Fan D. Better survival in female SOD1-mutant patients with ALS: a study of SOD1-related natural history. </w:t>
      </w:r>
      <w:proofErr w:type="spellStart"/>
      <w:r w:rsidRPr="006749AB">
        <w:rPr>
          <w:rFonts w:cstheme="minorHAnsi"/>
          <w:color w:val="000000"/>
          <w:kern w:val="0"/>
          <w:sz w:val="20"/>
          <w:szCs w:val="20"/>
        </w:rPr>
        <w:t>Transl</w:t>
      </w:r>
      <w:proofErr w:type="spellEnd"/>
      <w:r w:rsidRPr="006749AB">
        <w:rPr>
          <w:rFonts w:cstheme="minorHAnsi"/>
          <w:color w:val="000000"/>
          <w:kern w:val="0"/>
          <w:sz w:val="20"/>
          <w:szCs w:val="20"/>
        </w:rPr>
        <w:t xml:space="preserve"> </w:t>
      </w:r>
      <w:proofErr w:type="spellStart"/>
      <w:r w:rsidRPr="006749AB">
        <w:rPr>
          <w:rFonts w:cstheme="minorHAnsi"/>
          <w:color w:val="000000"/>
          <w:kern w:val="0"/>
          <w:sz w:val="20"/>
          <w:szCs w:val="20"/>
        </w:rPr>
        <w:t>Neurodegener</w:t>
      </w:r>
      <w:proofErr w:type="spellEnd"/>
      <w:r w:rsidRPr="006749AB">
        <w:rPr>
          <w:rFonts w:cstheme="minorHAnsi"/>
          <w:color w:val="000000"/>
          <w:kern w:val="0"/>
          <w:sz w:val="20"/>
          <w:szCs w:val="20"/>
        </w:rPr>
        <w:t xml:space="preserve">. </w:t>
      </w:r>
      <w:proofErr w:type="gramStart"/>
      <w:r w:rsidRPr="006749AB">
        <w:rPr>
          <w:rFonts w:cstheme="minorHAnsi"/>
          <w:color w:val="000000"/>
          <w:kern w:val="0"/>
          <w:sz w:val="20"/>
          <w:szCs w:val="20"/>
        </w:rPr>
        <w:t>2019; 8(1).</w:t>
      </w:r>
      <w:bookmarkEnd w:id="0"/>
      <w:proofErr w:type="gramEnd"/>
    </w:p>
    <w:p w:rsidR="00E67CA4" w:rsidRPr="006749AB" w:rsidRDefault="00E67CA4" w:rsidP="00E67CA4">
      <w:pPr>
        <w:autoSpaceDE w:val="0"/>
        <w:autoSpaceDN w:val="0"/>
        <w:adjustRightInd w:val="0"/>
        <w:spacing w:line="480" w:lineRule="auto"/>
        <w:rPr>
          <w:rFonts w:cstheme="minorHAnsi"/>
          <w:kern w:val="0"/>
          <w:sz w:val="24"/>
          <w:szCs w:val="24"/>
        </w:rPr>
      </w:pPr>
      <w:r w:rsidRPr="006749AB">
        <w:rPr>
          <w:rFonts w:cstheme="minorHAnsi"/>
          <w:color w:val="000000"/>
          <w:kern w:val="0"/>
          <w:sz w:val="20"/>
          <w:szCs w:val="20"/>
        </w:rPr>
        <w:t>2.</w:t>
      </w:r>
      <w:r w:rsidRPr="006749AB">
        <w:rPr>
          <w:rFonts w:cstheme="minorHAnsi"/>
          <w:color w:val="000000"/>
          <w:kern w:val="0"/>
          <w:sz w:val="20"/>
          <w:szCs w:val="20"/>
        </w:rPr>
        <w:tab/>
      </w:r>
      <w:bookmarkStart w:id="1" w:name="_nebF1CF08B3_A3FA_4AF5_BC4A_2B127C32C170"/>
      <w:r w:rsidRPr="006749AB">
        <w:rPr>
          <w:rFonts w:cstheme="minorHAnsi"/>
          <w:color w:val="000000"/>
          <w:kern w:val="0"/>
          <w:sz w:val="20"/>
          <w:szCs w:val="20"/>
        </w:rPr>
        <w:t>Chen L, Zhang B, Chen R, Tang L, Liu R, Yang Y, Yang Y, Liu X, Ye S, Zhan S</w:t>
      </w:r>
      <w:r w:rsidRPr="006749AB">
        <w:rPr>
          <w:rFonts w:cstheme="minorHAnsi"/>
          <w:i/>
          <w:iCs/>
          <w:color w:val="000000"/>
          <w:kern w:val="0"/>
          <w:sz w:val="20"/>
          <w:szCs w:val="20"/>
        </w:rPr>
        <w:t>, et al</w:t>
      </w:r>
      <w:r w:rsidRPr="006749AB">
        <w:rPr>
          <w:rFonts w:cstheme="minorHAnsi"/>
          <w:color w:val="000000"/>
          <w:kern w:val="0"/>
          <w:sz w:val="20"/>
          <w:szCs w:val="20"/>
        </w:rPr>
        <w:t xml:space="preserve">. Natural history and clinical features of sporadic amyotrophic lateral sclerosis in China. </w:t>
      </w:r>
      <w:proofErr w:type="gramStart"/>
      <w:r w:rsidRPr="006749AB">
        <w:rPr>
          <w:rFonts w:cstheme="minorHAnsi"/>
          <w:color w:val="000000"/>
          <w:kern w:val="0"/>
          <w:sz w:val="20"/>
          <w:szCs w:val="20"/>
        </w:rPr>
        <w:t>Journal of Neurology, Neurosurgery &amp; Psychiatry.</w:t>
      </w:r>
      <w:proofErr w:type="gramEnd"/>
      <w:r w:rsidRPr="006749AB">
        <w:rPr>
          <w:rFonts w:cstheme="minorHAnsi"/>
          <w:color w:val="000000"/>
          <w:kern w:val="0"/>
          <w:sz w:val="20"/>
          <w:szCs w:val="20"/>
        </w:rPr>
        <w:t xml:space="preserve"> 2015; 86(10):1075-81.</w:t>
      </w:r>
      <w:bookmarkEnd w:id="1"/>
    </w:p>
    <w:p w:rsidR="00E67CA4" w:rsidRPr="006749AB" w:rsidRDefault="00E67CA4" w:rsidP="00E67CA4">
      <w:pPr>
        <w:autoSpaceDE w:val="0"/>
        <w:autoSpaceDN w:val="0"/>
        <w:adjustRightInd w:val="0"/>
        <w:spacing w:line="480" w:lineRule="auto"/>
        <w:rPr>
          <w:rFonts w:cstheme="minorHAnsi"/>
          <w:kern w:val="0"/>
          <w:sz w:val="24"/>
          <w:szCs w:val="24"/>
        </w:rPr>
      </w:pPr>
      <w:r w:rsidRPr="006749AB">
        <w:rPr>
          <w:rFonts w:cstheme="minorHAnsi"/>
          <w:color w:val="000000"/>
          <w:kern w:val="0"/>
          <w:sz w:val="20"/>
          <w:szCs w:val="20"/>
        </w:rPr>
        <w:t>3.</w:t>
      </w:r>
      <w:r w:rsidRPr="006749AB">
        <w:rPr>
          <w:rFonts w:cstheme="minorHAnsi"/>
          <w:color w:val="000000"/>
          <w:kern w:val="0"/>
          <w:sz w:val="20"/>
          <w:szCs w:val="20"/>
        </w:rPr>
        <w:tab/>
      </w:r>
      <w:bookmarkStart w:id="2" w:name="_nebAFC2FB54_D04D_4108_8DD6_BCB1260C0A7E"/>
      <w:proofErr w:type="spellStart"/>
      <w:r w:rsidRPr="006749AB">
        <w:rPr>
          <w:rFonts w:cstheme="minorHAnsi"/>
          <w:color w:val="000000"/>
          <w:kern w:val="0"/>
          <w:sz w:val="20"/>
          <w:szCs w:val="20"/>
        </w:rPr>
        <w:t>Dorst</w:t>
      </w:r>
      <w:proofErr w:type="spellEnd"/>
      <w:r w:rsidRPr="006749AB">
        <w:rPr>
          <w:rFonts w:cstheme="minorHAnsi"/>
          <w:color w:val="000000"/>
          <w:kern w:val="0"/>
          <w:sz w:val="20"/>
          <w:szCs w:val="20"/>
        </w:rPr>
        <w:t xml:space="preserve"> J, Chen L, </w:t>
      </w:r>
      <w:proofErr w:type="spellStart"/>
      <w:r w:rsidRPr="006749AB">
        <w:rPr>
          <w:rFonts w:cstheme="minorHAnsi"/>
          <w:color w:val="000000"/>
          <w:kern w:val="0"/>
          <w:sz w:val="20"/>
          <w:szCs w:val="20"/>
        </w:rPr>
        <w:t>Rosenbohm</w:t>
      </w:r>
      <w:proofErr w:type="spellEnd"/>
      <w:r w:rsidRPr="006749AB">
        <w:rPr>
          <w:rFonts w:cstheme="minorHAnsi"/>
          <w:color w:val="000000"/>
          <w:kern w:val="0"/>
          <w:sz w:val="20"/>
          <w:szCs w:val="20"/>
        </w:rPr>
        <w:t xml:space="preserve"> A, </w:t>
      </w:r>
      <w:proofErr w:type="spellStart"/>
      <w:r w:rsidRPr="006749AB">
        <w:rPr>
          <w:rFonts w:cstheme="minorHAnsi"/>
          <w:color w:val="000000"/>
          <w:kern w:val="0"/>
          <w:sz w:val="20"/>
          <w:szCs w:val="20"/>
        </w:rPr>
        <w:t>Dreyhaupt</w:t>
      </w:r>
      <w:proofErr w:type="spellEnd"/>
      <w:r w:rsidRPr="006749AB">
        <w:rPr>
          <w:rFonts w:cstheme="minorHAnsi"/>
          <w:color w:val="000000"/>
          <w:kern w:val="0"/>
          <w:sz w:val="20"/>
          <w:szCs w:val="20"/>
        </w:rPr>
        <w:t xml:space="preserve"> J, </w:t>
      </w:r>
      <w:proofErr w:type="spellStart"/>
      <w:r w:rsidRPr="006749AB">
        <w:rPr>
          <w:rFonts w:cstheme="minorHAnsi"/>
          <w:color w:val="000000"/>
          <w:kern w:val="0"/>
          <w:sz w:val="20"/>
          <w:szCs w:val="20"/>
        </w:rPr>
        <w:t>Hübers</w:t>
      </w:r>
      <w:proofErr w:type="spellEnd"/>
      <w:r w:rsidRPr="006749AB">
        <w:rPr>
          <w:rFonts w:cstheme="minorHAnsi"/>
          <w:color w:val="000000"/>
          <w:kern w:val="0"/>
          <w:sz w:val="20"/>
          <w:szCs w:val="20"/>
        </w:rPr>
        <w:t xml:space="preserve"> A, Schuster J, </w:t>
      </w:r>
      <w:proofErr w:type="spellStart"/>
      <w:r w:rsidRPr="006749AB">
        <w:rPr>
          <w:rFonts w:cstheme="minorHAnsi"/>
          <w:color w:val="000000"/>
          <w:kern w:val="0"/>
          <w:sz w:val="20"/>
          <w:szCs w:val="20"/>
        </w:rPr>
        <w:t>Weishaupt</w:t>
      </w:r>
      <w:proofErr w:type="spellEnd"/>
      <w:r w:rsidRPr="006749AB">
        <w:rPr>
          <w:rFonts w:cstheme="minorHAnsi"/>
          <w:color w:val="000000"/>
          <w:kern w:val="0"/>
          <w:sz w:val="20"/>
          <w:szCs w:val="20"/>
        </w:rPr>
        <w:t xml:space="preserve"> JH, </w:t>
      </w:r>
      <w:proofErr w:type="spellStart"/>
      <w:r w:rsidRPr="006749AB">
        <w:rPr>
          <w:rFonts w:cstheme="minorHAnsi"/>
          <w:color w:val="000000"/>
          <w:kern w:val="0"/>
          <w:sz w:val="20"/>
          <w:szCs w:val="20"/>
        </w:rPr>
        <w:t>Kassubek</w:t>
      </w:r>
      <w:proofErr w:type="spellEnd"/>
      <w:r w:rsidRPr="006749AB">
        <w:rPr>
          <w:rFonts w:cstheme="minorHAnsi"/>
          <w:color w:val="000000"/>
          <w:kern w:val="0"/>
          <w:sz w:val="20"/>
          <w:szCs w:val="20"/>
        </w:rPr>
        <w:t xml:space="preserve"> J, </w:t>
      </w:r>
      <w:proofErr w:type="spellStart"/>
      <w:r w:rsidRPr="006749AB">
        <w:rPr>
          <w:rFonts w:cstheme="minorHAnsi"/>
          <w:color w:val="000000"/>
          <w:kern w:val="0"/>
          <w:sz w:val="20"/>
          <w:szCs w:val="20"/>
        </w:rPr>
        <w:t>Gess</w:t>
      </w:r>
      <w:proofErr w:type="spellEnd"/>
      <w:r w:rsidRPr="006749AB">
        <w:rPr>
          <w:rFonts w:cstheme="minorHAnsi"/>
          <w:color w:val="000000"/>
          <w:kern w:val="0"/>
          <w:sz w:val="20"/>
          <w:szCs w:val="20"/>
        </w:rPr>
        <w:t xml:space="preserve"> B, Meyer T</w:t>
      </w:r>
      <w:r w:rsidRPr="006749AB">
        <w:rPr>
          <w:rFonts w:cstheme="minorHAnsi"/>
          <w:i/>
          <w:iCs/>
          <w:color w:val="000000"/>
          <w:kern w:val="0"/>
          <w:sz w:val="20"/>
          <w:szCs w:val="20"/>
        </w:rPr>
        <w:t>, et al</w:t>
      </w:r>
      <w:r w:rsidRPr="006749AB">
        <w:rPr>
          <w:rFonts w:cstheme="minorHAnsi"/>
          <w:color w:val="000000"/>
          <w:kern w:val="0"/>
          <w:sz w:val="20"/>
          <w:szCs w:val="20"/>
        </w:rPr>
        <w:t>. Prognostic factors in ALS: a comparison between Germany and China. J Neurol. 2019; 266(6):1516-25.</w:t>
      </w:r>
      <w:bookmarkEnd w:id="2"/>
    </w:p>
    <w:p w:rsidR="00E67CA4" w:rsidRPr="006749AB" w:rsidRDefault="00E67CA4" w:rsidP="00E67CA4">
      <w:pPr>
        <w:autoSpaceDE w:val="0"/>
        <w:autoSpaceDN w:val="0"/>
        <w:adjustRightInd w:val="0"/>
        <w:spacing w:line="480" w:lineRule="auto"/>
        <w:rPr>
          <w:rFonts w:cstheme="minorHAnsi"/>
          <w:kern w:val="0"/>
          <w:sz w:val="24"/>
          <w:szCs w:val="24"/>
        </w:rPr>
      </w:pPr>
      <w:r w:rsidRPr="006749AB">
        <w:rPr>
          <w:rFonts w:cstheme="minorHAnsi"/>
          <w:color w:val="000000"/>
          <w:kern w:val="0"/>
          <w:sz w:val="20"/>
          <w:szCs w:val="20"/>
        </w:rPr>
        <w:t>4.</w:t>
      </w:r>
      <w:r w:rsidRPr="006749AB">
        <w:rPr>
          <w:rFonts w:cstheme="minorHAnsi"/>
          <w:color w:val="000000"/>
          <w:kern w:val="0"/>
          <w:sz w:val="20"/>
          <w:szCs w:val="20"/>
        </w:rPr>
        <w:tab/>
      </w:r>
      <w:bookmarkStart w:id="3" w:name="_neb3A6A6534_1A1C_4C91_85FA_E1E9C5EACD2C"/>
      <w:r w:rsidRPr="006749AB">
        <w:rPr>
          <w:rFonts w:cstheme="minorHAnsi"/>
          <w:color w:val="000000"/>
          <w:kern w:val="0"/>
          <w:sz w:val="20"/>
          <w:szCs w:val="20"/>
        </w:rPr>
        <w:t xml:space="preserve">Brooks B, Miller R, Swash M, </w:t>
      </w:r>
      <w:proofErr w:type="spellStart"/>
      <w:r w:rsidRPr="006749AB">
        <w:rPr>
          <w:rFonts w:cstheme="minorHAnsi"/>
          <w:color w:val="000000"/>
          <w:kern w:val="0"/>
          <w:sz w:val="20"/>
          <w:szCs w:val="20"/>
        </w:rPr>
        <w:t>Munsat</w:t>
      </w:r>
      <w:proofErr w:type="spellEnd"/>
      <w:r w:rsidRPr="006749AB">
        <w:rPr>
          <w:rFonts w:cstheme="minorHAnsi"/>
          <w:color w:val="000000"/>
          <w:kern w:val="0"/>
          <w:sz w:val="20"/>
          <w:szCs w:val="20"/>
        </w:rPr>
        <w:t xml:space="preserve"> T, Diseases. </w:t>
      </w:r>
      <w:proofErr w:type="gramStart"/>
      <w:r w:rsidRPr="006749AB">
        <w:rPr>
          <w:rFonts w:cstheme="minorHAnsi"/>
          <w:color w:val="000000"/>
          <w:kern w:val="0"/>
          <w:sz w:val="20"/>
          <w:szCs w:val="20"/>
        </w:rPr>
        <w:t>WFON.</w:t>
      </w:r>
      <w:proofErr w:type="gramEnd"/>
      <w:r w:rsidRPr="006749AB">
        <w:rPr>
          <w:rFonts w:cstheme="minorHAnsi"/>
          <w:color w:val="000000"/>
          <w:kern w:val="0"/>
          <w:sz w:val="20"/>
          <w:szCs w:val="20"/>
        </w:rPr>
        <w:t xml:space="preserve"> El Escorial revisited: revised criteria for the diagnosis of amyotrophic lateral sclerosis. </w:t>
      </w:r>
      <w:proofErr w:type="spellStart"/>
      <w:proofErr w:type="gramStart"/>
      <w:r w:rsidRPr="006749AB">
        <w:rPr>
          <w:rFonts w:cstheme="minorHAnsi"/>
          <w:color w:val="000000"/>
          <w:kern w:val="0"/>
          <w:sz w:val="20"/>
          <w:szCs w:val="20"/>
        </w:rPr>
        <w:t>Amyotroph</w:t>
      </w:r>
      <w:proofErr w:type="spellEnd"/>
      <w:r w:rsidRPr="006749AB">
        <w:rPr>
          <w:rFonts w:cstheme="minorHAnsi"/>
          <w:color w:val="000000"/>
          <w:kern w:val="0"/>
          <w:sz w:val="20"/>
          <w:szCs w:val="20"/>
        </w:rPr>
        <w:t xml:space="preserve"> Lateral </w:t>
      </w:r>
      <w:proofErr w:type="spellStart"/>
      <w:r w:rsidRPr="006749AB">
        <w:rPr>
          <w:rFonts w:cstheme="minorHAnsi"/>
          <w:color w:val="000000"/>
          <w:kern w:val="0"/>
          <w:sz w:val="20"/>
          <w:szCs w:val="20"/>
        </w:rPr>
        <w:t>Scler</w:t>
      </w:r>
      <w:proofErr w:type="spellEnd"/>
      <w:r w:rsidRPr="006749AB">
        <w:rPr>
          <w:rFonts w:cstheme="minorHAnsi"/>
          <w:color w:val="000000"/>
          <w:kern w:val="0"/>
          <w:sz w:val="20"/>
          <w:szCs w:val="20"/>
        </w:rPr>
        <w:t xml:space="preserve"> Other Motor Neuron </w:t>
      </w:r>
      <w:proofErr w:type="spellStart"/>
      <w:r w:rsidRPr="006749AB">
        <w:rPr>
          <w:rFonts w:cstheme="minorHAnsi"/>
          <w:color w:val="000000"/>
          <w:kern w:val="0"/>
          <w:sz w:val="20"/>
          <w:szCs w:val="20"/>
        </w:rPr>
        <w:t>Disord</w:t>
      </w:r>
      <w:proofErr w:type="spellEnd"/>
      <w:r w:rsidRPr="006749AB">
        <w:rPr>
          <w:rFonts w:cstheme="minorHAnsi"/>
          <w:color w:val="000000"/>
          <w:kern w:val="0"/>
          <w:sz w:val="20"/>
          <w:szCs w:val="20"/>
        </w:rPr>
        <w:t>.</w:t>
      </w:r>
      <w:proofErr w:type="gramEnd"/>
      <w:r w:rsidRPr="006749AB">
        <w:rPr>
          <w:rFonts w:cstheme="minorHAnsi"/>
          <w:color w:val="000000"/>
          <w:kern w:val="0"/>
          <w:sz w:val="20"/>
          <w:szCs w:val="20"/>
        </w:rPr>
        <w:t xml:space="preserve"> </w:t>
      </w:r>
      <w:proofErr w:type="gramStart"/>
      <w:r w:rsidRPr="006749AB">
        <w:rPr>
          <w:rFonts w:cstheme="minorHAnsi"/>
          <w:color w:val="000000"/>
          <w:kern w:val="0"/>
          <w:sz w:val="20"/>
          <w:szCs w:val="20"/>
        </w:rPr>
        <w:t>2000; 1:293-9.</w:t>
      </w:r>
      <w:bookmarkEnd w:id="3"/>
      <w:proofErr w:type="gramEnd"/>
    </w:p>
    <w:p w:rsidR="00E67CA4" w:rsidRPr="006749AB" w:rsidRDefault="00E67CA4" w:rsidP="00E67CA4">
      <w:pPr>
        <w:autoSpaceDE w:val="0"/>
        <w:autoSpaceDN w:val="0"/>
        <w:adjustRightInd w:val="0"/>
        <w:spacing w:line="480" w:lineRule="auto"/>
        <w:rPr>
          <w:rFonts w:cstheme="minorHAnsi"/>
          <w:kern w:val="0"/>
          <w:sz w:val="24"/>
          <w:szCs w:val="24"/>
        </w:rPr>
      </w:pPr>
      <w:r w:rsidRPr="006749AB">
        <w:rPr>
          <w:rFonts w:cstheme="minorHAnsi"/>
          <w:color w:val="000000"/>
          <w:kern w:val="0"/>
          <w:sz w:val="20"/>
          <w:szCs w:val="20"/>
        </w:rPr>
        <w:t>5.</w:t>
      </w:r>
      <w:r w:rsidRPr="006749AB">
        <w:rPr>
          <w:rFonts w:cstheme="minorHAnsi"/>
          <w:color w:val="000000"/>
          <w:kern w:val="0"/>
          <w:sz w:val="20"/>
          <w:szCs w:val="20"/>
        </w:rPr>
        <w:tab/>
      </w:r>
      <w:bookmarkStart w:id="4" w:name="_neb8A63575C_4BB2_4BEA_A6C4_9B6299850FEA"/>
      <w:r w:rsidRPr="006749AB">
        <w:rPr>
          <w:rFonts w:cstheme="minorHAnsi"/>
          <w:color w:val="000000"/>
          <w:kern w:val="0"/>
          <w:sz w:val="20"/>
          <w:szCs w:val="20"/>
        </w:rPr>
        <w:t xml:space="preserve">Richards S, Aziz N, Bale S, Bick D, Das S, </w:t>
      </w:r>
      <w:proofErr w:type="spellStart"/>
      <w:r w:rsidRPr="006749AB">
        <w:rPr>
          <w:rFonts w:cstheme="minorHAnsi"/>
          <w:color w:val="000000"/>
          <w:kern w:val="0"/>
          <w:sz w:val="20"/>
          <w:szCs w:val="20"/>
        </w:rPr>
        <w:t>Gastier</w:t>
      </w:r>
      <w:proofErr w:type="spellEnd"/>
      <w:r w:rsidRPr="006749AB">
        <w:rPr>
          <w:rFonts w:cstheme="minorHAnsi"/>
          <w:color w:val="000000"/>
          <w:kern w:val="0"/>
          <w:sz w:val="20"/>
          <w:szCs w:val="20"/>
        </w:rPr>
        <w:t xml:space="preserve">-Foster J, </w:t>
      </w:r>
      <w:proofErr w:type="spellStart"/>
      <w:r w:rsidRPr="006749AB">
        <w:rPr>
          <w:rFonts w:cstheme="minorHAnsi"/>
          <w:color w:val="000000"/>
          <w:kern w:val="0"/>
          <w:sz w:val="20"/>
          <w:szCs w:val="20"/>
        </w:rPr>
        <w:t>Grody</w:t>
      </w:r>
      <w:proofErr w:type="spellEnd"/>
      <w:r w:rsidRPr="006749AB">
        <w:rPr>
          <w:rFonts w:cstheme="minorHAnsi"/>
          <w:color w:val="000000"/>
          <w:kern w:val="0"/>
          <w:sz w:val="20"/>
          <w:szCs w:val="20"/>
        </w:rPr>
        <w:t xml:space="preserve"> WW, </w:t>
      </w:r>
      <w:proofErr w:type="spellStart"/>
      <w:r w:rsidRPr="006749AB">
        <w:rPr>
          <w:rFonts w:cstheme="minorHAnsi"/>
          <w:color w:val="000000"/>
          <w:kern w:val="0"/>
          <w:sz w:val="20"/>
          <w:szCs w:val="20"/>
        </w:rPr>
        <w:t>Hegde</w:t>
      </w:r>
      <w:proofErr w:type="spellEnd"/>
      <w:r w:rsidRPr="006749AB">
        <w:rPr>
          <w:rFonts w:cstheme="minorHAnsi"/>
          <w:color w:val="000000"/>
          <w:kern w:val="0"/>
          <w:sz w:val="20"/>
          <w:szCs w:val="20"/>
        </w:rPr>
        <w:t xml:space="preserve"> M, Lyon E, </w:t>
      </w:r>
      <w:proofErr w:type="spellStart"/>
      <w:r w:rsidRPr="006749AB">
        <w:rPr>
          <w:rFonts w:cstheme="minorHAnsi"/>
          <w:color w:val="000000"/>
          <w:kern w:val="0"/>
          <w:sz w:val="20"/>
          <w:szCs w:val="20"/>
        </w:rPr>
        <w:t>Spector</w:t>
      </w:r>
      <w:proofErr w:type="spellEnd"/>
      <w:r w:rsidRPr="006749AB">
        <w:rPr>
          <w:rFonts w:cstheme="minorHAnsi"/>
          <w:color w:val="000000"/>
          <w:kern w:val="0"/>
          <w:sz w:val="20"/>
          <w:szCs w:val="20"/>
        </w:rPr>
        <w:t xml:space="preserve"> E</w:t>
      </w:r>
      <w:r w:rsidRPr="006749AB">
        <w:rPr>
          <w:rFonts w:cstheme="minorHAnsi"/>
          <w:i/>
          <w:iCs/>
          <w:color w:val="000000"/>
          <w:kern w:val="0"/>
          <w:sz w:val="20"/>
          <w:szCs w:val="20"/>
        </w:rPr>
        <w:t>, et al</w:t>
      </w:r>
      <w:r w:rsidRPr="006749AB">
        <w:rPr>
          <w:rFonts w:cstheme="minorHAnsi"/>
          <w:color w:val="000000"/>
          <w:kern w:val="0"/>
          <w:sz w:val="20"/>
          <w:szCs w:val="20"/>
        </w:rPr>
        <w:t>. Standards and guidelines for the interpretation of sequence variants: a joint consensus recommendation of the American College of Medical Genetics and Genomics and the Association for Molecular Pathology. Genet Med. 2015; 17(5):405-24.</w:t>
      </w:r>
      <w:bookmarkEnd w:id="4"/>
    </w:p>
    <w:p w:rsidR="00E67CA4" w:rsidRPr="006749AB" w:rsidRDefault="00E67CA4" w:rsidP="00E67CA4">
      <w:pPr>
        <w:autoSpaceDE w:val="0"/>
        <w:autoSpaceDN w:val="0"/>
        <w:adjustRightInd w:val="0"/>
        <w:spacing w:line="480" w:lineRule="auto"/>
        <w:rPr>
          <w:rFonts w:cstheme="minorHAnsi"/>
          <w:kern w:val="0"/>
          <w:sz w:val="24"/>
          <w:szCs w:val="24"/>
        </w:rPr>
      </w:pPr>
      <w:r w:rsidRPr="006749AB">
        <w:rPr>
          <w:rFonts w:cstheme="minorHAnsi"/>
          <w:color w:val="000000"/>
          <w:kern w:val="0"/>
          <w:sz w:val="20"/>
          <w:szCs w:val="20"/>
        </w:rPr>
        <w:t>6.</w:t>
      </w:r>
      <w:r w:rsidRPr="006749AB">
        <w:rPr>
          <w:rFonts w:cstheme="minorHAnsi"/>
          <w:color w:val="000000"/>
          <w:kern w:val="0"/>
          <w:sz w:val="20"/>
          <w:szCs w:val="20"/>
        </w:rPr>
        <w:tab/>
      </w:r>
      <w:bookmarkStart w:id="5" w:name="_nebCAAC2D94_9106_4847_82BC_FDCB91E3C4C5"/>
      <w:proofErr w:type="spellStart"/>
      <w:r w:rsidRPr="006749AB">
        <w:rPr>
          <w:rFonts w:cstheme="minorHAnsi"/>
          <w:color w:val="000000"/>
          <w:kern w:val="0"/>
          <w:sz w:val="20"/>
          <w:szCs w:val="20"/>
        </w:rPr>
        <w:t>Cedarbaum</w:t>
      </w:r>
      <w:proofErr w:type="spellEnd"/>
      <w:r w:rsidRPr="006749AB">
        <w:rPr>
          <w:rFonts w:cstheme="minorHAnsi"/>
          <w:color w:val="000000"/>
          <w:kern w:val="0"/>
          <w:sz w:val="20"/>
          <w:szCs w:val="20"/>
        </w:rPr>
        <w:t xml:space="preserve"> JM, </w:t>
      </w:r>
      <w:proofErr w:type="spellStart"/>
      <w:r w:rsidRPr="006749AB">
        <w:rPr>
          <w:rFonts w:cstheme="minorHAnsi"/>
          <w:color w:val="000000"/>
          <w:kern w:val="0"/>
          <w:sz w:val="20"/>
          <w:szCs w:val="20"/>
        </w:rPr>
        <w:t>Stambler</w:t>
      </w:r>
      <w:proofErr w:type="spellEnd"/>
      <w:r w:rsidRPr="006749AB">
        <w:rPr>
          <w:rFonts w:cstheme="minorHAnsi"/>
          <w:color w:val="000000"/>
          <w:kern w:val="0"/>
          <w:sz w:val="20"/>
          <w:szCs w:val="20"/>
        </w:rPr>
        <w:t xml:space="preserve"> N, Malta E, Fuller C, Hilt D, Thurmond B, Nakanishi A. The ALSFRS-R: a revised ALS functional rating scale that incorporates assessments of respiratory function. BDNF ALS Study Group (Phase III). </w:t>
      </w:r>
      <w:proofErr w:type="gramStart"/>
      <w:r w:rsidRPr="006749AB">
        <w:rPr>
          <w:rFonts w:cstheme="minorHAnsi"/>
          <w:color w:val="000000"/>
          <w:kern w:val="0"/>
          <w:sz w:val="20"/>
          <w:szCs w:val="20"/>
        </w:rPr>
        <w:t xml:space="preserve">J </w:t>
      </w:r>
      <w:proofErr w:type="spellStart"/>
      <w:r w:rsidRPr="006749AB">
        <w:rPr>
          <w:rFonts w:cstheme="minorHAnsi"/>
          <w:color w:val="000000"/>
          <w:kern w:val="0"/>
          <w:sz w:val="20"/>
          <w:szCs w:val="20"/>
        </w:rPr>
        <w:t>Neurol</w:t>
      </w:r>
      <w:proofErr w:type="spellEnd"/>
      <w:r w:rsidRPr="006749AB">
        <w:rPr>
          <w:rFonts w:cstheme="minorHAnsi"/>
          <w:color w:val="000000"/>
          <w:kern w:val="0"/>
          <w:sz w:val="20"/>
          <w:szCs w:val="20"/>
        </w:rPr>
        <w:t xml:space="preserve"> Sci. 1999; 169:13-21.</w:t>
      </w:r>
      <w:bookmarkEnd w:id="5"/>
      <w:proofErr w:type="gramEnd"/>
    </w:p>
    <w:p w:rsidR="00D62FBA" w:rsidRPr="006749AB" w:rsidRDefault="00E67CA4" w:rsidP="00E67CA4">
      <w:pPr>
        <w:rPr>
          <w:rFonts w:cstheme="minorHAnsi"/>
        </w:rPr>
      </w:pPr>
      <w:r w:rsidRPr="006749AB">
        <w:rPr>
          <w:rFonts w:cstheme="minorHAnsi"/>
        </w:rPr>
        <w:fldChar w:fldCharType="end"/>
      </w:r>
    </w:p>
    <w:sectPr w:rsidR="00D62FBA" w:rsidRPr="006749AB" w:rsidSect="00D62F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7CA4" w:rsidRDefault="00E67CA4" w:rsidP="00E67CA4">
      <w:r>
        <w:separator/>
      </w:r>
    </w:p>
  </w:endnote>
  <w:endnote w:type="continuationSeparator" w:id="0">
    <w:p w:rsidR="00E67CA4" w:rsidRDefault="00E67CA4" w:rsidP="00E67C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7CA4" w:rsidRDefault="00E67CA4" w:rsidP="00E67CA4">
      <w:r>
        <w:separator/>
      </w:r>
    </w:p>
  </w:footnote>
  <w:footnote w:type="continuationSeparator" w:id="0">
    <w:p w:rsidR="00E67CA4" w:rsidRDefault="00E67CA4" w:rsidP="00E67C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7CA4"/>
    <w:rsid w:val="00166448"/>
    <w:rsid w:val="003656DD"/>
    <w:rsid w:val="00365A78"/>
    <w:rsid w:val="006749AB"/>
    <w:rsid w:val="00C05F54"/>
    <w:rsid w:val="00D62FBA"/>
    <w:rsid w:val="00E67C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contacts" w:name="GivenName"/>
  <w:smartTagType w:namespaceuri="urn:schemas:contacts" w:name="Sn"/>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C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7C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67CA4"/>
    <w:rPr>
      <w:sz w:val="18"/>
      <w:szCs w:val="18"/>
    </w:rPr>
  </w:style>
  <w:style w:type="paragraph" w:styleId="a4">
    <w:name w:val="footer"/>
    <w:basedOn w:val="a"/>
    <w:link w:val="Char0"/>
    <w:uiPriority w:val="99"/>
    <w:semiHidden/>
    <w:unhideWhenUsed/>
    <w:rsid w:val="00E67C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67CA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904</Words>
  <Characters>5154</Characters>
  <Application>Microsoft Office Word</Application>
  <DocSecurity>0</DocSecurity>
  <Lines>42</Lines>
  <Paragraphs>12</Paragraphs>
  <ScaleCrop>false</ScaleCrop>
  <Company/>
  <LinksUpToDate>false</LinksUpToDate>
  <CharactersWithSpaces>6046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dc:creator>
  <cp:keywords/>
  <dc:description/>
  <cp:lastModifiedBy>tl</cp:lastModifiedBy>
  <cp:revision>3</cp:revision>
  <dcterms:created xsi:type="dcterms:W3CDTF">2021-07-08T08:16:00Z</dcterms:created>
  <dcterms:modified xsi:type="dcterms:W3CDTF">2021-07-08T08:17:00Z</dcterms:modified>
</cp:coreProperties>
</file>