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01D" w:rsidRPr="00354F81" w:rsidRDefault="0039701D" w:rsidP="0039701D">
      <w:pPr>
        <w:widowControl/>
        <w:spacing w:line="480" w:lineRule="auto"/>
        <w:jc w:val="left"/>
        <w:rPr>
          <w:rFonts w:ascii="Calibri" w:hAnsi="Calibri" w:cs="Calibri"/>
          <w:sz w:val="20"/>
          <w:szCs w:val="20"/>
        </w:rPr>
      </w:pPr>
      <w:r w:rsidRPr="00354F81">
        <w:rPr>
          <w:rFonts w:ascii="Calibri" w:hAnsi="Calibri" w:cs="Calibri"/>
          <w:b/>
          <w:bCs/>
          <w:sz w:val="20"/>
          <w:szCs w:val="20"/>
        </w:rPr>
        <w:t>Supplementary</w:t>
      </w:r>
      <w:r w:rsidRPr="00354F81">
        <w:rPr>
          <w:rFonts w:ascii="Calibri" w:hAnsi="Calibri" w:cs="Calibri"/>
          <w:b/>
          <w:sz w:val="20"/>
          <w:szCs w:val="20"/>
        </w:rPr>
        <w:t xml:space="preserve"> </w:t>
      </w:r>
      <w:r w:rsidRPr="00354F81">
        <w:rPr>
          <w:rFonts w:ascii="Calibri" w:hAnsi="Calibri" w:cs="Calibri"/>
          <w:b/>
          <w:bCs/>
          <w:sz w:val="20"/>
          <w:szCs w:val="20"/>
        </w:rPr>
        <w:t>Table S1</w:t>
      </w:r>
      <w:r w:rsidRPr="00354F81">
        <w:rPr>
          <w:rFonts w:ascii="Calibri" w:hAnsi="Calibri" w:cs="Calibri"/>
          <w:bCs/>
          <w:sz w:val="20"/>
          <w:szCs w:val="20"/>
        </w:rPr>
        <w:t xml:space="preserve">   </w:t>
      </w:r>
      <w:r w:rsidRPr="00354F81">
        <w:rPr>
          <w:rFonts w:ascii="Calibri" w:hAnsi="Calibri" w:cs="Calibri"/>
          <w:sz w:val="20"/>
          <w:szCs w:val="20"/>
        </w:rPr>
        <w:t>Clinical characteristics of common mutations (≥ 2 patients) in Chinese and German ALS patients</w:t>
      </w:r>
    </w:p>
    <w:tbl>
      <w:tblPr>
        <w:tblW w:w="8173" w:type="dxa"/>
        <w:jc w:val="center"/>
        <w:tblLook w:val="04A0"/>
      </w:tblPr>
      <w:tblGrid>
        <w:gridCol w:w="1333"/>
        <w:gridCol w:w="894"/>
        <w:gridCol w:w="927"/>
        <w:gridCol w:w="1173"/>
        <w:gridCol w:w="1364"/>
        <w:gridCol w:w="1249"/>
        <w:gridCol w:w="1233"/>
      </w:tblGrid>
      <w:tr w:rsidR="0039701D" w:rsidRPr="00354F81" w:rsidTr="00B01C48">
        <w:trPr>
          <w:trHeight w:hRule="exact" w:val="687"/>
          <w:jc w:val="center"/>
        </w:trPr>
        <w:tc>
          <w:tcPr>
            <w:tcW w:w="13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2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Number of Patients</w:t>
            </w:r>
          </w:p>
        </w:tc>
        <w:tc>
          <w:tcPr>
            <w:tcW w:w="253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jc w:val="center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 xml:space="preserve">Age of Onset </w:t>
            </w:r>
          </w:p>
          <w:p w:rsidR="0039701D" w:rsidRPr="00354F81" w:rsidRDefault="0039701D" w:rsidP="0039701D">
            <w:pPr>
              <w:widowControl/>
              <w:jc w:val="center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(years, mean ± SD)</w:t>
            </w:r>
          </w:p>
        </w:tc>
        <w:tc>
          <w:tcPr>
            <w:tcW w:w="248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jc w:val="center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 xml:space="preserve">Survival </w:t>
            </w:r>
          </w:p>
          <w:p w:rsidR="0039701D" w:rsidRPr="00354F81" w:rsidRDefault="0039701D" w:rsidP="0039701D">
            <w:pPr>
              <w:widowControl/>
              <w:jc w:val="center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(months, mean ± SD)</w:t>
            </w:r>
          </w:p>
        </w:tc>
      </w:tr>
      <w:tr w:rsidR="0039701D" w:rsidRPr="00354F81" w:rsidTr="00B01C48">
        <w:trPr>
          <w:trHeight w:hRule="exact" w:val="285"/>
          <w:jc w:val="center"/>
        </w:trPr>
        <w:tc>
          <w:tcPr>
            <w:tcW w:w="13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Chinese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German</w:t>
            </w:r>
          </w:p>
        </w:tc>
        <w:tc>
          <w:tcPr>
            <w:tcW w:w="11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Chinese</w:t>
            </w:r>
          </w:p>
        </w:tc>
        <w:tc>
          <w:tcPr>
            <w:tcW w:w="13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German</w:t>
            </w: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Chinese</w:t>
            </w:r>
          </w:p>
        </w:tc>
        <w:tc>
          <w:tcPr>
            <w:tcW w:w="12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German</w:t>
            </w:r>
          </w:p>
        </w:tc>
      </w:tr>
      <w:tr w:rsidR="0039701D" w:rsidRPr="00354F81" w:rsidTr="00B01C48">
        <w:trPr>
          <w:trHeight w:hRule="exact" w:val="397"/>
          <w:jc w:val="center"/>
        </w:trPr>
        <w:tc>
          <w:tcPr>
            <w:tcW w:w="8173" w:type="dxa"/>
            <w:gridSpan w:val="7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left"/>
              <w:rPr>
                <w:rFonts w:ascii="Calibri" w:eastAsia="宋体" w:hAnsi="Calibri" w:cs="Calibri"/>
                <w:i/>
                <w:i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i/>
                <w:iCs/>
                <w:color w:val="000000"/>
                <w:kern w:val="0"/>
                <w:sz w:val="20"/>
                <w:szCs w:val="20"/>
              </w:rPr>
              <w:t>Found in both populations</w:t>
            </w:r>
          </w:p>
        </w:tc>
      </w:tr>
      <w:tr w:rsidR="0039701D" w:rsidRPr="00354F81" w:rsidTr="00B01C48">
        <w:trPr>
          <w:trHeight w:hRule="exact" w:val="397"/>
          <w:jc w:val="center"/>
        </w:trPr>
        <w:tc>
          <w:tcPr>
            <w:tcW w:w="13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left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p.Glu41Gly</w:t>
            </w:r>
          </w:p>
        </w:tc>
        <w:tc>
          <w:tcPr>
            <w:tcW w:w="89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249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71*</w:t>
            </w: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162 *</w:t>
            </w:r>
          </w:p>
        </w:tc>
      </w:tr>
      <w:tr w:rsidR="0039701D" w:rsidRPr="00354F81" w:rsidTr="00B01C48">
        <w:trPr>
          <w:trHeight w:hRule="exact" w:val="397"/>
          <w:jc w:val="center"/>
        </w:trPr>
        <w:tc>
          <w:tcPr>
            <w:tcW w:w="13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left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p.His44Arg</w:t>
            </w:r>
          </w:p>
        </w:tc>
        <w:tc>
          <w:tcPr>
            <w:tcW w:w="89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40.7 ± 2.9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58 *</w:t>
            </w:r>
          </w:p>
        </w:tc>
        <w:tc>
          <w:tcPr>
            <w:tcW w:w="1249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38.3 ± 43.3 *</w:t>
            </w: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9 *</w:t>
            </w:r>
          </w:p>
        </w:tc>
      </w:tr>
      <w:tr w:rsidR="0039701D" w:rsidRPr="00354F81" w:rsidTr="00B01C48">
        <w:trPr>
          <w:trHeight w:hRule="exact" w:val="397"/>
          <w:jc w:val="center"/>
        </w:trPr>
        <w:tc>
          <w:tcPr>
            <w:tcW w:w="13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left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p.His47Arg</w:t>
            </w:r>
          </w:p>
        </w:tc>
        <w:tc>
          <w:tcPr>
            <w:tcW w:w="89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50.8 ± 10.1</w:t>
            </w:r>
          </w:p>
        </w:tc>
        <w:tc>
          <w:tcPr>
            <w:tcW w:w="136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45 ±14.1</w:t>
            </w:r>
          </w:p>
        </w:tc>
        <w:tc>
          <w:tcPr>
            <w:tcW w:w="1249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108 ± 55.5 *</w:t>
            </w: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210 ± 12.7 *</w:t>
            </w:r>
          </w:p>
        </w:tc>
      </w:tr>
      <w:tr w:rsidR="0039701D" w:rsidRPr="00354F81" w:rsidTr="00B01C48">
        <w:trPr>
          <w:trHeight w:hRule="exact" w:val="397"/>
          <w:jc w:val="center"/>
        </w:trPr>
        <w:tc>
          <w:tcPr>
            <w:tcW w:w="13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left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p.Leu85Phe</w:t>
            </w:r>
          </w:p>
        </w:tc>
        <w:tc>
          <w:tcPr>
            <w:tcW w:w="89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38 ± 0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249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42 ± 2.8</w:t>
            </w: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14</w:t>
            </w:r>
          </w:p>
        </w:tc>
      </w:tr>
      <w:tr w:rsidR="0039701D" w:rsidRPr="00354F81" w:rsidTr="00B01C48">
        <w:trPr>
          <w:trHeight w:hRule="exact" w:val="397"/>
          <w:jc w:val="center"/>
        </w:trPr>
        <w:tc>
          <w:tcPr>
            <w:tcW w:w="13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left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p.Asn87Ser</w:t>
            </w:r>
          </w:p>
        </w:tc>
        <w:tc>
          <w:tcPr>
            <w:tcW w:w="89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249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82 *</w:t>
            </w: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100 *</w:t>
            </w:r>
          </w:p>
        </w:tc>
      </w:tr>
      <w:tr w:rsidR="0039701D" w:rsidRPr="00354F81" w:rsidTr="00B01C48">
        <w:trPr>
          <w:trHeight w:hRule="exact" w:val="397"/>
          <w:jc w:val="center"/>
        </w:trPr>
        <w:tc>
          <w:tcPr>
            <w:tcW w:w="13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left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p.Ile114Thr</w:t>
            </w:r>
          </w:p>
        </w:tc>
        <w:tc>
          <w:tcPr>
            <w:tcW w:w="89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249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18 *</w:t>
            </w: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63 *</w:t>
            </w:r>
          </w:p>
        </w:tc>
      </w:tr>
      <w:tr w:rsidR="0039701D" w:rsidRPr="00354F81" w:rsidTr="00B01C48">
        <w:trPr>
          <w:trHeight w:hRule="exact" w:val="397"/>
          <w:jc w:val="center"/>
        </w:trPr>
        <w:tc>
          <w:tcPr>
            <w:tcW w:w="13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left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p.Gly148Asp</w:t>
            </w:r>
          </w:p>
        </w:tc>
        <w:tc>
          <w:tcPr>
            <w:tcW w:w="89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249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39701D" w:rsidRPr="00354F81" w:rsidTr="00B01C48">
        <w:trPr>
          <w:trHeight w:hRule="exact" w:val="397"/>
          <w:jc w:val="center"/>
        </w:trPr>
        <w:tc>
          <w:tcPr>
            <w:tcW w:w="8173" w:type="dxa"/>
            <w:gridSpan w:val="7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left"/>
              <w:rPr>
                <w:rFonts w:ascii="Calibri" w:eastAsia="宋体" w:hAnsi="Calibri" w:cs="Calibri"/>
                <w:i/>
                <w:i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i/>
                <w:iCs/>
                <w:color w:val="000000"/>
                <w:kern w:val="0"/>
                <w:sz w:val="20"/>
                <w:szCs w:val="20"/>
              </w:rPr>
              <w:t xml:space="preserve">Found only in Chinese patients </w:t>
            </w:r>
          </w:p>
        </w:tc>
      </w:tr>
      <w:tr w:rsidR="0039701D" w:rsidRPr="00354F81" w:rsidTr="00B01C48">
        <w:trPr>
          <w:trHeight w:hRule="exact" w:val="397"/>
          <w:jc w:val="center"/>
        </w:trPr>
        <w:tc>
          <w:tcPr>
            <w:tcW w:w="13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left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p.Val15Met</w:t>
            </w:r>
          </w:p>
        </w:tc>
        <w:tc>
          <w:tcPr>
            <w:tcW w:w="89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54.5 ± 7.8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9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59.0 ± 14.1 *</w:t>
            </w: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9701D" w:rsidRPr="00354F81" w:rsidTr="00B01C48">
        <w:trPr>
          <w:trHeight w:hRule="exact" w:val="397"/>
          <w:jc w:val="center"/>
        </w:trPr>
        <w:tc>
          <w:tcPr>
            <w:tcW w:w="13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left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p.Gly17Ala</w:t>
            </w:r>
          </w:p>
        </w:tc>
        <w:tc>
          <w:tcPr>
            <w:tcW w:w="89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35 ± 8.5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9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106 ± 24.0 *</w:t>
            </w: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9701D" w:rsidRPr="00354F81" w:rsidTr="00B01C48">
        <w:trPr>
          <w:trHeight w:hRule="exact" w:val="397"/>
          <w:jc w:val="center"/>
        </w:trPr>
        <w:tc>
          <w:tcPr>
            <w:tcW w:w="13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left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p.Gly42Asp</w:t>
            </w:r>
          </w:p>
        </w:tc>
        <w:tc>
          <w:tcPr>
            <w:tcW w:w="89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46.7 ± 3.8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9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67 ± 34.0 *</w:t>
            </w: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9701D" w:rsidRPr="00354F81" w:rsidTr="00B01C48">
        <w:trPr>
          <w:trHeight w:hRule="exact" w:val="397"/>
          <w:jc w:val="center"/>
        </w:trPr>
        <w:tc>
          <w:tcPr>
            <w:tcW w:w="13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left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p.Gly42Ser</w:t>
            </w:r>
          </w:p>
        </w:tc>
        <w:tc>
          <w:tcPr>
            <w:tcW w:w="89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43.3 ± 11.5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9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15.7 ± 7.1 *</w:t>
            </w: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9701D" w:rsidRPr="00354F81" w:rsidTr="00B01C48">
        <w:trPr>
          <w:trHeight w:hRule="exact" w:val="397"/>
          <w:jc w:val="center"/>
        </w:trPr>
        <w:tc>
          <w:tcPr>
            <w:tcW w:w="13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left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p.Val48Ala</w:t>
            </w:r>
          </w:p>
        </w:tc>
        <w:tc>
          <w:tcPr>
            <w:tcW w:w="89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51.5 ± 3.5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9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29 ± 24.0 *</w:t>
            </w: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9701D" w:rsidRPr="00354F81" w:rsidTr="00B01C48">
        <w:trPr>
          <w:trHeight w:hRule="exact" w:val="397"/>
          <w:jc w:val="center"/>
        </w:trPr>
        <w:tc>
          <w:tcPr>
            <w:tcW w:w="13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left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p.Leu107Phe</w:t>
            </w:r>
          </w:p>
        </w:tc>
        <w:tc>
          <w:tcPr>
            <w:tcW w:w="89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39.7 ± 5.7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9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58.5 ± 55.9 *</w:t>
            </w: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9701D" w:rsidRPr="00354F81" w:rsidTr="00B01C48">
        <w:trPr>
          <w:trHeight w:hRule="exact" w:val="397"/>
          <w:jc w:val="center"/>
        </w:trPr>
        <w:tc>
          <w:tcPr>
            <w:tcW w:w="13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left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p.Cys112Tyr</w:t>
            </w:r>
          </w:p>
        </w:tc>
        <w:tc>
          <w:tcPr>
            <w:tcW w:w="89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27.5 ± 10.6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9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88 ± 94.8 *</w:t>
            </w: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9701D" w:rsidRPr="00354F81" w:rsidTr="00B01C48">
        <w:trPr>
          <w:trHeight w:hRule="exact" w:val="397"/>
          <w:jc w:val="center"/>
        </w:trPr>
        <w:tc>
          <w:tcPr>
            <w:tcW w:w="13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left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p.Gly142Ala</w:t>
            </w:r>
          </w:p>
        </w:tc>
        <w:tc>
          <w:tcPr>
            <w:tcW w:w="89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48.3 ± 5.7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9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34.3 ± 8.0 *</w:t>
            </w: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9701D" w:rsidRPr="00354F81" w:rsidTr="00B01C48">
        <w:trPr>
          <w:trHeight w:hRule="exact" w:val="397"/>
          <w:jc w:val="center"/>
        </w:trPr>
        <w:tc>
          <w:tcPr>
            <w:tcW w:w="13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left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p.Ile150Val</w:t>
            </w:r>
          </w:p>
        </w:tc>
        <w:tc>
          <w:tcPr>
            <w:tcW w:w="89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42 ± 0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9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95.5 ± 84.1 *</w:t>
            </w: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9701D" w:rsidRPr="00354F81" w:rsidTr="00B01C48">
        <w:trPr>
          <w:trHeight w:hRule="exact" w:val="397"/>
          <w:jc w:val="center"/>
        </w:trPr>
        <w:tc>
          <w:tcPr>
            <w:tcW w:w="8173" w:type="dxa"/>
            <w:gridSpan w:val="7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left"/>
              <w:rPr>
                <w:rFonts w:ascii="Calibri" w:eastAsia="宋体" w:hAnsi="Calibri" w:cs="Calibri"/>
                <w:i/>
                <w:i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i/>
                <w:iCs/>
                <w:color w:val="000000"/>
                <w:kern w:val="0"/>
                <w:sz w:val="20"/>
                <w:szCs w:val="20"/>
              </w:rPr>
              <w:t xml:space="preserve">Found only in German patients </w:t>
            </w:r>
          </w:p>
        </w:tc>
      </w:tr>
      <w:tr w:rsidR="0039701D" w:rsidRPr="00354F81" w:rsidTr="00B01C48">
        <w:trPr>
          <w:trHeight w:hRule="exact" w:val="397"/>
          <w:jc w:val="center"/>
        </w:trPr>
        <w:tc>
          <w:tcPr>
            <w:tcW w:w="13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left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p.His49Arg</w:t>
            </w:r>
          </w:p>
        </w:tc>
        <w:tc>
          <w:tcPr>
            <w:tcW w:w="89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48 ± 7.1</w:t>
            </w:r>
          </w:p>
        </w:tc>
        <w:tc>
          <w:tcPr>
            <w:tcW w:w="1249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203.5 ± 227.0 </w:t>
            </w:r>
          </w:p>
        </w:tc>
      </w:tr>
      <w:tr w:rsidR="0039701D" w:rsidRPr="00354F81" w:rsidTr="00B01C48">
        <w:trPr>
          <w:trHeight w:hRule="exact" w:val="397"/>
          <w:jc w:val="center"/>
        </w:trPr>
        <w:tc>
          <w:tcPr>
            <w:tcW w:w="13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left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p.Gly73Ser</w:t>
            </w:r>
          </w:p>
        </w:tc>
        <w:tc>
          <w:tcPr>
            <w:tcW w:w="89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6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45.5 ± 26.2</w:t>
            </w:r>
          </w:p>
        </w:tc>
        <w:tc>
          <w:tcPr>
            <w:tcW w:w="1249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45 ± 48.1 *</w:t>
            </w:r>
          </w:p>
        </w:tc>
      </w:tr>
      <w:tr w:rsidR="0039701D" w:rsidRPr="00354F81" w:rsidTr="00B01C48">
        <w:trPr>
          <w:trHeight w:hRule="exact" w:val="397"/>
          <w:jc w:val="center"/>
        </w:trPr>
        <w:tc>
          <w:tcPr>
            <w:tcW w:w="13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left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p.Val88Ala</w:t>
            </w:r>
          </w:p>
        </w:tc>
        <w:tc>
          <w:tcPr>
            <w:tcW w:w="89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6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61 ± 0</w:t>
            </w:r>
          </w:p>
        </w:tc>
        <w:tc>
          <w:tcPr>
            <w:tcW w:w="1249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35.5 ± 2.8 </w:t>
            </w:r>
          </w:p>
        </w:tc>
      </w:tr>
      <w:tr w:rsidR="0039701D" w:rsidRPr="00354F81" w:rsidTr="00B01C48">
        <w:trPr>
          <w:trHeight w:hRule="exact" w:val="397"/>
          <w:jc w:val="center"/>
        </w:trPr>
        <w:tc>
          <w:tcPr>
            <w:tcW w:w="13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left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p.Asp91Ala</w:t>
            </w:r>
          </w:p>
        </w:tc>
        <w:tc>
          <w:tcPr>
            <w:tcW w:w="89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6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48.9 ± 16.0</w:t>
            </w:r>
          </w:p>
        </w:tc>
        <w:tc>
          <w:tcPr>
            <w:tcW w:w="1249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107.9 ± 62.6 *</w:t>
            </w:r>
          </w:p>
        </w:tc>
      </w:tr>
      <w:tr w:rsidR="0039701D" w:rsidRPr="00354F81" w:rsidTr="00B01C48">
        <w:trPr>
          <w:trHeight w:hRule="exact" w:val="397"/>
          <w:jc w:val="center"/>
        </w:trPr>
        <w:tc>
          <w:tcPr>
            <w:tcW w:w="13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left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p.Glu101Lys</w:t>
            </w:r>
          </w:p>
        </w:tc>
        <w:tc>
          <w:tcPr>
            <w:tcW w:w="89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6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37 ± 8.2</w:t>
            </w:r>
          </w:p>
        </w:tc>
        <w:tc>
          <w:tcPr>
            <w:tcW w:w="1249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188.2 ± 151.6 *</w:t>
            </w:r>
          </w:p>
        </w:tc>
      </w:tr>
      <w:tr w:rsidR="0039701D" w:rsidRPr="00354F81" w:rsidTr="00B01C48">
        <w:trPr>
          <w:trHeight w:hRule="exact" w:val="397"/>
          <w:jc w:val="center"/>
        </w:trPr>
        <w:tc>
          <w:tcPr>
            <w:tcW w:w="13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left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p.Ile105Phe</w:t>
            </w:r>
          </w:p>
        </w:tc>
        <w:tc>
          <w:tcPr>
            <w:tcW w:w="89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6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42.5 ± 20.5</w:t>
            </w:r>
          </w:p>
        </w:tc>
        <w:tc>
          <w:tcPr>
            <w:tcW w:w="1249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264.5 ± 20.5 *</w:t>
            </w:r>
          </w:p>
        </w:tc>
      </w:tr>
      <w:tr w:rsidR="0039701D" w:rsidRPr="00354F81" w:rsidTr="00B01C48">
        <w:trPr>
          <w:trHeight w:hRule="exact" w:val="397"/>
          <w:jc w:val="center"/>
        </w:trPr>
        <w:tc>
          <w:tcPr>
            <w:tcW w:w="13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left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p.Ile113Thr</w:t>
            </w:r>
          </w:p>
        </w:tc>
        <w:tc>
          <w:tcPr>
            <w:tcW w:w="89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6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65 ± 7.1</w:t>
            </w:r>
          </w:p>
        </w:tc>
        <w:tc>
          <w:tcPr>
            <w:tcW w:w="1249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15 ± 8.5 </w:t>
            </w:r>
          </w:p>
        </w:tc>
      </w:tr>
      <w:tr w:rsidR="0039701D" w:rsidRPr="00354F81" w:rsidTr="00B01C48">
        <w:trPr>
          <w:trHeight w:hRule="exact" w:val="397"/>
          <w:jc w:val="center"/>
        </w:trPr>
        <w:tc>
          <w:tcPr>
            <w:tcW w:w="13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left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p.Arg116Gly</w:t>
            </w:r>
          </w:p>
        </w:tc>
        <w:tc>
          <w:tcPr>
            <w:tcW w:w="89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6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52.4 ± 10.5</w:t>
            </w:r>
          </w:p>
        </w:tc>
        <w:tc>
          <w:tcPr>
            <w:tcW w:w="1249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28.0 ± 21.2 * </w:t>
            </w:r>
          </w:p>
        </w:tc>
      </w:tr>
      <w:tr w:rsidR="0039701D" w:rsidRPr="00354F81" w:rsidTr="00B01C48">
        <w:trPr>
          <w:trHeight w:hRule="exact" w:val="397"/>
          <w:jc w:val="center"/>
        </w:trPr>
        <w:tc>
          <w:tcPr>
            <w:tcW w:w="13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left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p.Leu145Phe</w:t>
            </w:r>
          </w:p>
        </w:tc>
        <w:tc>
          <w:tcPr>
            <w:tcW w:w="89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64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51.3 ± 6.4</w:t>
            </w:r>
          </w:p>
        </w:tc>
        <w:tc>
          <w:tcPr>
            <w:tcW w:w="1249" w:type="dxa"/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33" w:type="dxa"/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53.8 ± 30.0 *</w:t>
            </w:r>
          </w:p>
        </w:tc>
      </w:tr>
      <w:tr w:rsidR="0039701D" w:rsidRPr="00354F81" w:rsidTr="00B01C48">
        <w:trPr>
          <w:trHeight w:hRule="exact" w:val="397"/>
          <w:jc w:val="center"/>
        </w:trPr>
        <w:tc>
          <w:tcPr>
            <w:tcW w:w="133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bCs/>
                <w:color w:val="000000"/>
                <w:kern w:val="0"/>
                <w:sz w:val="20"/>
                <w:szCs w:val="20"/>
              </w:rPr>
              <w:t>p.Val149Gly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7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6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51.5 ± 3.5</w:t>
            </w:r>
          </w:p>
        </w:tc>
        <w:tc>
          <w:tcPr>
            <w:tcW w:w="124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3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9701D" w:rsidRPr="00354F81" w:rsidRDefault="0039701D" w:rsidP="0039701D">
            <w:pPr>
              <w:widowControl/>
              <w:spacing w:line="48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354F81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10 ± 2.8 </w:t>
            </w:r>
          </w:p>
        </w:tc>
      </w:tr>
    </w:tbl>
    <w:p w:rsidR="0039701D" w:rsidRPr="00354F81" w:rsidRDefault="0039701D" w:rsidP="0039701D">
      <w:pPr>
        <w:widowControl/>
        <w:spacing w:line="480" w:lineRule="auto"/>
        <w:jc w:val="left"/>
        <w:rPr>
          <w:rFonts w:ascii="Calibri" w:hAnsi="Calibri" w:cs="Calibri"/>
          <w:sz w:val="20"/>
          <w:szCs w:val="20"/>
        </w:rPr>
        <w:sectPr w:rsidR="0039701D" w:rsidRPr="00354F81" w:rsidSect="00197746">
          <w:pgSz w:w="11906" w:h="16838"/>
          <w:pgMar w:top="1440" w:right="1797" w:bottom="1440" w:left="1797" w:header="851" w:footer="992" w:gutter="0"/>
          <w:lnNumType w:countBy="1" w:restart="continuous"/>
          <w:cols w:space="425"/>
          <w:docGrid w:linePitch="312"/>
        </w:sectPr>
      </w:pPr>
      <w:r w:rsidRPr="00354F81">
        <w:rPr>
          <w:rFonts w:ascii="Calibri" w:eastAsia="宋体" w:hAnsi="Calibri" w:cs="Calibri"/>
          <w:color w:val="000000"/>
          <w:kern w:val="0"/>
          <w:sz w:val="20"/>
          <w:szCs w:val="20"/>
        </w:rPr>
        <w:t>*includes censored data (at least 1 patient still alive or missing data); SD, standard deviation.</w:t>
      </w:r>
    </w:p>
    <w:p w:rsidR="0039701D" w:rsidRPr="00354F81" w:rsidRDefault="0039701D" w:rsidP="0039701D">
      <w:pPr>
        <w:spacing w:line="480" w:lineRule="auto"/>
        <w:jc w:val="center"/>
        <w:rPr>
          <w:rFonts w:ascii="Calibri" w:hAnsi="Calibri" w:cs="Calibri"/>
          <w:sz w:val="20"/>
          <w:szCs w:val="20"/>
        </w:rPr>
      </w:pPr>
      <w:r w:rsidRPr="00354F81">
        <w:rPr>
          <w:rFonts w:ascii="Calibri" w:hAnsi="Calibri" w:cs="Calibri"/>
          <w:b/>
          <w:bCs/>
          <w:sz w:val="20"/>
          <w:szCs w:val="20"/>
        </w:rPr>
        <w:lastRenderedPageBreak/>
        <w:t>Supplementary</w:t>
      </w:r>
      <w:r w:rsidRPr="00354F81">
        <w:rPr>
          <w:rFonts w:ascii="Calibri" w:hAnsi="Calibri" w:cs="Calibri"/>
          <w:b/>
          <w:sz w:val="20"/>
          <w:szCs w:val="20"/>
        </w:rPr>
        <w:t xml:space="preserve"> </w:t>
      </w:r>
      <w:r w:rsidRPr="00354F81">
        <w:rPr>
          <w:rFonts w:ascii="Calibri" w:hAnsi="Calibri" w:cs="Calibri"/>
          <w:b/>
          <w:bCs/>
          <w:sz w:val="20"/>
          <w:szCs w:val="20"/>
        </w:rPr>
        <w:t>Table S</w:t>
      </w:r>
      <w:r>
        <w:rPr>
          <w:rFonts w:ascii="Calibri" w:hAnsi="Calibri" w:cs="Calibri"/>
          <w:b/>
          <w:bCs/>
          <w:sz w:val="20"/>
          <w:szCs w:val="20"/>
        </w:rPr>
        <w:t>2</w:t>
      </w:r>
      <w:r w:rsidRPr="00354F81">
        <w:rPr>
          <w:rFonts w:ascii="Calibri" w:hAnsi="Calibri" w:cs="Calibri"/>
          <w:b/>
          <w:bCs/>
          <w:sz w:val="20"/>
          <w:szCs w:val="20"/>
        </w:rPr>
        <w:t xml:space="preserve"> </w:t>
      </w:r>
      <w:r w:rsidRPr="00354F81">
        <w:rPr>
          <w:rFonts w:ascii="Calibri" w:hAnsi="Calibri" w:cs="Calibri"/>
          <w:bCs/>
          <w:sz w:val="20"/>
          <w:szCs w:val="20"/>
        </w:rPr>
        <w:t xml:space="preserve">  Cox regression analysis of </w:t>
      </w:r>
      <w:r w:rsidRPr="00354F81">
        <w:rPr>
          <w:rFonts w:ascii="Calibri" w:hAnsi="Calibri" w:cs="Calibri"/>
          <w:bCs/>
          <w:i/>
          <w:iCs/>
          <w:sz w:val="20"/>
          <w:szCs w:val="20"/>
        </w:rPr>
        <w:t>SOD1</w:t>
      </w:r>
      <w:r w:rsidRPr="00354F81">
        <w:rPr>
          <w:rFonts w:ascii="Calibri" w:hAnsi="Calibri" w:cs="Calibri"/>
          <w:bCs/>
          <w:sz w:val="20"/>
          <w:szCs w:val="20"/>
        </w:rPr>
        <w:t xml:space="preserve">-mutant patients </w:t>
      </w:r>
    </w:p>
    <w:tbl>
      <w:tblPr>
        <w:tblStyle w:val="a3"/>
        <w:tblW w:w="867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bottom w:w="28" w:type="dxa"/>
        </w:tblCellMar>
        <w:tblLook w:val="04A0"/>
      </w:tblPr>
      <w:tblGrid>
        <w:gridCol w:w="2552"/>
        <w:gridCol w:w="1701"/>
        <w:gridCol w:w="1276"/>
        <w:gridCol w:w="6"/>
        <w:gridCol w:w="1836"/>
        <w:gridCol w:w="1294"/>
        <w:gridCol w:w="11"/>
      </w:tblGrid>
      <w:tr w:rsidR="0039701D" w:rsidRPr="00354F81" w:rsidTr="00B01C48">
        <w:trPr>
          <w:trHeight w:val="466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9701D" w:rsidRPr="00354F81" w:rsidRDefault="0039701D" w:rsidP="0039701D">
            <w:pPr>
              <w:spacing w:line="48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98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proofErr w:type="spellStart"/>
            <w:r w:rsidRPr="00354F81">
              <w:rPr>
                <w:rFonts w:ascii="Calibri" w:hAnsi="Calibri" w:cs="Calibri"/>
                <w:bCs/>
                <w:sz w:val="20"/>
                <w:szCs w:val="20"/>
              </w:rPr>
              <w:t>Univariate</w:t>
            </w:r>
            <w:proofErr w:type="spellEnd"/>
            <w:r w:rsidRPr="00354F81">
              <w:rPr>
                <w:rFonts w:ascii="Calibri" w:hAnsi="Calibri" w:cs="Calibri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14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354F81">
              <w:rPr>
                <w:rFonts w:ascii="Calibri" w:hAnsi="Calibri" w:cs="Calibri"/>
                <w:bCs/>
                <w:sz w:val="20"/>
                <w:szCs w:val="20"/>
              </w:rPr>
              <w:t>Multivariate</w:t>
            </w:r>
          </w:p>
        </w:tc>
      </w:tr>
      <w:tr w:rsidR="0039701D" w:rsidRPr="00354F81" w:rsidTr="00B01C48">
        <w:trPr>
          <w:gridAfter w:val="1"/>
          <w:wAfter w:w="11" w:type="dxa"/>
          <w:trHeight w:val="346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9701D" w:rsidRPr="00354F81" w:rsidRDefault="0039701D" w:rsidP="0039701D">
            <w:pPr>
              <w:spacing w:line="480" w:lineRule="auto"/>
              <w:jc w:val="left"/>
              <w:rPr>
                <w:rFonts w:ascii="Calibri" w:hAnsi="Calibri" w:cs="Calibri"/>
                <w:bCs/>
                <w:sz w:val="20"/>
                <w:szCs w:val="20"/>
              </w:rPr>
            </w:pPr>
            <w:r w:rsidRPr="00354F81">
              <w:rPr>
                <w:rFonts w:ascii="Calibri" w:hAnsi="Calibri" w:cs="Calibri"/>
                <w:bCs/>
                <w:sz w:val="20"/>
                <w:szCs w:val="20"/>
              </w:rPr>
              <w:t>Variable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354F81">
              <w:rPr>
                <w:rFonts w:ascii="Calibri" w:hAnsi="Calibri" w:cs="Calibri"/>
                <w:bCs/>
                <w:sz w:val="20"/>
                <w:szCs w:val="20"/>
              </w:rPr>
              <w:t>HR (95%CI)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354F81">
              <w:rPr>
                <w:rFonts w:ascii="Calibri" w:hAnsi="Calibri" w:cs="Calibri"/>
                <w:bCs/>
                <w:sz w:val="20"/>
                <w:szCs w:val="20"/>
              </w:rPr>
              <w:t>p Value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354F81">
              <w:rPr>
                <w:rFonts w:ascii="Calibri" w:hAnsi="Calibri" w:cs="Calibri"/>
                <w:bCs/>
                <w:sz w:val="20"/>
                <w:szCs w:val="20"/>
              </w:rPr>
              <w:t>HR (95%CI)</w:t>
            </w:r>
          </w:p>
        </w:tc>
        <w:tc>
          <w:tcPr>
            <w:tcW w:w="12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354F81">
              <w:rPr>
                <w:rFonts w:ascii="Calibri" w:hAnsi="Calibri" w:cs="Calibri"/>
                <w:bCs/>
                <w:sz w:val="20"/>
                <w:szCs w:val="20"/>
              </w:rPr>
              <w:t>p Value</w:t>
            </w:r>
          </w:p>
        </w:tc>
      </w:tr>
      <w:tr w:rsidR="0039701D" w:rsidRPr="00354F81" w:rsidTr="00B01C48">
        <w:trPr>
          <w:gridAfter w:val="1"/>
          <w:wAfter w:w="11" w:type="dxa"/>
          <w:trHeight w:val="567"/>
          <w:jc w:val="center"/>
        </w:trPr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:rsidR="0039701D" w:rsidRPr="00354F81" w:rsidRDefault="0039701D" w:rsidP="0039701D">
            <w:pPr>
              <w:spacing w:line="48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 xml:space="preserve">Ethnicity 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</w:tcBorders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</w:tcBorders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9701D" w:rsidRPr="00354F81" w:rsidTr="00B01C48">
        <w:trPr>
          <w:gridAfter w:val="1"/>
          <w:wAfter w:w="11" w:type="dxa"/>
          <w:trHeight w:val="567"/>
          <w:jc w:val="center"/>
        </w:trPr>
        <w:tc>
          <w:tcPr>
            <w:tcW w:w="2552" w:type="dxa"/>
            <w:vAlign w:val="center"/>
          </w:tcPr>
          <w:p w:rsidR="0039701D" w:rsidRPr="00354F81" w:rsidRDefault="0039701D" w:rsidP="0039701D">
            <w:pPr>
              <w:spacing w:line="480" w:lineRule="auto"/>
              <w:ind w:leftChars="100" w:left="21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Chinese</w:t>
            </w:r>
          </w:p>
        </w:tc>
        <w:tc>
          <w:tcPr>
            <w:tcW w:w="1701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1.00</w:t>
            </w:r>
          </w:p>
        </w:tc>
        <w:tc>
          <w:tcPr>
            <w:tcW w:w="1276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9701D" w:rsidRPr="00354F81" w:rsidTr="00B01C48">
        <w:trPr>
          <w:gridAfter w:val="1"/>
          <w:wAfter w:w="11" w:type="dxa"/>
          <w:trHeight w:val="567"/>
          <w:jc w:val="center"/>
        </w:trPr>
        <w:tc>
          <w:tcPr>
            <w:tcW w:w="2552" w:type="dxa"/>
            <w:vAlign w:val="center"/>
          </w:tcPr>
          <w:p w:rsidR="0039701D" w:rsidRPr="00354F81" w:rsidRDefault="0039701D" w:rsidP="0039701D">
            <w:pPr>
              <w:spacing w:line="480" w:lineRule="auto"/>
              <w:ind w:leftChars="100" w:left="21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German</w:t>
            </w:r>
          </w:p>
        </w:tc>
        <w:tc>
          <w:tcPr>
            <w:tcW w:w="1701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1.04 (0.61-1.75)</w:t>
            </w:r>
          </w:p>
        </w:tc>
        <w:tc>
          <w:tcPr>
            <w:tcW w:w="1276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0.90</w:t>
            </w:r>
          </w:p>
        </w:tc>
        <w:tc>
          <w:tcPr>
            <w:tcW w:w="1842" w:type="dxa"/>
            <w:gridSpan w:val="2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  <w:tc>
          <w:tcPr>
            <w:tcW w:w="1294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</w:tr>
      <w:tr w:rsidR="0039701D" w:rsidRPr="00354F81" w:rsidTr="00B01C48">
        <w:trPr>
          <w:gridAfter w:val="1"/>
          <w:wAfter w:w="11" w:type="dxa"/>
          <w:trHeight w:val="567"/>
          <w:jc w:val="center"/>
        </w:trPr>
        <w:tc>
          <w:tcPr>
            <w:tcW w:w="2552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Sex</w:t>
            </w:r>
          </w:p>
        </w:tc>
        <w:tc>
          <w:tcPr>
            <w:tcW w:w="1701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9701D" w:rsidRPr="00354F81" w:rsidTr="00B01C48">
        <w:trPr>
          <w:gridAfter w:val="1"/>
          <w:wAfter w:w="11" w:type="dxa"/>
          <w:trHeight w:val="567"/>
          <w:jc w:val="center"/>
        </w:trPr>
        <w:tc>
          <w:tcPr>
            <w:tcW w:w="2552" w:type="dxa"/>
            <w:vAlign w:val="center"/>
          </w:tcPr>
          <w:p w:rsidR="0039701D" w:rsidRPr="00354F81" w:rsidRDefault="0039701D" w:rsidP="0039701D">
            <w:pPr>
              <w:spacing w:line="480" w:lineRule="auto"/>
              <w:ind w:leftChars="100" w:left="21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Female</w:t>
            </w:r>
          </w:p>
        </w:tc>
        <w:tc>
          <w:tcPr>
            <w:tcW w:w="1701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1.00</w:t>
            </w:r>
          </w:p>
        </w:tc>
        <w:tc>
          <w:tcPr>
            <w:tcW w:w="1276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9701D" w:rsidRPr="00354F81" w:rsidTr="00B01C48">
        <w:trPr>
          <w:gridAfter w:val="1"/>
          <w:wAfter w:w="11" w:type="dxa"/>
          <w:trHeight w:val="567"/>
          <w:jc w:val="center"/>
        </w:trPr>
        <w:tc>
          <w:tcPr>
            <w:tcW w:w="2552" w:type="dxa"/>
            <w:vAlign w:val="center"/>
          </w:tcPr>
          <w:p w:rsidR="0039701D" w:rsidRPr="00354F81" w:rsidRDefault="0039701D" w:rsidP="0039701D">
            <w:pPr>
              <w:spacing w:line="480" w:lineRule="auto"/>
              <w:ind w:leftChars="100" w:left="21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Male</w:t>
            </w:r>
          </w:p>
        </w:tc>
        <w:tc>
          <w:tcPr>
            <w:tcW w:w="1701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2.10 (1.23-3.57)</w:t>
            </w:r>
          </w:p>
        </w:tc>
        <w:tc>
          <w:tcPr>
            <w:tcW w:w="1276" w:type="dxa"/>
            <w:vAlign w:val="center"/>
          </w:tcPr>
          <w:p w:rsidR="0039701D" w:rsidRPr="002A066D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2A066D">
              <w:rPr>
                <w:rFonts w:ascii="Calibri" w:hAnsi="Calibri" w:cs="Calibri"/>
                <w:b/>
                <w:sz w:val="20"/>
                <w:szCs w:val="20"/>
              </w:rPr>
              <w:t>0.006</w:t>
            </w:r>
          </w:p>
        </w:tc>
        <w:tc>
          <w:tcPr>
            <w:tcW w:w="1842" w:type="dxa"/>
            <w:gridSpan w:val="2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1.77 (0.60-5.21)</w:t>
            </w:r>
          </w:p>
        </w:tc>
        <w:tc>
          <w:tcPr>
            <w:tcW w:w="1294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0.30</w:t>
            </w:r>
          </w:p>
        </w:tc>
      </w:tr>
      <w:tr w:rsidR="0039701D" w:rsidRPr="00354F81" w:rsidTr="00B01C48">
        <w:trPr>
          <w:gridAfter w:val="1"/>
          <w:wAfter w:w="11" w:type="dxa"/>
          <w:trHeight w:val="567"/>
          <w:jc w:val="center"/>
        </w:trPr>
        <w:tc>
          <w:tcPr>
            <w:tcW w:w="2552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Age of onset (years)</w:t>
            </w:r>
          </w:p>
        </w:tc>
        <w:tc>
          <w:tcPr>
            <w:tcW w:w="1701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1.02 (1.00-1.04)</w:t>
            </w:r>
          </w:p>
        </w:tc>
        <w:tc>
          <w:tcPr>
            <w:tcW w:w="1276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0.054</w:t>
            </w:r>
          </w:p>
        </w:tc>
        <w:tc>
          <w:tcPr>
            <w:tcW w:w="1842" w:type="dxa"/>
            <w:gridSpan w:val="2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1.01 (0.97-1.06)</w:t>
            </w:r>
          </w:p>
        </w:tc>
        <w:tc>
          <w:tcPr>
            <w:tcW w:w="1294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0.68</w:t>
            </w:r>
          </w:p>
        </w:tc>
      </w:tr>
      <w:tr w:rsidR="0039701D" w:rsidRPr="00354F81" w:rsidTr="00B01C48">
        <w:trPr>
          <w:gridAfter w:val="1"/>
          <w:wAfter w:w="11" w:type="dxa"/>
          <w:trHeight w:val="567"/>
          <w:jc w:val="center"/>
        </w:trPr>
        <w:tc>
          <w:tcPr>
            <w:tcW w:w="2552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Site of onset</w:t>
            </w:r>
          </w:p>
        </w:tc>
        <w:tc>
          <w:tcPr>
            <w:tcW w:w="1701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9701D" w:rsidRPr="00354F81" w:rsidTr="00B01C48">
        <w:trPr>
          <w:gridAfter w:val="1"/>
          <w:wAfter w:w="11" w:type="dxa"/>
          <w:trHeight w:val="567"/>
          <w:jc w:val="center"/>
        </w:trPr>
        <w:tc>
          <w:tcPr>
            <w:tcW w:w="2552" w:type="dxa"/>
            <w:vAlign w:val="center"/>
          </w:tcPr>
          <w:p w:rsidR="0039701D" w:rsidRPr="00354F81" w:rsidRDefault="0039701D" w:rsidP="0039701D">
            <w:pPr>
              <w:spacing w:line="480" w:lineRule="auto"/>
              <w:ind w:leftChars="100" w:left="21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Spinal</w:t>
            </w:r>
          </w:p>
        </w:tc>
        <w:tc>
          <w:tcPr>
            <w:tcW w:w="1701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1.00</w:t>
            </w:r>
          </w:p>
        </w:tc>
        <w:tc>
          <w:tcPr>
            <w:tcW w:w="1276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9701D" w:rsidRPr="00354F81" w:rsidTr="00B01C48">
        <w:trPr>
          <w:gridAfter w:val="1"/>
          <w:wAfter w:w="11" w:type="dxa"/>
          <w:trHeight w:val="567"/>
          <w:jc w:val="center"/>
        </w:trPr>
        <w:tc>
          <w:tcPr>
            <w:tcW w:w="2552" w:type="dxa"/>
            <w:vAlign w:val="center"/>
          </w:tcPr>
          <w:p w:rsidR="0039701D" w:rsidRPr="00354F81" w:rsidRDefault="0039701D" w:rsidP="0039701D">
            <w:pPr>
              <w:spacing w:line="480" w:lineRule="auto"/>
              <w:ind w:leftChars="100" w:left="21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Bulbar</w:t>
            </w:r>
          </w:p>
        </w:tc>
        <w:tc>
          <w:tcPr>
            <w:tcW w:w="1701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3.74 (1.58-8.86)</w:t>
            </w:r>
          </w:p>
        </w:tc>
        <w:tc>
          <w:tcPr>
            <w:tcW w:w="1276" w:type="dxa"/>
            <w:vAlign w:val="center"/>
          </w:tcPr>
          <w:p w:rsidR="0039701D" w:rsidRPr="002A066D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2A066D">
              <w:rPr>
                <w:rFonts w:ascii="Calibri" w:hAnsi="Calibri" w:cs="Calibri"/>
                <w:b/>
                <w:sz w:val="20"/>
                <w:szCs w:val="20"/>
              </w:rPr>
              <w:t>0.003</w:t>
            </w:r>
          </w:p>
        </w:tc>
        <w:tc>
          <w:tcPr>
            <w:tcW w:w="1842" w:type="dxa"/>
            <w:gridSpan w:val="2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10.31 (1.70-62.54)</w:t>
            </w:r>
          </w:p>
        </w:tc>
        <w:tc>
          <w:tcPr>
            <w:tcW w:w="1294" w:type="dxa"/>
            <w:vAlign w:val="center"/>
          </w:tcPr>
          <w:p w:rsidR="0039701D" w:rsidRPr="002A066D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2A066D">
              <w:rPr>
                <w:rFonts w:ascii="Calibri" w:hAnsi="Calibri" w:cs="Calibri"/>
                <w:b/>
                <w:sz w:val="20"/>
                <w:szCs w:val="20"/>
              </w:rPr>
              <w:t>0.01</w:t>
            </w:r>
          </w:p>
        </w:tc>
      </w:tr>
      <w:tr w:rsidR="0039701D" w:rsidRPr="00354F81" w:rsidTr="00B01C48">
        <w:trPr>
          <w:gridAfter w:val="1"/>
          <w:wAfter w:w="11" w:type="dxa"/>
          <w:trHeight w:val="567"/>
          <w:jc w:val="center"/>
        </w:trPr>
        <w:tc>
          <w:tcPr>
            <w:tcW w:w="2552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 xml:space="preserve">Diagnostic delay (months) </w:t>
            </w:r>
          </w:p>
        </w:tc>
        <w:tc>
          <w:tcPr>
            <w:tcW w:w="1701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0.93 (0.90-0.96)</w:t>
            </w:r>
          </w:p>
        </w:tc>
        <w:tc>
          <w:tcPr>
            <w:tcW w:w="1276" w:type="dxa"/>
            <w:vAlign w:val="center"/>
          </w:tcPr>
          <w:p w:rsidR="0039701D" w:rsidRPr="002A066D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2A066D">
              <w:rPr>
                <w:rFonts w:ascii="Calibri" w:hAnsi="Calibri" w:cs="Calibri"/>
                <w:b/>
                <w:sz w:val="20"/>
                <w:szCs w:val="20"/>
              </w:rPr>
              <w:t>&lt;0.001</w:t>
            </w:r>
          </w:p>
        </w:tc>
        <w:tc>
          <w:tcPr>
            <w:tcW w:w="1842" w:type="dxa"/>
            <w:gridSpan w:val="2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  <w:tc>
          <w:tcPr>
            <w:tcW w:w="1294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9701D" w:rsidRPr="00354F81" w:rsidTr="00B01C48">
        <w:trPr>
          <w:gridAfter w:val="1"/>
          <w:wAfter w:w="11" w:type="dxa"/>
          <w:trHeight w:val="567"/>
          <w:jc w:val="center"/>
        </w:trPr>
        <w:tc>
          <w:tcPr>
            <w:tcW w:w="2552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BMI (kg/m</w:t>
            </w:r>
            <w:r w:rsidRPr="00354F81">
              <w:rPr>
                <w:rFonts w:ascii="Calibri" w:hAnsi="Calibri" w:cs="Calibri"/>
                <w:sz w:val="20"/>
                <w:szCs w:val="20"/>
                <w:vertAlign w:val="superscript"/>
              </w:rPr>
              <w:t>2</w:t>
            </w:r>
            <w:r w:rsidRPr="00354F81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1701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0.96 (0.87-1.05)</w:t>
            </w:r>
          </w:p>
        </w:tc>
        <w:tc>
          <w:tcPr>
            <w:tcW w:w="1276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0.34</w:t>
            </w:r>
          </w:p>
        </w:tc>
        <w:tc>
          <w:tcPr>
            <w:tcW w:w="1842" w:type="dxa"/>
            <w:gridSpan w:val="2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  <w:tc>
          <w:tcPr>
            <w:tcW w:w="1294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9701D" w:rsidRPr="00354F81" w:rsidTr="00B01C48">
        <w:trPr>
          <w:gridAfter w:val="1"/>
          <w:wAfter w:w="11" w:type="dxa"/>
          <w:trHeight w:val="567"/>
          <w:jc w:val="center"/>
        </w:trPr>
        <w:tc>
          <w:tcPr>
            <w:tcW w:w="2552" w:type="dxa"/>
            <w:vAlign w:val="center"/>
          </w:tcPr>
          <w:p w:rsidR="0039701D" w:rsidRPr="00354F81" w:rsidRDefault="0039701D" w:rsidP="0039701D">
            <w:pPr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Early progression rate (point/month)</w:t>
            </w:r>
          </w:p>
        </w:tc>
        <w:tc>
          <w:tcPr>
            <w:tcW w:w="1701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1.15 (1.04-1.27)</w:t>
            </w:r>
          </w:p>
        </w:tc>
        <w:tc>
          <w:tcPr>
            <w:tcW w:w="1276" w:type="dxa"/>
            <w:vAlign w:val="center"/>
          </w:tcPr>
          <w:p w:rsidR="0039701D" w:rsidRPr="002A066D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2A066D">
              <w:rPr>
                <w:rFonts w:ascii="Calibri" w:hAnsi="Calibri" w:cs="Calibri"/>
                <w:b/>
                <w:sz w:val="20"/>
                <w:szCs w:val="20"/>
              </w:rPr>
              <w:t>0.009</w:t>
            </w:r>
          </w:p>
        </w:tc>
        <w:tc>
          <w:tcPr>
            <w:tcW w:w="1842" w:type="dxa"/>
            <w:gridSpan w:val="2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  <w:tc>
          <w:tcPr>
            <w:tcW w:w="1294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</w:tr>
      <w:tr w:rsidR="0039701D" w:rsidRPr="00354F81" w:rsidTr="00B01C48">
        <w:trPr>
          <w:gridAfter w:val="1"/>
          <w:wAfter w:w="11" w:type="dxa"/>
          <w:trHeight w:val="567"/>
          <w:jc w:val="center"/>
        </w:trPr>
        <w:tc>
          <w:tcPr>
            <w:tcW w:w="2552" w:type="dxa"/>
            <w:vAlign w:val="center"/>
          </w:tcPr>
          <w:p w:rsidR="0039701D" w:rsidRPr="00354F81" w:rsidRDefault="0039701D" w:rsidP="0039701D">
            <w:pPr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Late progression rate (point/month)</w:t>
            </w:r>
          </w:p>
        </w:tc>
        <w:tc>
          <w:tcPr>
            <w:tcW w:w="1701" w:type="dxa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2.77 (1.64-4.67)</w:t>
            </w:r>
          </w:p>
        </w:tc>
        <w:tc>
          <w:tcPr>
            <w:tcW w:w="1276" w:type="dxa"/>
            <w:vAlign w:val="center"/>
          </w:tcPr>
          <w:p w:rsidR="0039701D" w:rsidRPr="002A066D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2A066D">
              <w:rPr>
                <w:rFonts w:ascii="Calibri" w:hAnsi="Calibri" w:cs="Calibri"/>
                <w:b/>
                <w:sz w:val="20"/>
                <w:szCs w:val="20"/>
              </w:rPr>
              <w:t>&lt;0.001</w:t>
            </w:r>
          </w:p>
        </w:tc>
        <w:tc>
          <w:tcPr>
            <w:tcW w:w="1842" w:type="dxa"/>
            <w:gridSpan w:val="2"/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2.42 (1.36-4.28)</w:t>
            </w:r>
          </w:p>
        </w:tc>
        <w:tc>
          <w:tcPr>
            <w:tcW w:w="1294" w:type="dxa"/>
            <w:vAlign w:val="center"/>
          </w:tcPr>
          <w:p w:rsidR="0039701D" w:rsidRPr="002A066D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2A066D">
              <w:rPr>
                <w:rFonts w:ascii="Calibri" w:hAnsi="Calibri" w:cs="Calibri"/>
                <w:b/>
                <w:sz w:val="20"/>
                <w:szCs w:val="20"/>
              </w:rPr>
              <w:t>0.003</w:t>
            </w:r>
          </w:p>
        </w:tc>
      </w:tr>
      <w:tr w:rsidR="0039701D" w:rsidRPr="00354F81" w:rsidTr="00B01C48">
        <w:trPr>
          <w:gridAfter w:val="1"/>
          <w:wAfter w:w="11" w:type="dxa"/>
          <w:trHeight w:val="567"/>
          <w:jc w:val="center"/>
        </w:trPr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:rsidR="0039701D" w:rsidRPr="00354F81" w:rsidRDefault="0039701D" w:rsidP="0039701D">
            <w:pPr>
              <w:spacing w:line="48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354F81">
              <w:rPr>
                <w:rFonts w:ascii="Calibri" w:hAnsi="Calibri" w:cs="Calibri"/>
                <w:sz w:val="20"/>
                <w:szCs w:val="20"/>
              </w:rPr>
              <w:t>riluzole</w:t>
            </w:r>
            <w:proofErr w:type="spellEnd"/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1.00 (0.52-1.90)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1.00</w:t>
            </w:r>
          </w:p>
        </w:tc>
        <w:tc>
          <w:tcPr>
            <w:tcW w:w="1842" w:type="dxa"/>
            <w:gridSpan w:val="2"/>
            <w:tcBorders>
              <w:bottom w:val="single" w:sz="4" w:space="0" w:color="auto"/>
            </w:tcBorders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:rsidR="0039701D" w:rsidRPr="00354F81" w:rsidRDefault="0039701D" w:rsidP="0039701D">
            <w:pPr>
              <w:spacing w:line="48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4F81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</w:tr>
    </w:tbl>
    <w:p w:rsidR="006F6955" w:rsidRPr="00354F81" w:rsidRDefault="006F6955" w:rsidP="00F972A9">
      <w:pPr>
        <w:spacing w:line="480" w:lineRule="auto"/>
        <w:rPr>
          <w:rFonts w:ascii="Calibri" w:hAnsi="Calibri" w:cs="Calibri"/>
        </w:rPr>
      </w:pPr>
    </w:p>
    <w:sectPr w:rsidR="006F6955" w:rsidRPr="00354F81" w:rsidSect="00197746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72D0" w:rsidRDefault="00D772D0" w:rsidP="00D772D0">
      <w:r>
        <w:separator/>
      </w:r>
    </w:p>
  </w:endnote>
  <w:endnote w:type="continuationSeparator" w:id="0">
    <w:p w:rsidR="00D772D0" w:rsidRDefault="00D772D0" w:rsidP="00D772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72D0" w:rsidRDefault="00D772D0" w:rsidP="00D772D0">
      <w:r>
        <w:separator/>
      </w:r>
    </w:p>
  </w:footnote>
  <w:footnote w:type="continuationSeparator" w:id="0">
    <w:p w:rsidR="00D772D0" w:rsidRDefault="00D772D0" w:rsidP="00D772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NE.Ref{1389D973-990A-49DE-9E5D-E0756AA9E24A}" w:val=" ADDIN NE.Ref.{1389D973-990A-49DE-9E5D-E0756AA9E24A}&lt;Citation&gt;&lt;Group&gt;&lt;References&gt;&lt;Item&gt;&lt;ID&gt;199&lt;/ID&gt;&lt;UID&gt;{F1CF08B3-A3FA-4AF5-BC4A-2B127C32C170}&lt;/UID&gt;&lt;Title&gt;Natural history and clinical features of sporadic amyotrophic lateral sclerosis in China&lt;/Title&gt;&lt;Template&gt;Journal Article&lt;/Template&gt;&lt;Star&gt;0&lt;/Star&gt;&lt;Tag&gt;0&lt;/Tag&gt;&lt;Author&gt;Chen, Lu; Zhang, Bin; Chen, Ru; Tang, Lu; Liu, Rong; Yang, Yan; Yang, Yi; Liu, Xiaolu; Ye, Shan; Zhan, Siyan; Fan, Dongsheng&lt;/Author&gt;&lt;Year&gt;2015&lt;/Year&gt;&lt;Details&gt;&lt;_accessed&gt;61115995&lt;/_accessed&gt;&lt;_created&gt;61115992&lt;/_created&gt;&lt;_db_updated&gt;CrossRef&lt;/_db_updated&gt;&lt;_doi&gt;10.1136/jnnp-2015-310471&lt;/_doi&gt;&lt;_impact_factor&gt;   8.234&lt;/_impact_factor&gt;&lt;_isbn&gt;0022-3050&lt;/_isbn&gt;&lt;_issue&gt;10&lt;/_issue&gt;&lt;_journal&gt;Journal of Neurology, Neurosurgery &amp;amp; Psychiatry&lt;/_journal&gt;&lt;_modified&gt;63839504&lt;/_modified&gt;&lt;_pages&gt;1075-1081&lt;/_pages&gt;&lt;_tertiary_title&gt;J Neurol Neurosurg Psychiatry&lt;/_tertiary_title&gt;&lt;_url&gt;http://jnnp.bmj.com/lookup/doi/10.1136/jnnp-2015-310471&lt;/_url&gt;&lt;_volume&gt;86&lt;/_volume&gt;&lt;/Details&gt;&lt;Extra&gt;&lt;DBUID&gt;{2E209891-AC2E-403C-9D53-6D71EE88D4FF}&lt;/DBUID&gt;&lt;/Extra&gt;&lt;/Item&gt;&lt;/References&gt;&lt;/Group&gt;&lt;/Citation&gt;_x000A_"/>
    <w:docVar w:name="NE.Ref{209FC057-7CA8-4F1A-86B2-A40A3DD27D1C}" w:val=" ADDIN NE.Ref.{209FC057-7CA8-4F1A-86B2-A40A3DD27D1C}&lt;Citation&gt;&lt;Group&gt;&lt;References&gt;&lt;Item&gt;&lt;ID&gt;732&lt;/ID&gt;&lt;UID&gt;{AFC2FB54-D04D-4108-8DD6-BCB1260C0A7E}&lt;/UID&gt;&lt;Title&gt;Prognostic factors in ALS: a comparison between Germany and China&lt;/Title&gt;&lt;Template&gt;Journal Article&lt;/Template&gt;&lt;Star&gt;0&lt;/Star&gt;&lt;Tag&gt;0&lt;/Tag&gt;&lt;Author&gt;Dorst, Johannes; Chen, Lu; Rosenbohm, Angela; Dreyhaupt, Jens; Hübers, Annemarie; Schuster, Joachim; Weishaupt, Jochen H; Kassubek, Jan; Gess, Burkhard; Meyer, Thomas; Weyen, Ute; Hermann, Andreas; Winkler, Jürgen; Grehl, Torsten; Hagenacker, Tim; Lingor, Paul; Koch, Jan C; Sperfeld, Anne; Petri, Susanne; Großkreutz, Julian; Metelmann, Moritz; Wolf, Joachim; Winkler, Andrea S; Klopstock, Thomas; Boentert, Matthias; Johannesen, Siw; Storch, Alexander; Schrank, Bertold; Zeller, Daniel; Liu, Xiao-lu; Tang, Lu; Fan, Dong-Sheng; Ludolph, Albert C&lt;/Author&gt;&lt;Year&gt;2019&lt;/Year&gt;&lt;Details&gt;&lt;_accessed&gt;63458634&lt;/_accessed&gt;&lt;_collection_scope&gt;SCI;SCIE&lt;/_collection_scope&gt;&lt;_created&gt;63458634&lt;/_created&gt;&lt;_db_updated&gt;CrossRef&lt;/_db_updated&gt;&lt;_doi&gt;10.1007/s00415-019-09290-4&lt;/_doi&gt;&lt;_impact_factor&gt;   3.956&lt;/_impact_factor&gt;&lt;_isbn&gt;0340-5354&lt;/_isbn&gt;&lt;_issue&gt;6&lt;/_issue&gt;&lt;_journal&gt;Journal of Neurology&lt;/_journal&gt;&lt;_modified&gt;63486117&lt;/_modified&gt;&lt;_pages&gt;1516-1525&lt;/_pages&gt;&lt;_tertiary_title&gt;J Neurol&lt;/_tertiary_title&gt;&lt;_url&gt;http://link.springer.com/10.1007/s00415-019-09290-4_x000D__x000A_http://link.springer.com/content/pdf/10.1007/s00415-019-09290-4.pdf&lt;/_url&gt;&lt;_volume&gt;266&lt;/_volume&gt;&lt;/Details&gt;&lt;Extra&gt;&lt;DBUID&gt;{2E209891-AC2E-403C-9D53-6D71EE88D4FF}&lt;/DBUID&gt;&lt;/Extra&gt;&lt;/Item&gt;&lt;/References&gt;&lt;/Group&gt;&lt;/Citation&gt;_x000A_"/>
    <w:docVar w:name="NE.Ref{3B0519CF-2878-439B-9054-6517783D5B09}" w:val=" ADDIN NE.Ref.{3B0519CF-2878-439B-9054-6517783D5B09}&lt;Citation&gt;&lt;Group&gt;&lt;References&gt;&lt;Item&gt;&lt;ID&gt;759&lt;/ID&gt;&lt;UID&gt;{CAAC2D94-9106-4847-82BC-FDCB91E3C4C5}&lt;/UID&gt;&lt;Title&gt;The ALSFRS-R: a revised ALS functional rating scale that incorporates assessments of respiratory function. BDNF ALS Study Group (Phase III).&lt;/Title&gt;&lt;Template&gt;Journal Article&lt;/Template&gt;&lt;Star&gt;0&lt;/Star&gt;&lt;Tag&gt;0&lt;/Tag&gt;&lt;Author&gt;Cedarbaum, J M; Stambler, N; Malta, E; Fuller, C; Hilt, D; Thurmond, B; Nakanishi, A&lt;/Author&gt;&lt;Year&gt;1999&lt;/Year&gt;&lt;Details&gt;&lt;_accessed&gt;63839518&lt;/_accessed&gt;&lt;_created&gt;63839518&lt;/_created&gt;&lt;_journal&gt; J Neurol Sci &lt;/_journal&gt;&lt;_modified&gt;63839519&lt;/_modified&gt;&lt;_pages&gt;13-21&lt;/_pages&gt;&lt;_volume&gt;169&lt;/_volume&gt;&lt;/Details&gt;&lt;Extra&gt;&lt;DBUID&gt;{2E209891-AC2E-403C-9D53-6D71EE88D4FF}&lt;/DBUID&gt;&lt;/Extra&gt;&lt;/Item&gt;&lt;/References&gt;&lt;/Group&gt;&lt;/Citation&gt;_x000A_"/>
    <w:docVar w:name="NE.Ref{4772F389-DDF9-49A9-8241-50EE41B41330}" w:val=" ADDIN NE.Ref.{4772F389-DDF9-49A9-8241-50EE41B41330}&lt;Citation&gt;&lt;Group&gt;&lt;References&gt;&lt;Item&gt;&lt;ID&gt;286&lt;/ID&gt;&lt;UID&gt;{3A6A6534-1A1C-4C91-85FA-E1E9C5EACD2C}&lt;/UID&gt;&lt;Title&gt;El Escorial revisited: revised criteria for the diagnosis of amyotrophic lateral sclerosis&lt;/Title&gt;&lt;Template&gt;Journal Article&lt;/Template&gt;&lt;Star&gt;0&lt;/Star&gt;&lt;Tag&gt;0&lt;/Tag&gt;&lt;Author&gt;Brooks, BR; Miller, RG; Swash, M; Munsat, TL; Diseases., World Federation Of Neurology&lt;/Author&gt;&lt;Year&gt;2000&lt;/Year&gt;&lt;Details&gt;&lt;_accessed&gt;63485995&lt;/_accessed&gt;&lt;_collection_scope&gt;SCIE;&lt;/_collection_scope&gt;&lt;_created&gt;61251328&lt;/_created&gt;&lt;_impact_factor&gt;   3.286&lt;/_impact_factor&gt;&lt;_journal&gt;Amyotroph Lateral Scler Other Motor Neuron Disord&lt;/_journal&gt;&lt;_modified&gt;63485995&lt;/_modified&gt;&lt;_pages&gt;293-9&lt;/_pages&gt;&lt;_volume&gt;1&lt;/_volume&gt;&lt;/Details&gt;&lt;Extra&gt;&lt;DBUID&gt;{2E209891-AC2E-403C-9D53-6D71EE88D4FF}&lt;/DBUID&gt;&lt;/Extra&gt;&lt;/Item&gt;&lt;/References&gt;&lt;/Group&gt;&lt;/Citation&gt;_x000A_"/>
    <w:docVar w:name="NE.Ref{4B28A692-374E-4AB4-B60B-BEC62E9E216C}" w:val=" ADDIN NE.Ref.{4B28A692-374E-4AB4-B60B-BEC62E9E216C}&lt;Citation&gt;&lt;Group&gt;&lt;References&gt;&lt;Item&gt;&lt;ID&gt;631&lt;/ID&gt;&lt;UID&gt;{36965C8C-DE27-4BB3-81E2-59F3118B3FBE}&lt;/UID&gt;&lt;Title&gt;Better survival in female SOD1-mutant patients with ALS: a study of SOD1-related natural history&lt;/Title&gt;&lt;Template&gt;Journal Article&lt;/Template&gt;&lt;Star&gt;0&lt;/Star&gt;&lt;Tag&gt;0&lt;/Tag&gt;&lt;Author&gt;Tang, Lu; Ma, Yan; Liu, Xiao-lu; Chen, Lu; Fan, Dong-sheng&lt;/Author&gt;&lt;Year&gt;2019&lt;/Year&gt;&lt;Details&gt;&lt;_accessed&gt;62972388&lt;/_accessed&gt;&lt;_collection_scope&gt;SCIE&lt;/_collection_scope&gt;&lt;_created&gt;62972387&lt;/_created&gt;&lt;_db_updated&gt;CrossRef&lt;/_db_updated&gt;&lt;_doi&gt;10.1186/s40035-018-0142-8&lt;/_doi&gt;&lt;_impact_factor&gt;   5.551&lt;/_impact_factor&gt;&lt;_isbn&gt;2047-9158&lt;/_isbn&gt;&lt;_issue&gt;1&lt;/_issue&gt;&lt;_journal&gt;Translational Neurodegeneration&lt;/_journal&gt;&lt;_modified&gt;63460815&lt;/_modified&gt;&lt;_tertiary_title&gt;Transl Neurodegener&lt;/_tertiary_title&gt;&lt;_url&gt;https://translationalneurodegeneration.biomedcentral.com/articles/10.1186/s40035-018-0142-8_x000D__x000A_http://link.springer.com/content/pdf/10.1186/s40035-018-0142-8.pdf&lt;/_url&gt;&lt;_volume&gt;8&lt;/_volume&gt;&lt;/Details&gt;&lt;Extra&gt;&lt;DBUID&gt;{2E209891-AC2E-403C-9D53-6D71EE88D4FF}&lt;/DBUID&gt;&lt;/Extra&gt;&lt;/Item&gt;&lt;/References&gt;&lt;/Group&gt;&lt;/Citation&gt;_x000A_"/>
    <w:docVar w:name="NE.Ref{57BB1E34-0866-4EC5-A4A6-167154EA565C}" w:val=" ADDIN NE.Ref.{57BB1E34-0866-4EC5-A4A6-167154EA565C} ADDIN NE.Ref.{57BB1E34-0866-4EC5-A4A6-167154EA565C}&lt;Citation&gt;&lt;Group&gt;&lt;References&gt;&lt;Item&gt;&lt;ID&gt;199&lt;/ID&gt;&lt;UID&gt;{F1CF08B3-A3FA-4AF5-BC4A-2B127C32C170}&lt;/UID&gt;&lt;Title&gt;Natural history and clinical features of sporadic amyotrophic lateral sclerosis in China&lt;/Title&gt;&lt;Template&gt;Journal Article&lt;/Template&gt;&lt;Star&gt;0&lt;/Star&gt;&lt;Tag&gt;0&lt;/Tag&gt;&lt;Author&gt;Chen, Lu; Zhang, Bin; Chen, Ru; Tang, Lu; Liu, Rong; Yang, Yan; Yang, Yi; Liu, Xiaolu; Ye, Shan; Zhan, Siyan; Fan, Dongsheng&lt;/Author&gt;&lt;Year&gt;2015&lt;/Year&gt;&lt;Details&gt;&lt;_accessed&gt;61115995&lt;/_accessed&gt;&lt;_created&gt;61115992&lt;/_created&gt;&lt;_db_updated&gt;CrossRef&lt;/_db_updated&gt;&lt;_doi&gt;10.1136/jnnp-2015-310471&lt;/_doi&gt;&lt;_impact_factor&gt;   8.234&lt;/_impact_factor&gt;&lt;_isbn&gt;0022-3050&lt;/_isbn&gt;&lt;_issue&gt;10&lt;/_issue&gt;&lt;_journal&gt;Journal of Neurology, Neurosurgery &amp;amp; Psychiatry&lt;/_journal&gt;&lt;_modified&gt;63839504&lt;/_modified&gt;&lt;_pages&gt;1075-1081&lt;/_pages&gt;&lt;_tertiary_title&gt;J Neurol Neurosurg Psychiatry&lt;/_tertiary_title&gt;&lt;_url&gt;http://jnnp.bmj.com/lookup/doi/10.1136/jnnp-2015-310471&lt;/_url&gt;&lt;_volume&gt;86&lt;/_volume&gt;&lt;/Details&gt;&lt;Extra&gt;&lt;DBUID&gt;{2E209891-AC2E-403C-9D53-6D71EE88D4FF}&lt;/DBUID&gt;&lt;/Extra&gt;&lt;/Item&gt;&lt;/References&gt;&lt;/Group&gt;&lt;/Citation&gt;_x000A_"/>
    <w:docVar w:name="NE.Ref{749832C7-3C47-48ED-B164-240D03F0BCBA}" w:val=" ADDIN NE.Ref.{749832C7-3C47-48ED-B164-240D03F0BCBA}&lt;Citation&gt;&lt;Group&gt;&lt;References&gt;&lt;Item&gt;&lt;ID&gt;631&lt;/ID&gt;&lt;UID&gt;{36965C8C-DE27-4BB3-81E2-59F3118B3FBE}&lt;/UID&gt;&lt;Title&gt;Better survival in female SOD1-mutant patients with ALS: a study of SOD1-related natural history&lt;/Title&gt;&lt;Template&gt;Journal Article&lt;/Template&gt;&lt;Star&gt;0&lt;/Star&gt;&lt;Tag&gt;0&lt;/Tag&gt;&lt;Author&gt;Tang, Lu; Ma, Yan; Liu, Xiao-lu; Chen, Lu; Fan, Dong-sheng&lt;/Author&gt;&lt;Year&gt;2019&lt;/Year&gt;&lt;Details&gt;&lt;_accessed&gt;62972388&lt;/_accessed&gt;&lt;_collection_scope&gt;SCIE&lt;/_collection_scope&gt;&lt;_created&gt;62972387&lt;/_created&gt;&lt;_db_updated&gt;CrossRef&lt;/_db_updated&gt;&lt;_doi&gt;10.1186/s40035-018-0142-8&lt;/_doi&gt;&lt;_impact_factor&gt;   5.551&lt;/_impact_factor&gt;&lt;_isbn&gt;2047-9158&lt;/_isbn&gt;&lt;_issue&gt;1&lt;/_issue&gt;&lt;_journal&gt;Translational Neurodegeneration&lt;/_journal&gt;&lt;_modified&gt;63460815&lt;/_modified&gt;&lt;_tertiary_title&gt;Transl Neurodegener&lt;/_tertiary_title&gt;&lt;_url&gt;https://translationalneurodegeneration.biomedcentral.com/articles/10.1186/s40035-018-0142-8_x000D__x000A_http://link.springer.com/content/pdf/10.1186/s40035-018-0142-8.pdf&lt;/_url&gt;&lt;_volume&gt;8&lt;/_volume&gt;&lt;/Details&gt;&lt;Extra&gt;&lt;DBUID&gt;{2E209891-AC2E-403C-9D53-6D71EE88D4FF}&lt;/DBUID&gt;&lt;/Extra&gt;&lt;/Item&gt;&lt;/References&gt;&lt;/Group&gt;&lt;/Citation&gt;_x000A_"/>
    <w:docVar w:name="NE.Ref{9B42D11A-94C6-409F-91BB-3E87530F183A}" w:val=" ADDIN NE.Ref.{9B42D11A-94C6-409F-91BB-3E87530F183A}&lt;Citation&gt;&lt;Group&gt;&lt;References&gt;&lt;Item&gt;&lt;ID&gt;758&lt;/ID&gt;&lt;UID&gt;{8A63575C-4BB2-4BEA-A6C4-9B6299850FEA}&lt;/UID&gt;&lt;Title&gt;Standards and guidelines for the interpretation of sequence variants: a joint consensus recommendation of the American College of Medical Genetics and Genomics and the Association for Molecular Pathology&lt;/Title&gt;&lt;Template&gt;Journal Article&lt;/Template&gt;&lt;Star&gt;0&lt;/Star&gt;&lt;Tag&gt;0&lt;/Tag&gt;&lt;Author&gt;Richards, Sue; Aziz, Nazneen; Bale, Sherri; Bick, David; Das, Soma; Gastier-Foster, Julie; Grody, Wayne W; Hegde, Madhuri; Lyon, Elaine; Spector, Elaine; Voelkerding, Karl; Rehm, Heidi L; Committee, ACMG Laboratory Quality Assurance&lt;/Author&gt;&lt;Year&gt;2015&lt;/Year&gt;&lt;Details&gt;&lt;_accessed&gt;63839513&lt;/_accessed&gt;&lt;_collection_scope&gt;SCIE&lt;/_collection_scope&gt;&lt;_created&gt;63839513&lt;/_created&gt;&lt;_impact_factor&gt;   8.904&lt;/_impact_factor&gt;&lt;_issue&gt;5&lt;/_issue&gt;&lt;_journal&gt;Genet Med&lt;/_journal&gt;&lt;_modified&gt;63839513&lt;/_modified&gt;&lt;_pages&gt;405-24&lt;/_pages&gt;&lt;_volume&gt;17&lt;/_volume&gt;&lt;/Details&gt;&lt;Extra&gt;&lt;DBUID&gt;{2E209891-AC2E-403C-9D53-6D71EE88D4FF}&lt;/DBUID&gt;&lt;/Extra&gt;&lt;/Item&gt;&lt;/References&gt;&lt;/Group&gt;&lt;/Citation&gt;_x000A_"/>
    <w:docVar w:name="NE.Ref{F748AAC9-BD60-47EC-B8F9-D97F78C27A79}" w:val=" ADDIN NE.Ref.{F748AAC9-BD60-47EC-B8F9-D97F78C27A79}&lt;Citation&gt;&lt;Group&gt;&lt;References&gt;&lt;Item&gt;&lt;ID&gt;631&lt;/ID&gt;&lt;UID&gt;{36965C8C-DE27-4BB3-81E2-59F3118B3FBE}&lt;/UID&gt;&lt;Title&gt;Better survival in female SOD1-mutant patients with ALS: a study of SOD1-related natural history&lt;/Title&gt;&lt;Template&gt;Journal Article&lt;/Template&gt;&lt;Star&gt;0&lt;/Star&gt;&lt;Tag&gt;0&lt;/Tag&gt;&lt;Author&gt;Tang, Lu; Ma, Yan; Liu, Xiao-lu; Chen, Lu; Fan, Dong-sheng&lt;/Author&gt;&lt;Year&gt;2019&lt;/Year&gt;&lt;Details&gt;&lt;_accessed&gt;62972388&lt;/_accessed&gt;&lt;_collection_scope&gt;SCIE&lt;/_collection_scope&gt;&lt;_created&gt;62972387&lt;/_created&gt;&lt;_db_updated&gt;CrossRef&lt;/_db_updated&gt;&lt;_doi&gt;10.1186/s40035-018-0142-8&lt;/_doi&gt;&lt;_impact_factor&gt;   5.551&lt;/_impact_factor&gt;&lt;_isbn&gt;2047-9158&lt;/_isbn&gt;&lt;_issue&gt;1&lt;/_issue&gt;&lt;_journal&gt;Translational Neurodegeneration&lt;/_journal&gt;&lt;_modified&gt;63460815&lt;/_modified&gt;&lt;_tertiary_title&gt;Transl Neurodegener&lt;/_tertiary_title&gt;&lt;_url&gt;https://translationalneurodegeneration.biomedcentral.com/articles/10.1186/s40035-018-0142-8_x000D__x000A_http://link.springer.com/content/pdf/10.1186/s40035-018-0142-8.pdf&lt;/_url&gt;&lt;_volume&gt;8&lt;/_volume&gt;&lt;/Details&gt;&lt;Extra&gt;&lt;DBUID&gt;{2E209891-AC2E-403C-9D53-6D71EE88D4FF}&lt;/DBUID&gt;&lt;/Extra&gt;&lt;/Item&gt;&lt;/References&gt;&lt;/Group&gt;&lt;/Citation&gt;_x000A_"/>
    <w:docVar w:name="ne_docsoft" w:val="MSWord"/>
    <w:docVar w:name="ne_docversion" w:val="NoteExpress 2.0"/>
    <w:docVar w:name="ne_stylename" w:val="BMC Medicine 2021"/>
  </w:docVars>
  <w:rsids>
    <w:rsidRoot w:val="002B2473"/>
    <w:rsid w:val="00197746"/>
    <w:rsid w:val="001A60F6"/>
    <w:rsid w:val="001C1F27"/>
    <w:rsid w:val="001F5F53"/>
    <w:rsid w:val="002A066D"/>
    <w:rsid w:val="002B2473"/>
    <w:rsid w:val="00315FCE"/>
    <w:rsid w:val="00343096"/>
    <w:rsid w:val="00354F81"/>
    <w:rsid w:val="00380F2B"/>
    <w:rsid w:val="0039701D"/>
    <w:rsid w:val="004F2861"/>
    <w:rsid w:val="006C1D94"/>
    <w:rsid w:val="006F6955"/>
    <w:rsid w:val="009C4F29"/>
    <w:rsid w:val="00A97978"/>
    <w:rsid w:val="00B35F7E"/>
    <w:rsid w:val="00B37105"/>
    <w:rsid w:val="00C904A9"/>
    <w:rsid w:val="00D266EB"/>
    <w:rsid w:val="00D34963"/>
    <w:rsid w:val="00D772D0"/>
    <w:rsid w:val="00E245BD"/>
    <w:rsid w:val="00F972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7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977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line number"/>
    <w:basedOn w:val="a0"/>
    <w:uiPriority w:val="99"/>
    <w:semiHidden/>
    <w:unhideWhenUsed/>
    <w:rsid w:val="00197746"/>
  </w:style>
  <w:style w:type="paragraph" w:styleId="a5">
    <w:name w:val="header"/>
    <w:basedOn w:val="a"/>
    <w:link w:val="Char"/>
    <w:uiPriority w:val="99"/>
    <w:semiHidden/>
    <w:unhideWhenUsed/>
    <w:rsid w:val="00D772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D772D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D772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D772D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578</TotalTime>
  <Pages>2</Pages>
  <Words>341</Words>
  <Characters>1946</Characters>
  <Application>Microsoft Office Word</Application>
  <DocSecurity>0</DocSecurity>
  <Lines>16</Lines>
  <Paragraphs>4</Paragraphs>
  <ScaleCrop>false</ScaleCrop>
  <Company/>
  <LinksUpToDate>false</LinksUpToDate>
  <CharactersWithSpaces>2283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 Tang</dc:creator>
  <cp:keywords/>
  <dc:description>NE.Ref</dc:description>
  <cp:lastModifiedBy>tl</cp:lastModifiedBy>
  <cp:revision>10</cp:revision>
  <dcterms:created xsi:type="dcterms:W3CDTF">2021-06-22T15:40:00Z</dcterms:created>
  <dcterms:modified xsi:type="dcterms:W3CDTF">2021-07-08T08:20:00Z</dcterms:modified>
</cp:coreProperties>
</file>