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861" w:rsidRPr="00354F81" w:rsidRDefault="000B0861" w:rsidP="000B0861">
      <w:pPr>
        <w:spacing w:line="480" w:lineRule="auto"/>
        <w:rPr>
          <w:rFonts w:ascii="Calibri" w:hAnsi="Calibri" w:cs="Calibri"/>
          <w:sz w:val="20"/>
          <w:szCs w:val="20"/>
        </w:rPr>
      </w:pPr>
      <w:proofErr w:type="gramStart"/>
      <w:r w:rsidRPr="00C904A9">
        <w:rPr>
          <w:rFonts w:ascii="Calibri" w:hAnsi="Calibri" w:cs="Calibri"/>
          <w:b/>
          <w:i/>
          <w:iCs/>
          <w:sz w:val="20"/>
          <w:szCs w:val="20"/>
        </w:rPr>
        <w:t>Supplementary Figure S1.</w:t>
      </w:r>
      <w:proofErr w:type="gramEnd"/>
      <w:r w:rsidRPr="00354F81">
        <w:rPr>
          <w:rFonts w:ascii="Calibri" w:hAnsi="Calibri" w:cs="Calibri"/>
          <w:bCs/>
          <w:sz w:val="20"/>
          <w:szCs w:val="20"/>
        </w:rPr>
        <w:t xml:space="preserve"> </w:t>
      </w:r>
      <w:proofErr w:type="gramStart"/>
      <w:r w:rsidRPr="00354F81">
        <w:rPr>
          <w:rFonts w:ascii="Calibri" w:hAnsi="Calibri" w:cs="Calibri"/>
          <w:sz w:val="20"/>
          <w:szCs w:val="20"/>
        </w:rPr>
        <w:t xml:space="preserve">Demographic and clinical features of patients carrying </w:t>
      </w:r>
      <w:r w:rsidRPr="00354F81">
        <w:rPr>
          <w:rFonts w:ascii="Calibri" w:hAnsi="Calibri" w:cs="Calibri"/>
          <w:i/>
          <w:iCs/>
          <w:sz w:val="20"/>
          <w:szCs w:val="20"/>
        </w:rPr>
        <w:t>SOD1</w:t>
      </w:r>
      <w:r w:rsidRPr="00354F81">
        <w:rPr>
          <w:rFonts w:ascii="Calibri" w:hAnsi="Calibri" w:cs="Calibri"/>
          <w:sz w:val="20"/>
          <w:szCs w:val="20"/>
        </w:rPr>
        <w:t xml:space="preserve"> mutations by </w:t>
      </w:r>
      <w:proofErr w:type="spellStart"/>
      <w:r w:rsidRPr="00354F81">
        <w:rPr>
          <w:rFonts w:ascii="Calibri" w:hAnsi="Calibri" w:cs="Calibri"/>
          <w:sz w:val="20"/>
          <w:szCs w:val="20"/>
        </w:rPr>
        <w:t>exons</w:t>
      </w:r>
      <w:proofErr w:type="spellEnd"/>
      <w:r w:rsidRPr="00354F81">
        <w:rPr>
          <w:rFonts w:ascii="Calibri" w:hAnsi="Calibri" w:cs="Calibri"/>
          <w:sz w:val="20"/>
          <w:szCs w:val="20"/>
        </w:rPr>
        <w:t>.</w:t>
      </w:r>
      <w:proofErr w:type="gramEnd"/>
      <w:r w:rsidRPr="00354F81">
        <w:rPr>
          <w:rFonts w:ascii="Calibri" w:hAnsi="Calibri" w:cs="Calibri"/>
          <w:sz w:val="20"/>
          <w:szCs w:val="20"/>
        </w:rPr>
        <w:t xml:space="preserve"> (A) </w:t>
      </w:r>
      <w:proofErr w:type="spellStart"/>
      <w:r w:rsidRPr="00354F81">
        <w:rPr>
          <w:rFonts w:ascii="Calibri" w:hAnsi="Calibri" w:cs="Calibri"/>
          <w:sz w:val="20"/>
          <w:szCs w:val="20"/>
        </w:rPr>
        <w:t>Exonal</w:t>
      </w:r>
      <w:proofErr w:type="spellEnd"/>
      <w:r w:rsidRPr="00354F81">
        <w:rPr>
          <w:rFonts w:ascii="Calibri" w:hAnsi="Calibri" w:cs="Calibri"/>
          <w:sz w:val="20"/>
          <w:szCs w:val="20"/>
        </w:rPr>
        <w:t xml:space="preserve"> distribution of patients with </w:t>
      </w:r>
      <w:r w:rsidRPr="00354F81">
        <w:rPr>
          <w:rFonts w:ascii="Calibri" w:hAnsi="Calibri" w:cs="Calibri"/>
          <w:i/>
          <w:iCs/>
          <w:sz w:val="20"/>
          <w:szCs w:val="20"/>
        </w:rPr>
        <w:t>SOD1</w:t>
      </w:r>
      <w:r w:rsidRPr="00354F81">
        <w:rPr>
          <w:rFonts w:ascii="Calibri" w:hAnsi="Calibri" w:cs="Calibri"/>
          <w:sz w:val="20"/>
          <w:szCs w:val="20"/>
        </w:rPr>
        <w:t xml:space="preserve"> mutations in China and Germany. The distribution was significantly different (p&lt;0.001). (B) Age of onset of Chinese and German patients per </w:t>
      </w:r>
      <w:proofErr w:type="spellStart"/>
      <w:r w:rsidRPr="00354F81">
        <w:rPr>
          <w:rFonts w:ascii="Calibri" w:hAnsi="Calibri" w:cs="Calibri"/>
          <w:sz w:val="20"/>
          <w:szCs w:val="20"/>
        </w:rPr>
        <w:t>exon</w:t>
      </w:r>
      <w:proofErr w:type="spellEnd"/>
      <w:r w:rsidRPr="00354F81">
        <w:rPr>
          <w:rFonts w:ascii="Calibri" w:hAnsi="Calibri" w:cs="Calibri"/>
          <w:sz w:val="20"/>
          <w:szCs w:val="20"/>
        </w:rPr>
        <w:t xml:space="preserve">, revealing a significant difference (*) in </w:t>
      </w:r>
      <w:proofErr w:type="spellStart"/>
      <w:r w:rsidRPr="00354F81">
        <w:rPr>
          <w:rFonts w:ascii="Calibri" w:hAnsi="Calibri" w:cs="Calibri"/>
          <w:sz w:val="20"/>
          <w:szCs w:val="20"/>
        </w:rPr>
        <w:t>exon</w:t>
      </w:r>
      <w:proofErr w:type="spellEnd"/>
      <w:r w:rsidRPr="00354F81">
        <w:rPr>
          <w:rFonts w:ascii="Calibri" w:hAnsi="Calibri" w:cs="Calibri"/>
          <w:sz w:val="20"/>
          <w:szCs w:val="20"/>
        </w:rPr>
        <w:t xml:space="preserve"> 4 (China: mean 37.4 years; Germany: 49.9 years, p&lt;0.001). (C) Survival curves per </w:t>
      </w:r>
      <w:proofErr w:type="spellStart"/>
      <w:r w:rsidRPr="00354F81">
        <w:rPr>
          <w:rFonts w:ascii="Calibri" w:hAnsi="Calibri" w:cs="Calibri"/>
          <w:sz w:val="20"/>
          <w:szCs w:val="20"/>
        </w:rPr>
        <w:t>exon</w:t>
      </w:r>
      <w:proofErr w:type="spellEnd"/>
      <w:r w:rsidRPr="00354F81">
        <w:rPr>
          <w:rFonts w:ascii="Calibri" w:hAnsi="Calibri" w:cs="Calibri"/>
          <w:sz w:val="20"/>
          <w:szCs w:val="20"/>
        </w:rPr>
        <w:t xml:space="preserve"> showed no significant differences (p=0.64). </w:t>
      </w:r>
    </w:p>
    <w:p w:rsidR="000B0861" w:rsidRPr="00354F81" w:rsidRDefault="000B0861" w:rsidP="000B0861">
      <w:pPr>
        <w:spacing w:line="480" w:lineRule="auto"/>
        <w:rPr>
          <w:rFonts w:ascii="Calibri" w:hAnsi="Calibri" w:cs="Calibri"/>
          <w:sz w:val="20"/>
          <w:szCs w:val="20"/>
        </w:rPr>
      </w:pPr>
    </w:p>
    <w:p w:rsidR="000B0861" w:rsidRPr="00354F81" w:rsidRDefault="000B0861" w:rsidP="000B0861">
      <w:pPr>
        <w:spacing w:line="480" w:lineRule="auto"/>
        <w:rPr>
          <w:rFonts w:ascii="Calibri" w:hAnsi="Calibri" w:cs="Calibri"/>
          <w:sz w:val="20"/>
          <w:szCs w:val="20"/>
        </w:rPr>
      </w:pPr>
      <w:proofErr w:type="gramStart"/>
      <w:r w:rsidRPr="00C904A9">
        <w:rPr>
          <w:rFonts w:ascii="Calibri" w:hAnsi="Calibri" w:cs="Calibri"/>
          <w:b/>
          <w:i/>
          <w:iCs/>
          <w:sz w:val="20"/>
          <w:szCs w:val="20"/>
        </w:rPr>
        <w:t>Supplementary Figure S2.</w:t>
      </w:r>
      <w:proofErr w:type="gramEnd"/>
      <w:r w:rsidRPr="00C904A9">
        <w:rPr>
          <w:rFonts w:ascii="Calibri" w:hAnsi="Calibri" w:cs="Calibri"/>
          <w:b/>
          <w:i/>
          <w:iCs/>
          <w:sz w:val="20"/>
          <w:szCs w:val="20"/>
        </w:rPr>
        <w:t xml:space="preserve"> </w:t>
      </w:r>
      <w:proofErr w:type="gramStart"/>
      <w:r w:rsidRPr="00354F81">
        <w:rPr>
          <w:rFonts w:ascii="Calibri" w:hAnsi="Calibri" w:cs="Calibri"/>
          <w:sz w:val="20"/>
          <w:szCs w:val="20"/>
        </w:rPr>
        <w:t>Sex and Survival.</w:t>
      </w:r>
      <w:proofErr w:type="gramEnd"/>
      <w:r w:rsidRPr="00354F81">
        <w:rPr>
          <w:rFonts w:ascii="Calibri" w:hAnsi="Calibri" w:cs="Calibri"/>
          <w:sz w:val="20"/>
          <w:szCs w:val="20"/>
        </w:rPr>
        <w:t xml:space="preserve"> </w:t>
      </w:r>
      <w:smartTag w:uri="urn:schemas-microsoft-com:office:smarttags" w:element="PersonName">
        <w:smartTag w:uri="urn:schemas:contacts" w:element="GivenName">
          <w:r w:rsidRPr="00354F81">
            <w:rPr>
              <w:rFonts w:ascii="Calibri" w:hAnsi="Calibri" w:cs="Calibri"/>
              <w:sz w:val="20"/>
              <w:szCs w:val="20"/>
            </w:rPr>
            <w:t>Kaplan</w:t>
          </w:r>
        </w:smartTag>
        <w:r w:rsidRPr="00354F81">
          <w:rPr>
            <w:rFonts w:ascii="Calibri" w:hAnsi="Calibri" w:cs="Calibri"/>
            <w:sz w:val="20"/>
            <w:szCs w:val="20"/>
          </w:rPr>
          <w:t xml:space="preserve"> </w:t>
        </w:r>
        <w:smartTag w:uri="urn:schemas:contacts" w:element="Sn">
          <w:r w:rsidRPr="00354F81">
            <w:rPr>
              <w:rFonts w:ascii="Calibri" w:hAnsi="Calibri" w:cs="Calibri"/>
              <w:sz w:val="20"/>
              <w:szCs w:val="20"/>
            </w:rPr>
            <w:t>Meier</w:t>
          </w:r>
        </w:smartTag>
      </w:smartTag>
      <w:r w:rsidRPr="00354F81">
        <w:rPr>
          <w:rFonts w:ascii="Calibri" w:hAnsi="Calibri" w:cs="Calibri"/>
          <w:sz w:val="20"/>
          <w:szCs w:val="20"/>
        </w:rPr>
        <w:t xml:space="preserve"> curves show survival for male (purple) and female (green) patients overall (A: p=0.005), in China (B: p=0.009), and Germany (C: p=0.15).</w:t>
      </w:r>
    </w:p>
    <w:p w:rsidR="000B0861" w:rsidRPr="00354F81" w:rsidRDefault="000B0861" w:rsidP="000B0861">
      <w:pPr>
        <w:spacing w:line="480" w:lineRule="auto"/>
        <w:rPr>
          <w:rFonts w:ascii="Calibri" w:hAnsi="Calibri" w:cs="Calibri"/>
          <w:sz w:val="20"/>
          <w:szCs w:val="20"/>
        </w:rPr>
      </w:pPr>
    </w:p>
    <w:p w:rsidR="000B0861" w:rsidRPr="00354F81" w:rsidRDefault="000B0861" w:rsidP="000B0861">
      <w:pPr>
        <w:spacing w:line="480" w:lineRule="auto"/>
        <w:rPr>
          <w:rFonts w:ascii="Calibri" w:hAnsi="Calibri" w:cs="Calibri"/>
        </w:rPr>
      </w:pPr>
      <w:proofErr w:type="gramStart"/>
      <w:r w:rsidRPr="00C904A9">
        <w:rPr>
          <w:rFonts w:ascii="Calibri" w:hAnsi="Calibri" w:cs="Calibri"/>
          <w:b/>
          <w:i/>
          <w:iCs/>
          <w:sz w:val="20"/>
          <w:szCs w:val="20"/>
        </w:rPr>
        <w:t>Supplementary Figure S3.</w:t>
      </w:r>
      <w:proofErr w:type="gramEnd"/>
      <w:r w:rsidRPr="00C904A9">
        <w:rPr>
          <w:rFonts w:ascii="Calibri" w:hAnsi="Calibri" w:cs="Calibri"/>
          <w:b/>
          <w:i/>
          <w:iCs/>
          <w:sz w:val="20"/>
          <w:szCs w:val="20"/>
        </w:rPr>
        <w:t xml:space="preserve"> </w:t>
      </w:r>
      <w:proofErr w:type="gramStart"/>
      <w:r w:rsidRPr="00354F81">
        <w:rPr>
          <w:rFonts w:ascii="Calibri" w:hAnsi="Calibri" w:cs="Calibri"/>
          <w:sz w:val="20"/>
          <w:szCs w:val="20"/>
        </w:rPr>
        <w:t>Prognostic factors and survival.</w:t>
      </w:r>
      <w:proofErr w:type="gramEnd"/>
      <w:r w:rsidRPr="00354F81">
        <w:rPr>
          <w:rFonts w:ascii="Calibri" w:hAnsi="Calibri" w:cs="Calibri"/>
          <w:sz w:val="20"/>
          <w:szCs w:val="20"/>
        </w:rPr>
        <w:t xml:space="preserve"> </w:t>
      </w:r>
      <w:smartTag w:uri="urn:schemas-microsoft-com:office:smarttags" w:element="PersonName">
        <w:smartTag w:uri="urn:schemas:contacts" w:element="GivenName">
          <w:r w:rsidRPr="00354F81">
            <w:rPr>
              <w:rFonts w:ascii="Calibri" w:hAnsi="Calibri" w:cs="Calibri"/>
              <w:sz w:val="20"/>
              <w:szCs w:val="20"/>
            </w:rPr>
            <w:t>Kaplan</w:t>
          </w:r>
        </w:smartTag>
        <w:r w:rsidRPr="00354F81">
          <w:rPr>
            <w:rFonts w:ascii="Calibri" w:hAnsi="Calibri" w:cs="Calibri"/>
            <w:sz w:val="20"/>
            <w:szCs w:val="20"/>
          </w:rPr>
          <w:t xml:space="preserve"> </w:t>
        </w:r>
        <w:smartTag w:uri="urn:schemas:contacts" w:element="Sn">
          <w:r w:rsidRPr="00354F81">
            <w:rPr>
              <w:rFonts w:ascii="Calibri" w:hAnsi="Calibri" w:cs="Calibri"/>
              <w:sz w:val="20"/>
              <w:szCs w:val="20"/>
            </w:rPr>
            <w:t>Meier</w:t>
          </w:r>
        </w:smartTag>
      </w:smartTag>
      <w:r w:rsidRPr="00354F81">
        <w:rPr>
          <w:rFonts w:ascii="Calibri" w:hAnsi="Calibri" w:cs="Calibri"/>
          <w:sz w:val="20"/>
          <w:szCs w:val="20"/>
        </w:rPr>
        <w:t xml:space="preserve"> curves show the effect of age of onset (A, p=0.33), BMI at diagnosis (B, p=0.97), site of onset (C, p=0.001), and clinical phenotype (D, p=0.15) on survival. LMN = lower motor neuron.</w:t>
      </w:r>
    </w:p>
    <w:p w:rsidR="00D62FBA" w:rsidRPr="000B0861" w:rsidRDefault="00D62FBA" w:rsidP="000B0861"/>
    <w:sectPr w:rsidR="00D62FBA" w:rsidRPr="000B0861" w:rsidSect="00197746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7CA4" w:rsidRDefault="00E67CA4" w:rsidP="00E67CA4">
      <w:r>
        <w:separator/>
      </w:r>
    </w:p>
  </w:endnote>
  <w:endnote w:type="continuationSeparator" w:id="0">
    <w:p w:rsidR="00E67CA4" w:rsidRDefault="00E67CA4" w:rsidP="00E67C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7CA4" w:rsidRDefault="00E67CA4" w:rsidP="00E67CA4">
      <w:r>
        <w:separator/>
      </w:r>
    </w:p>
  </w:footnote>
  <w:footnote w:type="continuationSeparator" w:id="0">
    <w:p w:rsidR="00E67CA4" w:rsidRDefault="00E67CA4" w:rsidP="00E67C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7CA4"/>
    <w:rsid w:val="000B0861"/>
    <w:rsid w:val="00166448"/>
    <w:rsid w:val="00347A1B"/>
    <w:rsid w:val="003656DD"/>
    <w:rsid w:val="00365A78"/>
    <w:rsid w:val="006749AB"/>
    <w:rsid w:val="00C05F54"/>
    <w:rsid w:val="00D62FBA"/>
    <w:rsid w:val="00E67C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:contacts" w:name="Sn"/>
  <w:smartTagType w:namespaceuri="urn:schemas:contacts" w:name="GivenName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8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7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7C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7C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7CA4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0B08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tl</dc:creator>
  <cp:keywords/>
  <dc:description/>
  <cp:lastModifiedBy>tl</cp:lastModifiedBy>
  <cp:revision>4</cp:revision>
  <dcterms:created xsi:type="dcterms:W3CDTF">2021-07-08T08:16:00Z</dcterms:created>
  <dcterms:modified xsi:type="dcterms:W3CDTF">2021-07-08T08:20:00Z</dcterms:modified>
</cp:coreProperties>
</file>