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19FA62">
      <w:pPr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</w:rPr>
        <w:t>Supplementary Materials</w:t>
      </w:r>
    </w:p>
    <w:p w14:paraId="7000FB4E">
      <w:pPr>
        <w:rPr>
          <w:rFonts w:ascii="Times New Roman" w:hAnsi="Times New Roman" w:cs="Times New Roman"/>
          <w:b/>
          <w:bCs/>
          <w:sz w:val="22"/>
          <w:szCs w:val="28"/>
        </w:rPr>
      </w:pPr>
    </w:p>
    <w:p w14:paraId="09F5613F">
      <w:pPr>
        <w:rPr>
          <w:rFonts w:ascii="Times New Roman" w:hAnsi="Times New Roman" w:cs="Times New Roman"/>
          <w:b/>
          <w:bCs/>
          <w:sz w:val="22"/>
          <w:szCs w:val="28"/>
        </w:rPr>
      </w:pPr>
      <w:r>
        <w:rPr>
          <w:rFonts w:hint="eastAsia" w:ascii="Times New Roman" w:hAnsi="Times New Roman" w:cs="Times New Roman"/>
          <w:b/>
          <w:bCs/>
          <w:sz w:val="22"/>
          <w:szCs w:val="28"/>
        </w:rPr>
        <w:t>Table</w:t>
      </w:r>
      <w:r>
        <w:rPr>
          <w:rFonts w:ascii="Times New Roman" w:hAnsi="Times New Roman" w:cs="Times New Roman"/>
          <w:b/>
          <w:bCs/>
          <w:sz w:val="22"/>
          <w:szCs w:val="28"/>
        </w:rPr>
        <w:t xml:space="preserve"> </w:t>
      </w:r>
      <w:r>
        <w:rPr>
          <w:rFonts w:hint="eastAsia" w:ascii="Times New Roman" w:hAnsi="Times New Roman" w:cs="Times New Roman"/>
          <w:b/>
          <w:bCs/>
          <w:sz w:val="22"/>
          <w:szCs w:val="28"/>
        </w:rPr>
        <w:t>1</w:t>
      </w:r>
    </w:p>
    <w:p w14:paraId="70B5E049">
      <w:pPr>
        <w:rPr>
          <w:rFonts w:ascii="Times New Roman" w:hAnsi="Times New Roman"/>
          <w:b w:val="0"/>
          <w:sz w:val="22"/>
        </w:rPr>
      </w:pPr>
      <w:r>
        <w:rPr>
          <w:rFonts w:hint="eastAsia" w:ascii="Times New Roman" w:hAnsi="Times New Roman"/>
          <w:b w:val="0"/>
          <w:sz w:val="22"/>
        </w:rPr>
        <w:t xml:space="preserve">The correlations between rsFC, ReHo </w:t>
      </w:r>
      <w:r>
        <w:rPr>
          <w:rFonts w:hint="eastAsia" w:ascii="Times New Roman" w:hAnsi="Times New Roman" w:cs="Times New Roman"/>
          <w:sz w:val="22"/>
          <w:szCs w:val="28"/>
        </w:rPr>
        <w:t>valu</w:t>
      </w:r>
      <w:r>
        <w:rPr>
          <w:rFonts w:ascii="Times New Roman" w:hAnsi="Times New Roman" w:cs="Times New Roman"/>
          <w:sz w:val="22"/>
          <w:szCs w:val="28"/>
        </w:rPr>
        <w:t>e</w:t>
      </w:r>
      <w:r>
        <w:rPr>
          <w:rFonts w:hint="eastAsia" w:ascii="Times New Roman" w:hAnsi="Times New Roman" w:cs="Times New Roman"/>
          <w:sz w:val="22"/>
          <w:szCs w:val="28"/>
        </w:rPr>
        <w:t>s</w:t>
      </w:r>
      <w:r>
        <w:rPr>
          <w:rFonts w:hint="eastAsia" w:ascii="Times New Roman" w:hAnsi="Times New Roman"/>
          <w:b w:val="0"/>
          <w:sz w:val="22"/>
        </w:rPr>
        <w:t xml:space="preserve"> and clinical variables in PMS group.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763"/>
        <w:gridCol w:w="631"/>
        <w:gridCol w:w="557"/>
        <w:gridCol w:w="699"/>
        <w:gridCol w:w="758"/>
        <w:gridCol w:w="1051"/>
        <w:gridCol w:w="793"/>
        <w:gridCol w:w="1126"/>
        <w:gridCol w:w="142"/>
        <w:gridCol w:w="793"/>
      </w:tblGrid>
      <w:tr w14:paraId="41135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0C6A419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6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6362F51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SAS</w:t>
            </w:r>
          </w:p>
        </w:tc>
        <w:tc>
          <w:tcPr>
            <w:tcW w:w="63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6660D51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SDS</w:t>
            </w:r>
          </w:p>
        </w:tc>
        <w:tc>
          <w:tcPr>
            <w:tcW w:w="55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2BDB782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PSQI</w:t>
            </w:r>
          </w:p>
        </w:tc>
        <w:tc>
          <w:tcPr>
            <w:tcW w:w="699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1D9D046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VMPFC-PCu_FC</w:t>
            </w:r>
          </w:p>
        </w:tc>
        <w:tc>
          <w:tcPr>
            <w:tcW w:w="758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2BBE988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IPL-MOG_FC</w:t>
            </w:r>
          </w:p>
        </w:tc>
        <w:tc>
          <w:tcPr>
            <w:tcW w:w="105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49EEDE0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VMPFC_ReHo</w:t>
            </w:r>
          </w:p>
        </w:tc>
        <w:tc>
          <w:tcPr>
            <w:tcW w:w="79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6BC8314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IPL_ReHo</w:t>
            </w:r>
          </w:p>
        </w:tc>
        <w:tc>
          <w:tcPr>
            <w:tcW w:w="112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7A16FA8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PCC.PCu_ReHo</w:t>
            </w:r>
          </w:p>
        </w:tc>
        <w:tc>
          <w:tcPr>
            <w:tcW w:w="935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5E9624E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MOG_ReHo</w:t>
            </w:r>
          </w:p>
        </w:tc>
      </w:tr>
      <w:tr w14:paraId="1273F7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</w:tcBorders>
            <w:vAlign w:val="center"/>
          </w:tcPr>
          <w:p w14:paraId="1D5B0BA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SAS</w:t>
            </w:r>
          </w:p>
        </w:tc>
        <w:tc>
          <w:tcPr>
            <w:tcW w:w="763" w:type="dxa"/>
            <w:tcBorders>
              <w:top w:val="single" w:color="auto" w:sz="4" w:space="0"/>
            </w:tcBorders>
            <w:vAlign w:val="center"/>
          </w:tcPr>
          <w:p w14:paraId="48DB1FC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631" w:type="dxa"/>
            <w:tcBorders>
              <w:top w:val="single" w:color="auto" w:sz="4" w:space="0"/>
            </w:tcBorders>
            <w:vAlign w:val="center"/>
          </w:tcPr>
          <w:p w14:paraId="195FA0F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0.684</w:t>
            </w:r>
          </w:p>
        </w:tc>
        <w:tc>
          <w:tcPr>
            <w:tcW w:w="557" w:type="dxa"/>
            <w:tcBorders>
              <w:top w:val="single" w:color="auto" w:sz="4" w:space="0"/>
            </w:tcBorders>
            <w:vAlign w:val="center"/>
          </w:tcPr>
          <w:p w14:paraId="04ADEA2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0.519</w:t>
            </w:r>
          </w:p>
        </w:tc>
        <w:tc>
          <w:tcPr>
            <w:tcW w:w="699" w:type="dxa"/>
            <w:tcBorders>
              <w:top w:val="single" w:color="auto" w:sz="4" w:space="0"/>
            </w:tcBorders>
            <w:vAlign w:val="center"/>
          </w:tcPr>
          <w:p w14:paraId="1EFBF71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0.144</w:t>
            </w:r>
          </w:p>
        </w:tc>
        <w:tc>
          <w:tcPr>
            <w:tcW w:w="758" w:type="dxa"/>
            <w:tcBorders>
              <w:top w:val="single" w:color="auto" w:sz="4" w:space="0"/>
            </w:tcBorders>
            <w:vAlign w:val="center"/>
          </w:tcPr>
          <w:p w14:paraId="4343E86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0.042</w:t>
            </w:r>
          </w:p>
        </w:tc>
        <w:tc>
          <w:tcPr>
            <w:tcW w:w="1051" w:type="dxa"/>
            <w:tcBorders>
              <w:top w:val="single" w:color="auto" w:sz="4" w:space="0"/>
            </w:tcBorders>
            <w:vAlign w:val="center"/>
          </w:tcPr>
          <w:p w14:paraId="1F38961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0.133</w:t>
            </w:r>
          </w:p>
        </w:tc>
        <w:tc>
          <w:tcPr>
            <w:tcW w:w="793" w:type="dxa"/>
            <w:tcBorders>
              <w:top w:val="single" w:color="auto" w:sz="4" w:space="0"/>
            </w:tcBorders>
            <w:vAlign w:val="center"/>
          </w:tcPr>
          <w:p w14:paraId="58E2807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-0.013</w:t>
            </w:r>
          </w:p>
        </w:tc>
        <w:tc>
          <w:tcPr>
            <w:tcW w:w="1268" w:type="dxa"/>
            <w:gridSpan w:val="2"/>
            <w:tcBorders>
              <w:top w:val="single" w:color="auto" w:sz="4" w:space="0"/>
            </w:tcBorders>
            <w:vAlign w:val="center"/>
          </w:tcPr>
          <w:p w14:paraId="0467311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0.095</w:t>
            </w:r>
          </w:p>
        </w:tc>
        <w:tc>
          <w:tcPr>
            <w:tcW w:w="793" w:type="dxa"/>
            <w:tcBorders>
              <w:top w:val="single" w:color="auto" w:sz="4" w:space="0"/>
            </w:tcBorders>
            <w:vAlign w:val="center"/>
          </w:tcPr>
          <w:p w14:paraId="05D333B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-0.246</w:t>
            </w:r>
          </w:p>
        </w:tc>
      </w:tr>
      <w:tr w14:paraId="02B8A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 w14:paraId="05D9AC6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SDS</w:t>
            </w:r>
          </w:p>
        </w:tc>
        <w:tc>
          <w:tcPr>
            <w:tcW w:w="763" w:type="dxa"/>
            <w:vAlign w:val="center"/>
          </w:tcPr>
          <w:p w14:paraId="0AB8B15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631" w:type="dxa"/>
            <w:vAlign w:val="center"/>
          </w:tcPr>
          <w:p w14:paraId="6A78CF2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557" w:type="dxa"/>
            <w:vAlign w:val="center"/>
          </w:tcPr>
          <w:p w14:paraId="37AF852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0.426</w:t>
            </w:r>
          </w:p>
        </w:tc>
        <w:tc>
          <w:tcPr>
            <w:tcW w:w="699" w:type="dxa"/>
            <w:vAlign w:val="center"/>
          </w:tcPr>
          <w:p w14:paraId="6394D4C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0.034</w:t>
            </w:r>
          </w:p>
        </w:tc>
        <w:tc>
          <w:tcPr>
            <w:tcW w:w="758" w:type="dxa"/>
            <w:vAlign w:val="center"/>
          </w:tcPr>
          <w:p w14:paraId="5FB4CB4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0.036</w:t>
            </w:r>
          </w:p>
        </w:tc>
        <w:tc>
          <w:tcPr>
            <w:tcW w:w="1051" w:type="dxa"/>
            <w:vAlign w:val="center"/>
          </w:tcPr>
          <w:p w14:paraId="35E7914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0.161</w:t>
            </w:r>
          </w:p>
        </w:tc>
        <w:tc>
          <w:tcPr>
            <w:tcW w:w="793" w:type="dxa"/>
            <w:vAlign w:val="center"/>
          </w:tcPr>
          <w:p w14:paraId="0FBE126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0.003</w:t>
            </w:r>
          </w:p>
        </w:tc>
        <w:tc>
          <w:tcPr>
            <w:tcW w:w="1268" w:type="dxa"/>
            <w:gridSpan w:val="2"/>
            <w:vAlign w:val="center"/>
          </w:tcPr>
          <w:p w14:paraId="09D42A8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0.169</w:t>
            </w:r>
          </w:p>
        </w:tc>
        <w:tc>
          <w:tcPr>
            <w:tcW w:w="793" w:type="dxa"/>
            <w:vAlign w:val="center"/>
          </w:tcPr>
          <w:p w14:paraId="2B6FFFE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-0.33</w:t>
            </w:r>
          </w:p>
        </w:tc>
      </w:tr>
      <w:tr w14:paraId="53D58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 w14:paraId="0075634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PSQI</w:t>
            </w:r>
          </w:p>
        </w:tc>
        <w:tc>
          <w:tcPr>
            <w:tcW w:w="763" w:type="dxa"/>
            <w:vAlign w:val="center"/>
          </w:tcPr>
          <w:p w14:paraId="326DC29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631" w:type="dxa"/>
            <w:vAlign w:val="center"/>
          </w:tcPr>
          <w:p w14:paraId="37CF86C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557" w:type="dxa"/>
            <w:vAlign w:val="center"/>
          </w:tcPr>
          <w:p w14:paraId="2F732CA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699" w:type="dxa"/>
            <w:vAlign w:val="center"/>
          </w:tcPr>
          <w:p w14:paraId="708480B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0.377</w:t>
            </w:r>
          </w:p>
        </w:tc>
        <w:tc>
          <w:tcPr>
            <w:tcW w:w="758" w:type="dxa"/>
            <w:vAlign w:val="center"/>
          </w:tcPr>
          <w:p w14:paraId="264AF75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-0.104</w:t>
            </w:r>
          </w:p>
        </w:tc>
        <w:tc>
          <w:tcPr>
            <w:tcW w:w="1051" w:type="dxa"/>
            <w:vAlign w:val="center"/>
          </w:tcPr>
          <w:p w14:paraId="24FEF4F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0.206</w:t>
            </w:r>
          </w:p>
        </w:tc>
        <w:tc>
          <w:tcPr>
            <w:tcW w:w="793" w:type="dxa"/>
            <w:vAlign w:val="center"/>
          </w:tcPr>
          <w:p w14:paraId="6408319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-0.287</w:t>
            </w:r>
          </w:p>
        </w:tc>
        <w:tc>
          <w:tcPr>
            <w:tcW w:w="1268" w:type="dxa"/>
            <w:gridSpan w:val="2"/>
            <w:vAlign w:val="center"/>
          </w:tcPr>
          <w:p w14:paraId="296479B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-0.039</w:t>
            </w:r>
          </w:p>
        </w:tc>
        <w:tc>
          <w:tcPr>
            <w:tcW w:w="793" w:type="dxa"/>
            <w:vAlign w:val="center"/>
          </w:tcPr>
          <w:p w14:paraId="0E9DB92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-0.047</w:t>
            </w:r>
          </w:p>
        </w:tc>
      </w:tr>
      <w:tr w14:paraId="11D2E0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 w14:paraId="42462E2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VMPFC- PCu_FC</w:t>
            </w:r>
          </w:p>
        </w:tc>
        <w:tc>
          <w:tcPr>
            <w:tcW w:w="763" w:type="dxa"/>
            <w:vAlign w:val="center"/>
          </w:tcPr>
          <w:p w14:paraId="1966440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0.422</w:t>
            </w:r>
          </w:p>
        </w:tc>
        <w:tc>
          <w:tcPr>
            <w:tcW w:w="631" w:type="dxa"/>
            <w:vAlign w:val="center"/>
          </w:tcPr>
          <w:p w14:paraId="034B6AB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0.891</w:t>
            </w:r>
          </w:p>
        </w:tc>
        <w:tc>
          <w:tcPr>
            <w:tcW w:w="557" w:type="dxa"/>
            <w:vAlign w:val="center"/>
          </w:tcPr>
          <w:p w14:paraId="7F491F6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0.005</w:t>
            </w:r>
          </w:p>
        </w:tc>
        <w:tc>
          <w:tcPr>
            <w:tcW w:w="699" w:type="dxa"/>
            <w:vAlign w:val="center"/>
          </w:tcPr>
          <w:p w14:paraId="3347A6F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758" w:type="dxa"/>
            <w:vAlign w:val="center"/>
          </w:tcPr>
          <w:p w14:paraId="5EDD20C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-0.006</w:t>
            </w:r>
          </w:p>
        </w:tc>
        <w:tc>
          <w:tcPr>
            <w:tcW w:w="1051" w:type="dxa"/>
            <w:vAlign w:val="center"/>
          </w:tcPr>
          <w:p w14:paraId="643F645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0.365</w:t>
            </w:r>
          </w:p>
        </w:tc>
        <w:tc>
          <w:tcPr>
            <w:tcW w:w="793" w:type="dxa"/>
            <w:vAlign w:val="center"/>
          </w:tcPr>
          <w:p w14:paraId="6EF8FC4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0.023</w:t>
            </w:r>
          </w:p>
        </w:tc>
        <w:tc>
          <w:tcPr>
            <w:tcW w:w="1268" w:type="dxa"/>
            <w:gridSpan w:val="2"/>
            <w:vAlign w:val="center"/>
          </w:tcPr>
          <w:p w14:paraId="60F2084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0.126</w:t>
            </w:r>
          </w:p>
        </w:tc>
        <w:tc>
          <w:tcPr>
            <w:tcW w:w="793" w:type="dxa"/>
            <w:vAlign w:val="center"/>
          </w:tcPr>
          <w:p w14:paraId="403379C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-0.106</w:t>
            </w:r>
          </w:p>
        </w:tc>
      </w:tr>
      <w:tr w14:paraId="38213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 w14:paraId="6200D34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IPL-MOG_FC</w:t>
            </w:r>
          </w:p>
        </w:tc>
        <w:tc>
          <w:tcPr>
            <w:tcW w:w="763" w:type="dxa"/>
            <w:vAlign w:val="center"/>
          </w:tcPr>
          <w:p w14:paraId="54B5897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0.891</w:t>
            </w:r>
          </w:p>
        </w:tc>
        <w:tc>
          <w:tcPr>
            <w:tcW w:w="631" w:type="dxa"/>
            <w:vAlign w:val="center"/>
          </w:tcPr>
          <w:p w14:paraId="5367185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0.891</w:t>
            </w:r>
          </w:p>
        </w:tc>
        <w:tc>
          <w:tcPr>
            <w:tcW w:w="557" w:type="dxa"/>
            <w:vAlign w:val="center"/>
          </w:tcPr>
          <w:p w14:paraId="351E468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0.602</w:t>
            </w:r>
          </w:p>
        </w:tc>
        <w:tc>
          <w:tcPr>
            <w:tcW w:w="699" w:type="dxa"/>
            <w:vAlign w:val="center"/>
          </w:tcPr>
          <w:p w14:paraId="6583AED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0.978</w:t>
            </w:r>
          </w:p>
        </w:tc>
        <w:tc>
          <w:tcPr>
            <w:tcW w:w="758" w:type="dxa"/>
            <w:vAlign w:val="center"/>
          </w:tcPr>
          <w:p w14:paraId="07D717C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1051" w:type="dxa"/>
            <w:vAlign w:val="center"/>
          </w:tcPr>
          <w:p w14:paraId="61B793B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0.059</w:t>
            </w:r>
          </w:p>
        </w:tc>
        <w:tc>
          <w:tcPr>
            <w:tcW w:w="793" w:type="dxa"/>
            <w:vAlign w:val="center"/>
          </w:tcPr>
          <w:p w14:paraId="5AABBC2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0.073</w:t>
            </w:r>
          </w:p>
        </w:tc>
        <w:tc>
          <w:tcPr>
            <w:tcW w:w="1268" w:type="dxa"/>
            <w:gridSpan w:val="2"/>
            <w:vAlign w:val="center"/>
          </w:tcPr>
          <w:p w14:paraId="095F40F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-0.013</w:t>
            </w:r>
          </w:p>
        </w:tc>
        <w:tc>
          <w:tcPr>
            <w:tcW w:w="793" w:type="dxa"/>
            <w:vAlign w:val="center"/>
          </w:tcPr>
          <w:p w14:paraId="264B770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-0.057</w:t>
            </w:r>
          </w:p>
        </w:tc>
      </w:tr>
      <w:tr w14:paraId="7A81C3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 w14:paraId="6DE90B8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VMPFC_ReHo</w:t>
            </w:r>
          </w:p>
        </w:tc>
        <w:tc>
          <w:tcPr>
            <w:tcW w:w="763" w:type="dxa"/>
            <w:vAlign w:val="center"/>
          </w:tcPr>
          <w:p w14:paraId="206D6CB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0.47</w:t>
            </w:r>
          </w:p>
        </w:tc>
        <w:tc>
          <w:tcPr>
            <w:tcW w:w="631" w:type="dxa"/>
            <w:vAlign w:val="center"/>
          </w:tcPr>
          <w:p w14:paraId="20F003B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0.341</w:t>
            </w:r>
          </w:p>
        </w:tc>
        <w:tc>
          <w:tcPr>
            <w:tcW w:w="557" w:type="dxa"/>
            <w:vAlign w:val="center"/>
          </w:tcPr>
          <w:p w14:paraId="32CA700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0.173</w:t>
            </w:r>
          </w:p>
        </w:tc>
        <w:tc>
          <w:tcPr>
            <w:tcW w:w="699" w:type="dxa"/>
            <w:vAlign w:val="center"/>
          </w:tcPr>
          <w:p w14:paraId="1B385E0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0.005</w:t>
            </w:r>
          </w:p>
        </w:tc>
        <w:tc>
          <w:tcPr>
            <w:tcW w:w="758" w:type="dxa"/>
            <w:vAlign w:val="center"/>
          </w:tcPr>
          <w:p w14:paraId="5C7C608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0.865</w:t>
            </w:r>
          </w:p>
        </w:tc>
        <w:tc>
          <w:tcPr>
            <w:tcW w:w="1051" w:type="dxa"/>
            <w:vAlign w:val="center"/>
          </w:tcPr>
          <w:p w14:paraId="2A8FEC0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793" w:type="dxa"/>
            <w:vAlign w:val="center"/>
          </w:tcPr>
          <w:p w14:paraId="6E5F230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0.228</w:t>
            </w:r>
          </w:p>
        </w:tc>
        <w:tc>
          <w:tcPr>
            <w:tcW w:w="1268" w:type="dxa"/>
            <w:gridSpan w:val="2"/>
            <w:vAlign w:val="center"/>
          </w:tcPr>
          <w:p w14:paraId="52CFDD3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0.387</w:t>
            </w:r>
          </w:p>
        </w:tc>
        <w:tc>
          <w:tcPr>
            <w:tcW w:w="793" w:type="dxa"/>
            <w:vAlign w:val="center"/>
          </w:tcPr>
          <w:p w14:paraId="0B669C2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-0.258</w:t>
            </w:r>
          </w:p>
        </w:tc>
      </w:tr>
      <w:tr w14:paraId="0E4D24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 w14:paraId="5F37352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IPL_ReHo</w:t>
            </w:r>
          </w:p>
        </w:tc>
        <w:tc>
          <w:tcPr>
            <w:tcW w:w="763" w:type="dxa"/>
            <w:vAlign w:val="center"/>
          </w:tcPr>
          <w:p w14:paraId="63FF505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0.966</w:t>
            </w:r>
          </w:p>
        </w:tc>
        <w:tc>
          <w:tcPr>
            <w:tcW w:w="631" w:type="dxa"/>
            <w:vAlign w:val="center"/>
          </w:tcPr>
          <w:p w14:paraId="54BB044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0.978</w:t>
            </w:r>
          </w:p>
        </w:tc>
        <w:tc>
          <w:tcPr>
            <w:tcW w:w="557" w:type="dxa"/>
            <w:vAlign w:val="center"/>
          </w:tcPr>
          <w:p w14:paraId="259F373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0.04</w:t>
            </w:r>
          </w:p>
        </w:tc>
        <w:tc>
          <w:tcPr>
            <w:tcW w:w="699" w:type="dxa"/>
            <w:vAlign w:val="center"/>
          </w:tcPr>
          <w:p w14:paraId="6815E74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0.948</w:t>
            </w:r>
          </w:p>
        </w:tc>
        <w:tc>
          <w:tcPr>
            <w:tcW w:w="758" w:type="dxa"/>
            <w:vAlign w:val="center"/>
          </w:tcPr>
          <w:p w14:paraId="2B56BF1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0.79</w:t>
            </w:r>
          </w:p>
        </w:tc>
        <w:tc>
          <w:tcPr>
            <w:tcW w:w="1051" w:type="dxa"/>
            <w:vAlign w:val="center"/>
          </w:tcPr>
          <w:p w14:paraId="39EE0B4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0.118</w:t>
            </w:r>
          </w:p>
        </w:tc>
        <w:tc>
          <w:tcPr>
            <w:tcW w:w="793" w:type="dxa"/>
            <w:vAlign w:val="center"/>
          </w:tcPr>
          <w:p w14:paraId="7C33A3E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1268" w:type="dxa"/>
            <w:gridSpan w:val="2"/>
            <w:vAlign w:val="center"/>
          </w:tcPr>
          <w:p w14:paraId="642360C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0.301</w:t>
            </w:r>
          </w:p>
        </w:tc>
        <w:tc>
          <w:tcPr>
            <w:tcW w:w="793" w:type="dxa"/>
            <w:vAlign w:val="center"/>
          </w:tcPr>
          <w:p w14:paraId="3C43C0E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-0.25</w:t>
            </w:r>
          </w:p>
        </w:tc>
      </w:tr>
      <w:tr w14:paraId="61C61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 w14:paraId="4087E61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PCu_ReHo</w:t>
            </w:r>
          </w:p>
        </w:tc>
        <w:tc>
          <w:tcPr>
            <w:tcW w:w="763" w:type="dxa"/>
            <w:vAlign w:val="center"/>
          </w:tcPr>
          <w:p w14:paraId="3892E25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0.645</w:t>
            </w:r>
          </w:p>
        </w:tc>
        <w:tc>
          <w:tcPr>
            <w:tcW w:w="631" w:type="dxa"/>
            <w:vAlign w:val="center"/>
          </w:tcPr>
          <w:p w14:paraId="7602D3B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0.319</w:t>
            </w:r>
          </w:p>
        </w:tc>
        <w:tc>
          <w:tcPr>
            <w:tcW w:w="557" w:type="dxa"/>
            <w:vAlign w:val="center"/>
          </w:tcPr>
          <w:p w14:paraId="6581DE3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0.891</w:t>
            </w:r>
          </w:p>
        </w:tc>
        <w:tc>
          <w:tcPr>
            <w:tcW w:w="699" w:type="dxa"/>
            <w:vAlign w:val="center"/>
          </w:tcPr>
          <w:p w14:paraId="4236B4D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0.491</w:t>
            </w:r>
          </w:p>
        </w:tc>
        <w:tc>
          <w:tcPr>
            <w:tcW w:w="758" w:type="dxa"/>
            <w:vAlign w:val="center"/>
          </w:tcPr>
          <w:p w14:paraId="47C4027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0.966</w:t>
            </w:r>
          </w:p>
        </w:tc>
        <w:tc>
          <w:tcPr>
            <w:tcW w:w="1051" w:type="dxa"/>
            <w:vAlign w:val="center"/>
          </w:tcPr>
          <w:p w14:paraId="459FFDE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0.005</w:t>
            </w:r>
          </w:p>
        </w:tc>
        <w:tc>
          <w:tcPr>
            <w:tcW w:w="793" w:type="dxa"/>
            <w:vAlign w:val="center"/>
          </w:tcPr>
          <w:p w14:paraId="25DB685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0.032</w:t>
            </w:r>
          </w:p>
        </w:tc>
        <w:tc>
          <w:tcPr>
            <w:tcW w:w="1268" w:type="dxa"/>
            <w:gridSpan w:val="2"/>
            <w:vAlign w:val="center"/>
          </w:tcPr>
          <w:p w14:paraId="6D3FD0D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793" w:type="dxa"/>
            <w:vAlign w:val="center"/>
          </w:tcPr>
          <w:p w14:paraId="443C8BA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-0.634</w:t>
            </w:r>
          </w:p>
        </w:tc>
      </w:tr>
      <w:tr w14:paraId="3ED97E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bottom w:val="single" w:color="auto" w:sz="12" w:space="0"/>
            </w:tcBorders>
            <w:vAlign w:val="center"/>
          </w:tcPr>
          <w:p w14:paraId="08AE3E9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MOG_ReHo</w:t>
            </w:r>
          </w:p>
        </w:tc>
        <w:tc>
          <w:tcPr>
            <w:tcW w:w="763" w:type="dxa"/>
            <w:tcBorders>
              <w:bottom w:val="single" w:color="auto" w:sz="12" w:space="0"/>
            </w:tcBorders>
            <w:vAlign w:val="center"/>
          </w:tcPr>
          <w:p w14:paraId="1FA4718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0.086</w:t>
            </w:r>
          </w:p>
        </w:tc>
        <w:tc>
          <w:tcPr>
            <w:tcW w:w="631" w:type="dxa"/>
            <w:tcBorders>
              <w:bottom w:val="single" w:color="auto" w:sz="12" w:space="0"/>
            </w:tcBorders>
            <w:vAlign w:val="center"/>
          </w:tcPr>
          <w:p w14:paraId="02A47B9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0.014</w:t>
            </w:r>
          </w:p>
        </w:tc>
        <w:tc>
          <w:tcPr>
            <w:tcW w:w="557" w:type="dxa"/>
            <w:tcBorders>
              <w:bottom w:val="single" w:color="auto" w:sz="12" w:space="0"/>
            </w:tcBorders>
            <w:vAlign w:val="center"/>
          </w:tcPr>
          <w:p w14:paraId="7B2571F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0.891</w:t>
            </w:r>
          </w:p>
        </w:tc>
        <w:tc>
          <w:tcPr>
            <w:tcW w:w="699" w:type="dxa"/>
            <w:tcBorders>
              <w:bottom w:val="single" w:color="auto" w:sz="12" w:space="0"/>
            </w:tcBorders>
            <w:vAlign w:val="center"/>
          </w:tcPr>
          <w:p w14:paraId="6692207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0.602</w:t>
            </w:r>
          </w:p>
        </w:tc>
        <w:tc>
          <w:tcPr>
            <w:tcW w:w="758" w:type="dxa"/>
            <w:tcBorders>
              <w:bottom w:val="single" w:color="auto" w:sz="12" w:space="0"/>
            </w:tcBorders>
            <w:vAlign w:val="center"/>
          </w:tcPr>
          <w:p w14:paraId="0EF38EC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0.865</w:t>
            </w:r>
          </w:p>
        </w:tc>
        <w:tc>
          <w:tcPr>
            <w:tcW w:w="1051" w:type="dxa"/>
            <w:tcBorders>
              <w:bottom w:val="single" w:color="auto" w:sz="12" w:space="0"/>
            </w:tcBorders>
            <w:vAlign w:val="center"/>
          </w:tcPr>
          <w:p w14:paraId="30BA431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0.075</w:t>
            </w:r>
          </w:p>
        </w:tc>
        <w:tc>
          <w:tcPr>
            <w:tcW w:w="793" w:type="dxa"/>
            <w:tcBorders>
              <w:bottom w:val="single" w:color="auto" w:sz="12" w:space="0"/>
            </w:tcBorders>
            <w:vAlign w:val="center"/>
          </w:tcPr>
          <w:p w14:paraId="74AB889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0.086</w:t>
            </w:r>
          </w:p>
        </w:tc>
        <w:tc>
          <w:tcPr>
            <w:tcW w:w="1268" w:type="dxa"/>
            <w:gridSpan w:val="2"/>
            <w:tcBorders>
              <w:bottom w:val="single" w:color="auto" w:sz="12" w:space="0"/>
            </w:tcBorders>
            <w:vAlign w:val="center"/>
          </w:tcPr>
          <w:p w14:paraId="73A2EEA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793" w:type="dxa"/>
            <w:tcBorders>
              <w:bottom w:val="single" w:color="auto" w:sz="12" w:space="0"/>
            </w:tcBorders>
            <w:vAlign w:val="center"/>
          </w:tcPr>
          <w:p w14:paraId="4CAA5DB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</w:tr>
    </w:tbl>
    <w:p w14:paraId="38D90852">
      <w:pPr>
        <w:rPr>
          <w:rFonts w:ascii="Times New Roman" w:hAnsi="Times New Roman" w:cs="Times New Roman"/>
          <w:b/>
          <w:bCs/>
          <w:sz w:val="22"/>
          <w:szCs w:val="28"/>
        </w:rPr>
      </w:pPr>
    </w:p>
    <w:p w14:paraId="7920F97E">
      <w:pPr>
        <w:rPr>
          <w:rFonts w:ascii="Times New Roman" w:hAnsi="Times New Roman" w:cs="Times New Roman"/>
          <w:b/>
          <w:bCs/>
          <w:sz w:val="22"/>
          <w:szCs w:val="28"/>
        </w:rPr>
      </w:pPr>
    </w:p>
    <w:p w14:paraId="5B46EAB4">
      <w:pPr>
        <w:rPr>
          <w:rFonts w:hint="eastAsia" w:ascii="Times New Roman" w:hAnsi="Times New Roman" w:cs="Times New Roman"/>
          <w:b/>
          <w:bCs/>
          <w:sz w:val="22"/>
          <w:szCs w:val="28"/>
        </w:rPr>
      </w:pPr>
      <w:r>
        <w:rPr>
          <w:rFonts w:hint="eastAsia" w:ascii="Times New Roman" w:hAnsi="Times New Roman" w:cs="Times New Roman"/>
          <w:b/>
          <w:bCs/>
          <w:sz w:val="22"/>
          <w:szCs w:val="28"/>
        </w:rPr>
        <w:br w:type="page"/>
      </w:r>
    </w:p>
    <w:p w14:paraId="127F6F94">
      <w:pPr>
        <w:rPr>
          <w:rFonts w:ascii="Times New Roman" w:hAnsi="Times New Roman" w:cs="Times New Roman"/>
          <w:b/>
          <w:bCs/>
          <w:sz w:val="22"/>
          <w:szCs w:val="28"/>
        </w:rPr>
      </w:pPr>
      <w:r>
        <w:rPr>
          <w:rFonts w:hint="eastAsia" w:ascii="Times New Roman" w:hAnsi="Times New Roman" w:cs="Times New Roman"/>
          <w:b/>
          <w:bCs/>
          <w:sz w:val="22"/>
          <w:szCs w:val="28"/>
        </w:rPr>
        <w:t>Table</w:t>
      </w:r>
      <w:r>
        <w:rPr>
          <w:rFonts w:ascii="Times New Roman" w:hAnsi="Times New Roman" w:cs="Times New Roman"/>
          <w:b/>
          <w:bCs/>
          <w:sz w:val="22"/>
          <w:szCs w:val="28"/>
        </w:rPr>
        <w:t xml:space="preserve"> 2</w:t>
      </w:r>
    </w:p>
    <w:p w14:paraId="01105076">
      <w:pPr>
        <w:rPr>
          <w:rFonts w:ascii="Times New Roman" w:hAnsi="Times New Roman"/>
          <w:b w:val="0"/>
          <w:sz w:val="22"/>
        </w:rPr>
      </w:pPr>
      <w:r>
        <w:rPr>
          <w:rFonts w:hint="eastAsia" w:ascii="Times New Roman" w:hAnsi="Times New Roman"/>
          <w:b w:val="0"/>
          <w:sz w:val="22"/>
        </w:rPr>
        <w:t xml:space="preserve">The mediation analysis results on </w:t>
      </w:r>
      <w:r>
        <w:rPr>
          <w:rFonts w:ascii="Times New Roman" w:hAnsi="Times New Roman" w:cs="Times New Roman"/>
          <w:sz w:val="22"/>
          <w:szCs w:val="28"/>
        </w:rPr>
        <w:t>m</w:t>
      </w:r>
      <w:r>
        <w:rPr>
          <w:rFonts w:hint="eastAsia" w:ascii="Times New Roman" w:hAnsi="Times New Roman" w:cs="Times New Roman"/>
          <w:sz w:val="22"/>
          <w:szCs w:val="28"/>
        </w:rPr>
        <w:t>od</w:t>
      </w:r>
      <w:r>
        <w:rPr>
          <w:rFonts w:ascii="Times New Roman" w:hAnsi="Times New Roman" w:cs="Times New Roman"/>
          <w:sz w:val="22"/>
          <w:szCs w:val="28"/>
        </w:rPr>
        <w:t xml:space="preserve">el </w:t>
      </w:r>
      <w:r>
        <w:rPr>
          <w:rFonts w:hint="eastAsia" w:ascii="Times New Roman" w:hAnsi="Times New Roman" w:cs="Times New Roman"/>
          <w:sz w:val="22"/>
          <w:szCs w:val="28"/>
        </w:rPr>
        <w:t>3</w:t>
      </w:r>
      <w:r>
        <w:rPr>
          <w:rFonts w:hint="eastAsia" w:ascii="Times New Roman" w:hAnsi="Times New Roman"/>
          <w:b w:val="0"/>
          <w:sz w:val="22"/>
        </w:rPr>
        <w:t>.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8"/>
        <w:gridCol w:w="1663"/>
        <w:gridCol w:w="1663"/>
        <w:gridCol w:w="1668"/>
        <w:gridCol w:w="1664"/>
      </w:tblGrid>
      <w:tr w14:paraId="19874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8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69EB71BE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6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08776CAE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66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6891084E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b</w:t>
            </w:r>
          </w:p>
        </w:tc>
        <w:tc>
          <w:tcPr>
            <w:tcW w:w="1668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1EF881EA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c'</w:t>
            </w:r>
          </w:p>
        </w:tc>
        <w:tc>
          <w:tcPr>
            <w:tcW w:w="1664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3E9C9EDD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c-c'</w:t>
            </w:r>
          </w:p>
        </w:tc>
      </w:tr>
      <w:tr w14:paraId="632A4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6" w:type="dxa"/>
            <w:gridSpan w:val="5"/>
            <w:tcBorders>
              <w:top w:val="single" w:color="auto" w:sz="4" w:space="0"/>
              <w:bottom w:val="nil"/>
            </w:tcBorders>
            <w:vAlign w:val="center"/>
          </w:tcPr>
          <w:p w14:paraId="75EB690F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X (PSQI)→Y (S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S) mediated by M 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FC of right VMPFC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–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right PCu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) </w:t>
            </w:r>
          </w:p>
        </w:tc>
      </w:tr>
      <w:tr w14:paraId="4B281C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8" w:type="dxa"/>
            <w:tcBorders>
              <w:top w:val="nil"/>
              <w:bottom w:val="nil"/>
            </w:tcBorders>
            <w:vAlign w:val="center"/>
          </w:tcPr>
          <w:p w14:paraId="68AF9717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β</w:t>
            </w:r>
          </w:p>
        </w:tc>
        <w:tc>
          <w:tcPr>
            <w:tcW w:w="1663" w:type="dxa"/>
            <w:tcBorders>
              <w:top w:val="nil"/>
              <w:bottom w:val="nil"/>
            </w:tcBorders>
            <w:vAlign w:val="center"/>
          </w:tcPr>
          <w:p w14:paraId="33443EF3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0.024</w:t>
            </w:r>
          </w:p>
        </w:tc>
        <w:tc>
          <w:tcPr>
            <w:tcW w:w="1663" w:type="dxa"/>
            <w:tcBorders>
              <w:top w:val="nil"/>
              <w:bottom w:val="nil"/>
            </w:tcBorders>
            <w:vAlign w:val="center"/>
          </w:tcPr>
          <w:p w14:paraId="5C2FB1D7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-1.510</w:t>
            </w:r>
          </w:p>
        </w:tc>
        <w:tc>
          <w:tcPr>
            <w:tcW w:w="1668" w:type="dxa"/>
            <w:tcBorders>
              <w:top w:val="nil"/>
              <w:bottom w:val="nil"/>
            </w:tcBorders>
            <w:vAlign w:val="center"/>
          </w:tcPr>
          <w:p w14:paraId="2CC65C79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1.482</w:t>
            </w:r>
          </w:p>
        </w:tc>
        <w:tc>
          <w:tcPr>
            <w:tcW w:w="1664" w:type="dxa"/>
            <w:tcBorders>
              <w:top w:val="nil"/>
              <w:bottom w:val="nil"/>
            </w:tcBorders>
            <w:vAlign w:val="center"/>
          </w:tcPr>
          <w:p w14:paraId="50D65FDA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-0.037</w:t>
            </w:r>
          </w:p>
        </w:tc>
      </w:tr>
      <w:tr w14:paraId="23110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8" w:type="dxa"/>
            <w:tcBorders>
              <w:top w:val="nil"/>
              <w:bottom w:val="nil"/>
            </w:tcBorders>
            <w:vAlign w:val="center"/>
          </w:tcPr>
          <w:p w14:paraId="5CD9CFA2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1663" w:type="dxa"/>
            <w:tcBorders>
              <w:top w:val="nil"/>
              <w:bottom w:val="nil"/>
            </w:tcBorders>
            <w:vAlign w:val="center"/>
          </w:tcPr>
          <w:p w14:paraId="2AFF6D18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&lt;0.001</w:t>
            </w:r>
          </w:p>
        </w:tc>
        <w:tc>
          <w:tcPr>
            <w:tcW w:w="1663" w:type="dxa"/>
            <w:tcBorders>
              <w:top w:val="nil"/>
              <w:bottom w:val="nil"/>
            </w:tcBorders>
            <w:vAlign w:val="center"/>
          </w:tcPr>
          <w:p w14:paraId="2408F322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0.750</w:t>
            </w:r>
          </w:p>
        </w:tc>
        <w:tc>
          <w:tcPr>
            <w:tcW w:w="1668" w:type="dxa"/>
            <w:tcBorders>
              <w:top w:val="nil"/>
              <w:bottom w:val="nil"/>
            </w:tcBorders>
            <w:vAlign w:val="center"/>
          </w:tcPr>
          <w:p w14:paraId="066428C9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&lt;0.001</w:t>
            </w:r>
          </w:p>
        </w:tc>
        <w:tc>
          <w:tcPr>
            <w:tcW w:w="1664" w:type="dxa"/>
            <w:tcBorders>
              <w:top w:val="nil"/>
              <w:bottom w:val="nil"/>
            </w:tcBorders>
            <w:vAlign w:val="center"/>
          </w:tcPr>
          <w:p w14:paraId="4B7D5ACB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0.663</w:t>
            </w:r>
          </w:p>
        </w:tc>
      </w:tr>
      <w:tr w14:paraId="56317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6" w:type="dxa"/>
            <w:gridSpan w:val="5"/>
            <w:tcBorders>
              <w:top w:val="nil"/>
              <w:bottom w:val="nil"/>
            </w:tcBorders>
            <w:vAlign w:val="center"/>
          </w:tcPr>
          <w:p w14:paraId="5FEB0526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X (PSQI)→Y (S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S) mediated by M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(FC of right IPL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–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right MOG)</w:t>
            </w:r>
          </w:p>
        </w:tc>
      </w:tr>
      <w:tr w14:paraId="11331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8" w:type="dxa"/>
            <w:tcBorders>
              <w:top w:val="nil"/>
              <w:bottom w:val="nil"/>
            </w:tcBorders>
            <w:vAlign w:val="center"/>
          </w:tcPr>
          <w:p w14:paraId="42F7A6DC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β</w:t>
            </w:r>
          </w:p>
        </w:tc>
        <w:tc>
          <w:tcPr>
            <w:tcW w:w="1663" w:type="dxa"/>
            <w:tcBorders>
              <w:top w:val="nil"/>
              <w:bottom w:val="nil"/>
            </w:tcBorders>
            <w:vAlign w:val="center"/>
          </w:tcPr>
          <w:p w14:paraId="31C90C35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-0.008</w:t>
            </w:r>
          </w:p>
        </w:tc>
        <w:tc>
          <w:tcPr>
            <w:tcW w:w="1663" w:type="dxa"/>
            <w:tcBorders>
              <w:top w:val="nil"/>
              <w:bottom w:val="nil"/>
            </w:tcBorders>
            <w:vAlign w:val="center"/>
          </w:tcPr>
          <w:p w14:paraId="08E60F45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2.306</w:t>
            </w:r>
          </w:p>
        </w:tc>
        <w:tc>
          <w:tcPr>
            <w:tcW w:w="1668" w:type="dxa"/>
            <w:tcBorders>
              <w:top w:val="nil"/>
              <w:bottom w:val="nil"/>
            </w:tcBorders>
            <w:vAlign w:val="center"/>
          </w:tcPr>
          <w:p w14:paraId="7CE47E83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1.463</w:t>
            </w:r>
          </w:p>
        </w:tc>
        <w:tc>
          <w:tcPr>
            <w:tcW w:w="1664" w:type="dxa"/>
            <w:tcBorders>
              <w:top w:val="nil"/>
              <w:bottom w:val="nil"/>
            </w:tcBorders>
            <w:vAlign w:val="center"/>
          </w:tcPr>
          <w:p w14:paraId="64D66D7C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-0.018</w:t>
            </w:r>
          </w:p>
        </w:tc>
      </w:tr>
      <w:tr w14:paraId="7916BC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8" w:type="dxa"/>
            <w:tcBorders>
              <w:top w:val="nil"/>
              <w:bottom w:val="nil"/>
            </w:tcBorders>
            <w:vAlign w:val="center"/>
          </w:tcPr>
          <w:p w14:paraId="712C39D2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1663" w:type="dxa"/>
            <w:tcBorders>
              <w:top w:val="nil"/>
              <w:bottom w:val="nil"/>
            </w:tcBorders>
            <w:vAlign w:val="center"/>
          </w:tcPr>
          <w:p w14:paraId="48B313DE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0.343</w:t>
            </w:r>
          </w:p>
        </w:tc>
        <w:tc>
          <w:tcPr>
            <w:tcW w:w="1663" w:type="dxa"/>
            <w:tcBorders>
              <w:top w:val="nil"/>
              <w:bottom w:val="nil"/>
            </w:tcBorders>
            <w:vAlign w:val="center"/>
          </w:tcPr>
          <w:p w14:paraId="190DF8C1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0.555</w:t>
            </w:r>
          </w:p>
        </w:tc>
        <w:tc>
          <w:tcPr>
            <w:tcW w:w="1668" w:type="dxa"/>
            <w:tcBorders>
              <w:top w:val="nil"/>
              <w:bottom w:val="nil"/>
            </w:tcBorders>
            <w:vAlign w:val="center"/>
          </w:tcPr>
          <w:p w14:paraId="480CB411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&lt;0.001</w:t>
            </w:r>
          </w:p>
        </w:tc>
        <w:tc>
          <w:tcPr>
            <w:tcW w:w="1664" w:type="dxa"/>
            <w:tcBorders>
              <w:top w:val="nil"/>
              <w:bottom w:val="nil"/>
            </w:tcBorders>
            <w:vAlign w:val="center"/>
          </w:tcPr>
          <w:p w14:paraId="2A64D39B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0.309</w:t>
            </w:r>
          </w:p>
        </w:tc>
      </w:tr>
      <w:tr w14:paraId="3F6C6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6" w:type="dxa"/>
            <w:gridSpan w:val="5"/>
            <w:tcBorders>
              <w:top w:val="nil"/>
              <w:bottom w:val="nil"/>
            </w:tcBorders>
            <w:vAlign w:val="center"/>
          </w:tcPr>
          <w:p w14:paraId="784D1004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X (PSQI)→Y (S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S) mediated by M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(ReHo values of right VMPFC)</w:t>
            </w:r>
          </w:p>
        </w:tc>
      </w:tr>
      <w:tr w14:paraId="7FD49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8" w:type="dxa"/>
            <w:tcBorders>
              <w:top w:val="nil"/>
              <w:bottom w:val="nil"/>
            </w:tcBorders>
            <w:vAlign w:val="center"/>
          </w:tcPr>
          <w:p w14:paraId="3CD36724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β</w:t>
            </w:r>
          </w:p>
        </w:tc>
        <w:tc>
          <w:tcPr>
            <w:tcW w:w="1663" w:type="dxa"/>
            <w:tcBorders>
              <w:top w:val="nil"/>
              <w:bottom w:val="nil"/>
            </w:tcBorders>
            <w:vAlign w:val="center"/>
          </w:tcPr>
          <w:p w14:paraId="1528A87F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0.034</w:t>
            </w:r>
          </w:p>
        </w:tc>
        <w:tc>
          <w:tcPr>
            <w:tcW w:w="1663" w:type="dxa"/>
            <w:tcBorders>
              <w:top w:val="nil"/>
              <w:bottom w:val="nil"/>
            </w:tcBorders>
            <w:vAlign w:val="center"/>
          </w:tcPr>
          <w:p w14:paraId="53D4D080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0.962</w:t>
            </w:r>
          </w:p>
        </w:tc>
        <w:tc>
          <w:tcPr>
            <w:tcW w:w="1668" w:type="dxa"/>
            <w:tcBorders>
              <w:top w:val="nil"/>
              <w:bottom w:val="nil"/>
            </w:tcBorders>
            <w:vAlign w:val="center"/>
          </w:tcPr>
          <w:p w14:paraId="264F9977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1.412</w:t>
            </w:r>
          </w:p>
        </w:tc>
        <w:tc>
          <w:tcPr>
            <w:tcW w:w="1664" w:type="dxa"/>
            <w:tcBorders>
              <w:top w:val="nil"/>
              <w:bottom w:val="nil"/>
            </w:tcBorders>
            <w:vAlign w:val="center"/>
          </w:tcPr>
          <w:p w14:paraId="56BF3156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0.033</w:t>
            </w:r>
          </w:p>
        </w:tc>
      </w:tr>
      <w:tr w14:paraId="21F449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8" w:type="dxa"/>
            <w:tcBorders>
              <w:top w:val="nil"/>
              <w:bottom w:val="nil"/>
            </w:tcBorders>
            <w:vAlign w:val="center"/>
          </w:tcPr>
          <w:p w14:paraId="19ECE058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1663" w:type="dxa"/>
            <w:tcBorders>
              <w:top w:val="nil"/>
              <w:bottom w:val="nil"/>
            </w:tcBorders>
            <w:vAlign w:val="center"/>
          </w:tcPr>
          <w:p w14:paraId="2F674D56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0.108</w:t>
            </w:r>
          </w:p>
        </w:tc>
        <w:tc>
          <w:tcPr>
            <w:tcW w:w="1663" w:type="dxa"/>
            <w:tcBorders>
              <w:top w:val="nil"/>
              <w:bottom w:val="nil"/>
            </w:tcBorders>
            <w:vAlign w:val="center"/>
          </w:tcPr>
          <w:p w14:paraId="290EAD04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0.527</w:t>
            </w:r>
          </w:p>
        </w:tc>
        <w:tc>
          <w:tcPr>
            <w:tcW w:w="1668" w:type="dxa"/>
            <w:tcBorders>
              <w:top w:val="nil"/>
              <w:bottom w:val="nil"/>
            </w:tcBorders>
            <w:vAlign w:val="center"/>
          </w:tcPr>
          <w:p w14:paraId="331044F3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&lt;0.001</w:t>
            </w:r>
          </w:p>
        </w:tc>
        <w:tc>
          <w:tcPr>
            <w:tcW w:w="1664" w:type="dxa"/>
            <w:tcBorders>
              <w:top w:val="nil"/>
              <w:bottom w:val="nil"/>
            </w:tcBorders>
            <w:vAlign w:val="center"/>
          </w:tcPr>
          <w:p w14:paraId="1231F798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0.276</w:t>
            </w:r>
          </w:p>
        </w:tc>
      </w:tr>
      <w:tr w14:paraId="0CA252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6" w:type="dxa"/>
            <w:gridSpan w:val="5"/>
            <w:tcBorders>
              <w:top w:val="nil"/>
              <w:bottom w:val="nil"/>
            </w:tcBorders>
            <w:vAlign w:val="center"/>
          </w:tcPr>
          <w:p w14:paraId="33B39D32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X (PSQI)→Y (S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S) mediated by M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(ReHo values of left IPL)</w:t>
            </w:r>
          </w:p>
        </w:tc>
      </w:tr>
      <w:tr w14:paraId="2EA09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8" w:type="dxa"/>
            <w:tcBorders>
              <w:top w:val="nil"/>
              <w:bottom w:val="nil"/>
            </w:tcBorders>
            <w:vAlign w:val="center"/>
          </w:tcPr>
          <w:p w14:paraId="4A4E0D9B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β</w:t>
            </w:r>
          </w:p>
        </w:tc>
        <w:tc>
          <w:tcPr>
            <w:tcW w:w="1663" w:type="dxa"/>
            <w:tcBorders>
              <w:top w:val="nil"/>
              <w:bottom w:val="nil"/>
            </w:tcBorders>
            <w:vAlign w:val="center"/>
          </w:tcPr>
          <w:p w14:paraId="2F6CDC6F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-0.0362</w:t>
            </w:r>
          </w:p>
        </w:tc>
        <w:tc>
          <w:tcPr>
            <w:tcW w:w="1663" w:type="dxa"/>
            <w:tcBorders>
              <w:top w:val="nil"/>
              <w:bottom w:val="nil"/>
            </w:tcBorders>
            <w:vAlign w:val="center"/>
          </w:tcPr>
          <w:p w14:paraId="7E516217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3.128</w:t>
            </w:r>
          </w:p>
        </w:tc>
        <w:tc>
          <w:tcPr>
            <w:tcW w:w="1668" w:type="dxa"/>
            <w:tcBorders>
              <w:top w:val="nil"/>
              <w:bottom w:val="nil"/>
            </w:tcBorders>
            <w:vAlign w:val="center"/>
          </w:tcPr>
          <w:p w14:paraId="132D0F68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1.558</w:t>
            </w:r>
          </w:p>
        </w:tc>
        <w:tc>
          <w:tcPr>
            <w:tcW w:w="1664" w:type="dxa"/>
            <w:tcBorders>
              <w:top w:val="nil"/>
              <w:bottom w:val="nil"/>
            </w:tcBorders>
            <w:vAlign w:val="center"/>
          </w:tcPr>
          <w:p w14:paraId="42B4D6C8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-0.113</w:t>
            </w:r>
          </w:p>
        </w:tc>
      </w:tr>
      <w:tr w14:paraId="17891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8" w:type="dxa"/>
            <w:tcBorders>
              <w:top w:val="nil"/>
              <w:bottom w:val="nil"/>
            </w:tcBorders>
            <w:vAlign w:val="center"/>
          </w:tcPr>
          <w:p w14:paraId="615583FD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1663" w:type="dxa"/>
            <w:tcBorders>
              <w:top w:val="nil"/>
              <w:bottom w:val="nil"/>
            </w:tcBorders>
            <w:vAlign w:val="center"/>
          </w:tcPr>
          <w:p w14:paraId="28B560AC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0.055</w:t>
            </w:r>
          </w:p>
        </w:tc>
        <w:tc>
          <w:tcPr>
            <w:tcW w:w="1663" w:type="dxa"/>
            <w:tcBorders>
              <w:top w:val="nil"/>
              <w:bottom w:val="nil"/>
            </w:tcBorders>
            <w:vAlign w:val="center"/>
          </w:tcPr>
          <w:p w14:paraId="514A5F34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0.065</w:t>
            </w:r>
          </w:p>
        </w:tc>
        <w:tc>
          <w:tcPr>
            <w:tcW w:w="1668" w:type="dxa"/>
            <w:tcBorders>
              <w:top w:val="nil"/>
              <w:bottom w:val="nil"/>
            </w:tcBorders>
            <w:vAlign w:val="center"/>
          </w:tcPr>
          <w:p w14:paraId="2D333AFD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&lt;0.001</w:t>
            </w:r>
          </w:p>
        </w:tc>
        <w:tc>
          <w:tcPr>
            <w:tcW w:w="1664" w:type="dxa"/>
            <w:tcBorders>
              <w:top w:val="nil"/>
              <w:bottom w:val="nil"/>
            </w:tcBorders>
            <w:vAlign w:val="center"/>
          </w:tcPr>
          <w:p w14:paraId="216AC15F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0.103</w:t>
            </w:r>
          </w:p>
        </w:tc>
      </w:tr>
      <w:tr w14:paraId="206C31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6" w:type="dxa"/>
            <w:gridSpan w:val="5"/>
            <w:tcBorders>
              <w:top w:val="nil"/>
              <w:bottom w:val="nil"/>
            </w:tcBorders>
            <w:vAlign w:val="center"/>
          </w:tcPr>
          <w:p w14:paraId="01F49E5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X (PSQI)→Y (S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S) mediated by M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(ReHo values of right PCu)</w:t>
            </w:r>
          </w:p>
        </w:tc>
      </w:tr>
      <w:tr w14:paraId="0A1808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8" w:type="dxa"/>
            <w:tcBorders>
              <w:top w:val="nil"/>
              <w:bottom w:val="nil"/>
            </w:tcBorders>
            <w:vAlign w:val="center"/>
          </w:tcPr>
          <w:p w14:paraId="71A83C1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β</w:t>
            </w:r>
          </w:p>
        </w:tc>
        <w:tc>
          <w:tcPr>
            <w:tcW w:w="1663" w:type="dxa"/>
            <w:tcBorders>
              <w:top w:val="nil"/>
              <w:bottom w:val="nil"/>
            </w:tcBorders>
            <w:vAlign w:val="center"/>
          </w:tcPr>
          <w:p w14:paraId="5E15D83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-0.010</w:t>
            </w:r>
          </w:p>
        </w:tc>
        <w:tc>
          <w:tcPr>
            <w:tcW w:w="1663" w:type="dxa"/>
            <w:tcBorders>
              <w:top w:val="nil"/>
              <w:bottom w:val="nil"/>
            </w:tcBorders>
            <w:vAlign w:val="center"/>
          </w:tcPr>
          <w:p w14:paraId="0714365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2.186</w:t>
            </w:r>
          </w:p>
        </w:tc>
        <w:tc>
          <w:tcPr>
            <w:tcW w:w="1668" w:type="dxa"/>
            <w:tcBorders>
              <w:top w:val="nil"/>
              <w:bottom w:val="nil"/>
            </w:tcBorders>
            <w:vAlign w:val="center"/>
          </w:tcPr>
          <w:p w14:paraId="2D76176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1.467</w:t>
            </w:r>
          </w:p>
        </w:tc>
        <w:tc>
          <w:tcPr>
            <w:tcW w:w="1664" w:type="dxa"/>
            <w:tcBorders>
              <w:top w:val="nil"/>
              <w:bottom w:val="nil"/>
            </w:tcBorders>
            <w:vAlign w:val="center"/>
          </w:tcPr>
          <w:p w14:paraId="266BA14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-0.022</w:t>
            </w:r>
          </w:p>
        </w:tc>
      </w:tr>
      <w:tr w14:paraId="5531F8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8" w:type="dxa"/>
            <w:tcBorders>
              <w:top w:val="nil"/>
              <w:bottom w:val="nil"/>
            </w:tcBorders>
            <w:vAlign w:val="center"/>
          </w:tcPr>
          <w:p w14:paraId="570EB89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1663" w:type="dxa"/>
            <w:tcBorders>
              <w:top w:val="nil"/>
              <w:bottom w:val="nil"/>
            </w:tcBorders>
            <w:vAlign w:val="center"/>
          </w:tcPr>
          <w:p w14:paraId="6ACB442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0.647</w:t>
            </w:r>
          </w:p>
        </w:tc>
        <w:tc>
          <w:tcPr>
            <w:tcW w:w="1663" w:type="dxa"/>
            <w:tcBorders>
              <w:top w:val="nil"/>
              <w:bottom w:val="nil"/>
            </w:tcBorders>
            <w:vAlign w:val="center"/>
          </w:tcPr>
          <w:p w14:paraId="13017B5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0.128</w:t>
            </w:r>
          </w:p>
        </w:tc>
        <w:tc>
          <w:tcPr>
            <w:tcW w:w="1668" w:type="dxa"/>
            <w:tcBorders>
              <w:top w:val="nil"/>
              <w:bottom w:val="nil"/>
            </w:tcBorders>
            <w:vAlign w:val="center"/>
          </w:tcPr>
          <w:p w14:paraId="3AE5418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664" w:type="dxa"/>
            <w:tcBorders>
              <w:top w:val="nil"/>
              <w:bottom w:val="nil"/>
            </w:tcBorders>
            <w:vAlign w:val="center"/>
          </w:tcPr>
          <w:p w14:paraId="080F7CC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0.491</w:t>
            </w:r>
          </w:p>
        </w:tc>
      </w:tr>
      <w:tr w14:paraId="546025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6" w:type="dxa"/>
            <w:gridSpan w:val="5"/>
            <w:tcBorders>
              <w:top w:val="nil"/>
              <w:bottom w:val="nil"/>
            </w:tcBorders>
            <w:vAlign w:val="center"/>
          </w:tcPr>
          <w:p w14:paraId="7915CCD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X (PSQI)→Y (S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S) mediated by M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(ReHo values of right MOG)</w:t>
            </w:r>
          </w:p>
        </w:tc>
      </w:tr>
      <w:tr w14:paraId="48455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8" w:type="dxa"/>
            <w:tcBorders>
              <w:top w:val="nil"/>
              <w:bottom w:val="nil"/>
            </w:tcBorders>
            <w:vAlign w:val="center"/>
          </w:tcPr>
          <w:p w14:paraId="0781FDA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β</w:t>
            </w:r>
          </w:p>
        </w:tc>
        <w:tc>
          <w:tcPr>
            <w:tcW w:w="1663" w:type="dxa"/>
            <w:tcBorders>
              <w:top w:val="nil"/>
              <w:bottom w:val="nil"/>
            </w:tcBorders>
            <w:vAlign w:val="center"/>
          </w:tcPr>
          <w:p w14:paraId="20ED2E7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-0.018</w:t>
            </w:r>
          </w:p>
        </w:tc>
        <w:tc>
          <w:tcPr>
            <w:tcW w:w="1663" w:type="dxa"/>
            <w:tcBorders>
              <w:top w:val="nil"/>
              <w:bottom w:val="nil"/>
            </w:tcBorders>
            <w:vAlign w:val="center"/>
          </w:tcPr>
          <w:p w14:paraId="461B43B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-2.833</w:t>
            </w:r>
          </w:p>
        </w:tc>
        <w:tc>
          <w:tcPr>
            <w:tcW w:w="1668" w:type="dxa"/>
            <w:tcBorders>
              <w:top w:val="nil"/>
              <w:bottom w:val="nil"/>
            </w:tcBorders>
            <w:vAlign w:val="center"/>
          </w:tcPr>
          <w:p w14:paraId="1F00E8A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1.395</w:t>
            </w:r>
          </w:p>
        </w:tc>
        <w:tc>
          <w:tcPr>
            <w:tcW w:w="1664" w:type="dxa"/>
            <w:tcBorders>
              <w:top w:val="nil"/>
              <w:bottom w:val="nil"/>
            </w:tcBorders>
            <w:vAlign w:val="center"/>
          </w:tcPr>
          <w:p w14:paraId="00EABC4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0.051</w:t>
            </w:r>
          </w:p>
        </w:tc>
      </w:tr>
      <w:tr w14:paraId="6D866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8" w:type="dxa"/>
            <w:tcBorders>
              <w:top w:val="nil"/>
              <w:bottom w:val="single" w:color="auto" w:sz="12" w:space="0"/>
            </w:tcBorders>
            <w:vAlign w:val="center"/>
          </w:tcPr>
          <w:p w14:paraId="26FC055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1663" w:type="dxa"/>
            <w:tcBorders>
              <w:top w:val="nil"/>
              <w:bottom w:val="single" w:color="auto" w:sz="12" w:space="0"/>
            </w:tcBorders>
            <w:vAlign w:val="center"/>
          </w:tcPr>
          <w:p w14:paraId="2D65717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0.554</w:t>
            </w:r>
          </w:p>
        </w:tc>
        <w:tc>
          <w:tcPr>
            <w:tcW w:w="1663" w:type="dxa"/>
            <w:tcBorders>
              <w:top w:val="nil"/>
              <w:bottom w:val="single" w:color="auto" w:sz="12" w:space="0"/>
            </w:tcBorders>
            <w:vAlign w:val="center"/>
          </w:tcPr>
          <w:p w14:paraId="27BE7EB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0.006</w:t>
            </w:r>
          </w:p>
        </w:tc>
        <w:tc>
          <w:tcPr>
            <w:tcW w:w="1668" w:type="dxa"/>
            <w:tcBorders>
              <w:top w:val="nil"/>
              <w:bottom w:val="single" w:color="auto" w:sz="12" w:space="0"/>
            </w:tcBorders>
            <w:vAlign w:val="center"/>
          </w:tcPr>
          <w:p w14:paraId="520F9A2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664" w:type="dxa"/>
            <w:tcBorders>
              <w:top w:val="nil"/>
              <w:bottom w:val="single" w:color="auto" w:sz="12" w:space="0"/>
            </w:tcBorders>
            <w:vAlign w:val="center"/>
          </w:tcPr>
          <w:p w14:paraId="3B98BC8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0.521</w:t>
            </w:r>
          </w:p>
        </w:tc>
      </w:tr>
    </w:tbl>
    <w:p w14:paraId="5766142F"/>
    <w:p w14:paraId="5DFF9B01">
      <w:pPr>
        <w:rPr>
          <w:rFonts w:hint="eastAsia" w:ascii="Times New Roman" w:hAnsi="Times New Roman" w:cs="Times New Roman"/>
          <w:b/>
          <w:bCs/>
          <w:sz w:val="22"/>
          <w:szCs w:val="28"/>
        </w:rPr>
      </w:pPr>
      <w:r>
        <w:rPr>
          <w:rFonts w:hint="eastAsia" w:ascii="Times New Roman" w:hAnsi="Times New Roman" w:cs="Times New Roman"/>
          <w:b/>
          <w:bCs/>
          <w:sz w:val="22"/>
          <w:szCs w:val="28"/>
        </w:rPr>
        <w:br w:type="page"/>
      </w:r>
    </w:p>
    <w:p w14:paraId="0651DE75">
      <w:pPr>
        <w:rPr>
          <w:rFonts w:ascii="Times New Roman" w:hAnsi="Times New Roman" w:cs="Times New Roman"/>
          <w:b/>
          <w:bCs/>
          <w:sz w:val="22"/>
          <w:szCs w:val="28"/>
        </w:rPr>
      </w:pPr>
      <w:bookmarkStart w:id="0" w:name="_GoBack"/>
      <w:bookmarkEnd w:id="0"/>
      <w:r>
        <w:rPr>
          <w:rFonts w:hint="eastAsia" w:ascii="Times New Roman" w:hAnsi="Times New Roman" w:cs="Times New Roman"/>
          <w:b/>
          <w:bCs/>
          <w:sz w:val="22"/>
          <w:szCs w:val="28"/>
        </w:rPr>
        <w:t xml:space="preserve">Table </w:t>
      </w:r>
      <w:r>
        <w:rPr>
          <w:rFonts w:ascii="Times New Roman" w:hAnsi="Times New Roman" w:cs="Times New Roman"/>
          <w:b/>
          <w:bCs/>
          <w:sz w:val="22"/>
          <w:szCs w:val="28"/>
        </w:rPr>
        <w:t>3</w:t>
      </w:r>
    </w:p>
    <w:p w14:paraId="02213D4C">
      <w:r>
        <w:rPr>
          <w:rFonts w:hint="eastAsia" w:ascii="Times New Roman" w:hAnsi="Times New Roman"/>
          <w:b w:val="0"/>
          <w:sz w:val="22"/>
        </w:rPr>
        <w:t xml:space="preserve">The mediation analysis results on </w:t>
      </w:r>
      <w:r>
        <w:rPr>
          <w:rFonts w:hint="eastAsia" w:ascii="Times New Roman" w:hAnsi="Times New Roman" w:cs="Times New Roman"/>
          <w:sz w:val="22"/>
          <w:szCs w:val="28"/>
        </w:rPr>
        <w:t>Mod</w:t>
      </w:r>
      <w:r>
        <w:rPr>
          <w:rFonts w:ascii="Times New Roman" w:hAnsi="Times New Roman" w:cs="Times New Roman"/>
          <w:sz w:val="22"/>
          <w:szCs w:val="28"/>
        </w:rPr>
        <w:t xml:space="preserve">el </w:t>
      </w:r>
      <w:r>
        <w:rPr>
          <w:rFonts w:hint="eastAsia" w:ascii="Times New Roman" w:hAnsi="Times New Roman" w:cs="Times New Roman"/>
          <w:sz w:val="22"/>
          <w:szCs w:val="28"/>
        </w:rPr>
        <w:t>4</w:t>
      </w:r>
      <w:r>
        <w:rPr>
          <w:rFonts w:hint="eastAsia" w:ascii="Times New Roman" w:hAnsi="Times New Roman"/>
          <w:b w:val="0"/>
          <w:sz w:val="22"/>
        </w:rPr>
        <w:t>.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8"/>
        <w:gridCol w:w="1664"/>
        <w:gridCol w:w="1664"/>
        <w:gridCol w:w="1665"/>
        <w:gridCol w:w="1665"/>
      </w:tblGrid>
      <w:tr w14:paraId="46763F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8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50394781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64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4078F0DD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664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7ABD2653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b</w:t>
            </w:r>
          </w:p>
        </w:tc>
        <w:tc>
          <w:tcPr>
            <w:tcW w:w="1665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45742867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c'</w:t>
            </w:r>
          </w:p>
        </w:tc>
        <w:tc>
          <w:tcPr>
            <w:tcW w:w="1665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143EC0C7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c-c'</w:t>
            </w:r>
          </w:p>
        </w:tc>
      </w:tr>
      <w:tr w14:paraId="0AB3F5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6" w:type="dxa"/>
            <w:gridSpan w:val="5"/>
            <w:tcBorders>
              <w:top w:val="single" w:color="auto" w:sz="4" w:space="0"/>
            </w:tcBorders>
            <w:vAlign w:val="center"/>
          </w:tcPr>
          <w:p w14:paraId="415F93C0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X (PSQI)→Y (S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D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S) mediated by M 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FC of right VMPFC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–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right PCu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) </w:t>
            </w:r>
          </w:p>
        </w:tc>
      </w:tr>
      <w:tr w14:paraId="30EE71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8" w:type="dxa"/>
            <w:vAlign w:val="center"/>
          </w:tcPr>
          <w:p w14:paraId="34D59E67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β</w:t>
            </w:r>
          </w:p>
        </w:tc>
        <w:tc>
          <w:tcPr>
            <w:tcW w:w="1664" w:type="dxa"/>
            <w:vAlign w:val="center"/>
          </w:tcPr>
          <w:p w14:paraId="022AA7B1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0.024</w:t>
            </w:r>
          </w:p>
        </w:tc>
        <w:tc>
          <w:tcPr>
            <w:tcW w:w="1664" w:type="dxa"/>
            <w:vAlign w:val="center"/>
          </w:tcPr>
          <w:p w14:paraId="396FF5B6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-7.186</w:t>
            </w:r>
          </w:p>
        </w:tc>
        <w:tc>
          <w:tcPr>
            <w:tcW w:w="1665" w:type="dxa"/>
            <w:vAlign w:val="center"/>
          </w:tcPr>
          <w:p w14:paraId="17321ABE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1.807</w:t>
            </w:r>
          </w:p>
        </w:tc>
        <w:tc>
          <w:tcPr>
            <w:tcW w:w="1665" w:type="dxa"/>
            <w:vAlign w:val="center"/>
          </w:tcPr>
          <w:p w14:paraId="7838AA69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-0.1746</w:t>
            </w:r>
          </w:p>
        </w:tc>
      </w:tr>
      <w:tr w14:paraId="56A157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8" w:type="dxa"/>
            <w:vAlign w:val="center"/>
          </w:tcPr>
          <w:p w14:paraId="46894410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1664" w:type="dxa"/>
            <w:vAlign w:val="center"/>
          </w:tcPr>
          <w:p w14:paraId="1B050437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&lt;0.001</w:t>
            </w:r>
          </w:p>
        </w:tc>
        <w:tc>
          <w:tcPr>
            <w:tcW w:w="1664" w:type="dxa"/>
            <w:vAlign w:val="center"/>
          </w:tcPr>
          <w:p w14:paraId="2A7F62C3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0.227</w:t>
            </w:r>
          </w:p>
        </w:tc>
        <w:tc>
          <w:tcPr>
            <w:tcW w:w="1665" w:type="dxa"/>
            <w:vAlign w:val="center"/>
          </w:tcPr>
          <w:p w14:paraId="73FC8FD4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&lt;0.001</w:t>
            </w:r>
          </w:p>
        </w:tc>
        <w:tc>
          <w:tcPr>
            <w:tcW w:w="1665" w:type="dxa"/>
            <w:vAlign w:val="center"/>
          </w:tcPr>
          <w:p w14:paraId="3B26B2AD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0.300</w:t>
            </w:r>
          </w:p>
        </w:tc>
      </w:tr>
      <w:tr w14:paraId="2E39CF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6" w:type="dxa"/>
            <w:gridSpan w:val="5"/>
            <w:vAlign w:val="center"/>
          </w:tcPr>
          <w:p w14:paraId="06ACCCCF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X (PSQI)→Y (S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D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S) mediated by M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(FC of right IPL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–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right MOG)</w:t>
            </w:r>
          </w:p>
        </w:tc>
      </w:tr>
      <w:tr w14:paraId="57EFA2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8" w:type="dxa"/>
            <w:vAlign w:val="center"/>
          </w:tcPr>
          <w:p w14:paraId="7ADD4B4F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β</w:t>
            </w:r>
          </w:p>
        </w:tc>
        <w:tc>
          <w:tcPr>
            <w:tcW w:w="1664" w:type="dxa"/>
            <w:vAlign w:val="center"/>
          </w:tcPr>
          <w:p w14:paraId="169F2125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-0.008</w:t>
            </w:r>
          </w:p>
        </w:tc>
        <w:tc>
          <w:tcPr>
            <w:tcW w:w="1664" w:type="dxa"/>
            <w:vAlign w:val="center"/>
          </w:tcPr>
          <w:p w14:paraId="71C73D43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4.433</w:t>
            </w:r>
          </w:p>
        </w:tc>
        <w:tc>
          <w:tcPr>
            <w:tcW w:w="1665" w:type="dxa"/>
            <w:vAlign w:val="center"/>
          </w:tcPr>
          <w:p w14:paraId="038635B8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1.667</w:t>
            </w:r>
          </w:p>
        </w:tc>
        <w:tc>
          <w:tcPr>
            <w:tcW w:w="1665" w:type="dxa"/>
            <w:vAlign w:val="center"/>
          </w:tcPr>
          <w:p w14:paraId="4EC7896B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-0.035</w:t>
            </w:r>
          </w:p>
        </w:tc>
      </w:tr>
      <w:tr w14:paraId="520DE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8" w:type="dxa"/>
            <w:vAlign w:val="center"/>
          </w:tcPr>
          <w:p w14:paraId="1F46EB33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1664" w:type="dxa"/>
            <w:vAlign w:val="center"/>
          </w:tcPr>
          <w:p w14:paraId="7EB9B5E0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0.343</w:t>
            </w:r>
          </w:p>
        </w:tc>
        <w:tc>
          <w:tcPr>
            <w:tcW w:w="1664" w:type="dxa"/>
            <w:vAlign w:val="center"/>
          </w:tcPr>
          <w:p w14:paraId="358354FA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0.368</w:t>
            </w:r>
          </w:p>
        </w:tc>
        <w:tc>
          <w:tcPr>
            <w:tcW w:w="1665" w:type="dxa"/>
            <w:vAlign w:val="center"/>
          </w:tcPr>
          <w:p w14:paraId="0A5FC561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&lt;0.001</w:t>
            </w:r>
          </w:p>
        </w:tc>
        <w:tc>
          <w:tcPr>
            <w:tcW w:w="1665" w:type="dxa"/>
            <w:vAlign w:val="center"/>
          </w:tcPr>
          <w:p w14:paraId="1723C374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0.350</w:t>
            </w:r>
          </w:p>
        </w:tc>
      </w:tr>
      <w:tr w14:paraId="20954C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6" w:type="dxa"/>
            <w:gridSpan w:val="5"/>
            <w:vAlign w:val="center"/>
          </w:tcPr>
          <w:p w14:paraId="7AAB8189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X (PSQI)→Y (S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D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S) mediated by M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(ReHo values of right VMPFC)</w:t>
            </w:r>
          </w:p>
        </w:tc>
      </w:tr>
      <w:tr w14:paraId="33A144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8" w:type="dxa"/>
            <w:vAlign w:val="center"/>
          </w:tcPr>
          <w:p w14:paraId="1AA0A0A0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β</w:t>
            </w:r>
          </w:p>
        </w:tc>
        <w:tc>
          <w:tcPr>
            <w:tcW w:w="1664" w:type="dxa"/>
            <w:vAlign w:val="center"/>
          </w:tcPr>
          <w:p w14:paraId="1F3EDD1D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0.034</w:t>
            </w:r>
          </w:p>
        </w:tc>
        <w:tc>
          <w:tcPr>
            <w:tcW w:w="1664" w:type="dxa"/>
            <w:vAlign w:val="center"/>
          </w:tcPr>
          <w:p w14:paraId="49B563D9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1.006</w:t>
            </w:r>
          </w:p>
        </w:tc>
        <w:tc>
          <w:tcPr>
            <w:tcW w:w="1665" w:type="dxa"/>
            <w:vAlign w:val="center"/>
          </w:tcPr>
          <w:p w14:paraId="4EC44C28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1.598</w:t>
            </w:r>
          </w:p>
        </w:tc>
        <w:tc>
          <w:tcPr>
            <w:tcW w:w="1665" w:type="dxa"/>
            <w:vAlign w:val="center"/>
          </w:tcPr>
          <w:p w14:paraId="5BAA6994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0.034</w:t>
            </w:r>
          </w:p>
        </w:tc>
      </w:tr>
      <w:tr w14:paraId="268985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8" w:type="dxa"/>
            <w:vAlign w:val="center"/>
          </w:tcPr>
          <w:p w14:paraId="4CD97E35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1664" w:type="dxa"/>
            <w:vAlign w:val="center"/>
          </w:tcPr>
          <w:p w14:paraId="4ECB9C42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0.108</w:t>
            </w:r>
          </w:p>
        </w:tc>
        <w:tc>
          <w:tcPr>
            <w:tcW w:w="1664" w:type="dxa"/>
            <w:vAlign w:val="center"/>
          </w:tcPr>
          <w:p w14:paraId="7436641E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0.600</w:t>
            </w:r>
          </w:p>
        </w:tc>
        <w:tc>
          <w:tcPr>
            <w:tcW w:w="1665" w:type="dxa"/>
            <w:vAlign w:val="center"/>
          </w:tcPr>
          <w:p w14:paraId="65ABD26D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&lt;0.001</w:t>
            </w:r>
          </w:p>
        </w:tc>
        <w:tc>
          <w:tcPr>
            <w:tcW w:w="1665" w:type="dxa"/>
            <w:vAlign w:val="center"/>
          </w:tcPr>
          <w:p w14:paraId="0BB47F6F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0.365</w:t>
            </w:r>
          </w:p>
        </w:tc>
      </w:tr>
      <w:tr w14:paraId="6EBC2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6" w:type="dxa"/>
            <w:gridSpan w:val="5"/>
            <w:vAlign w:val="center"/>
          </w:tcPr>
          <w:p w14:paraId="04C0AD11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X (PSQI)→Y (S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D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S) mediated by M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(ReHo values of left IPL)</w:t>
            </w:r>
          </w:p>
        </w:tc>
      </w:tr>
      <w:tr w14:paraId="0478D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8" w:type="dxa"/>
            <w:vAlign w:val="center"/>
          </w:tcPr>
          <w:p w14:paraId="43CAD0A8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β</w:t>
            </w:r>
          </w:p>
        </w:tc>
        <w:tc>
          <w:tcPr>
            <w:tcW w:w="1664" w:type="dxa"/>
            <w:vAlign w:val="center"/>
          </w:tcPr>
          <w:p w14:paraId="56B38A48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-0.037</w:t>
            </w:r>
          </w:p>
        </w:tc>
        <w:tc>
          <w:tcPr>
            <w:tcW w:w="1664" w:type="dxa"/>
            <w:vAlign w:val="center"/>
          </w:tcPr>
          <w:p w14:paraId="40CCD069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2.876</w:t>
            </w:r>
          </w:p>
        </w:tc>
        <w:tc>
          <w:tcPr>
            <w:tcW w:w="1665" w:type="dxa"/>
            <w:vAlign w:val="center"/>
          </w:tcPr>
          <w:p w14:paraId="0C642756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1.736</w:t>
            </w:r>
          </w:p>
        </w:tc>
        <w:tc>
          <w:tcPr>
            <w:tcW w:w="1665" w:type="dxa"/>
            <w:vAlign w:val="center"/>
          </w:tcPr>
          <w:p w14:paraId="7945C3E3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-0.104</w:t>
            </w:r>
          </w:p>
        </w:tc>
      </w:tr>
      <w:tr w14:paraId="709DB3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8" w:type="dxa"/>
            <w:vAlign w:val="center"/>
          </w:tcPr>
          <w:p w14:paraId="2BE07D40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1664" w:type="dxa"/>
            <w:vAlign w:val="center"/>
          </w:tcPr>
          <w:p w14:paraId="5E31B9F1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0.055</w:t>
            </w:r>
          </w:p>
        </w:tc>
        <w:tc>
          <w:tcPr>
            <w:tcW w:w="1664" w:type="dxa"/>
            <w:vAlign w:val="center"/>
          </w:tcPr>
          <w:p w14:paraId="34B74D82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0.181</w:t>
            </w:r>
          </w:p>
        </w:tc>
        <w:tc>
          <w:tcPr>
            <w:tcW w:w="1665" w:type="dxa"/>
            <w:vAlign w:val="center"/>
          </w:tcPr>
          <w:p w14:paraId="772550D6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&lt;0.001</w:t>
            </w:r>
          </w:p>
        </w:tc>
        <w:tc>
          <w:tcPr>
            <w:tcW w:w="1665" w:type="dxa"/>
            <w:vAlign w:val="center"/>
          </w:tcPr>
          <w:p w14:paraId="6D9B0F0F">
            <w:pPr>
              <w:widowControl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0.200</w:t>
            </w:r>
          </w:p>
        </w:tc>
      </w:tr>
      <w:tr w14:paraId="2E5A4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6" w:type="dxa"/>
            <w:gridSpan w:val="5"/>
            <w:shd w:val="clear" w:color="auto" w:fill="auto"/>
            <w:vAlign w:val="center"/>
          </w:tcPr>
          <w:p w14:paraId="6CF2816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X (PSQI)→Y (S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D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S) mediated by M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(ReHo values of right PCu)</w:t>
            </w:r>
          </w:p>
        </w:tc>
      </w:tr>
      <w:tr w14:paraId="64BF2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8" w:type="dxa"/>
            <w:vAlign w:val="center"/>
          </w:tcPr>
          <w:p w14:paraId="5924FC5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β</w:t>
            </w:r>
          </w:p>
        </w:tc>
        <w:tc>
          <w:tcPr>
            <w:tcW w:w="1664" w:type="dxa"/>
            <w:vAlign w:val="center"/>
          </w:tcPr>
          <w:p w14:paraId="7AF0AEF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-0.010</w:t>
            </w:r>
          </w:p>
        </w:tc>
        <w:tc>
          <w:tcPr>
            <w:tcW w:w="1664" w:type="dxa"/>
            <w:vAlign w:val="center"/>
          </w:tcPr>
          <w:p w14:paraId="7E74A65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3.412</w:t>
            </w:r>
          </w:p>
        </w:tc>
        <w:tc>
          <w:tcPr>
            <w:tcW w:w="1665" w:type="dxa"/>
            <w:vAlign w:val="center"/>
          </w:tcPr>
          <w:p w14:paraId="5C1D965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1.667</w:t>
            </w:r>
          </w:p>
        </w:tc>
        <w:tc>
          <w:tcPr>
            <w:tcW w:w="1665" w:type="dxa"/>
            <w:vAlign w:val="center"/>
          </w:tcPr>
          <w:p w14:paraId="761D7FD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-0.035 </w:t>
            </w:r>
          </w:p>
        </w:tc>
      </w:tr>
      <w:tr w14:paraId="0F90E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8" w:type="dxa"/>
            <w:vAlign w:val="center"/>
          </w:tcPr>
          <w:p w14:paraId="159128F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1664" w:type="dxa"/>
            <w:vAlign w:val="center"/>
          </w:tcPr>
          <w:p w14:paraId="7CDE652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0.647</w:t>
            </w:r>
          </w:p>
        </w:tc>
        <w:tc>
          <w:tcPr>
            <w:tcW w:w="1664" w:type="dxa"/>
            <w:vAlign w:val="center"/>
          </w:tcPr>
          <w:p w14:paraId="7ADB4A9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0.058</w:t>
            </w:r>
          </w:p>
        </w:tc>
        <w:tc>
          <w:tcPr>
            <w:tcW w:w="1665" w:type="dxa"/>
            <w:vAlign w:val="center"/>
          </w:tcPr>
          <w:p w14:paraId="49C8FFA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665" w:type="dxa"/>
            <w:vAlign w:val="center"/>
          </w:tcPr>
          <w:p w14:paraId="3F03CB0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0.490</w:t>
            </w:r>
          </w:p>
        </w:tc>
      </w:tr>
      <w:tr w14:paraId="5C3C0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6" w:type="dxa"/>
            <w:gridSpan w:val="5"/>
            <w:vAlign w:val="center"/>
          </w:tcPr>
          <w:p w14:paraId="4446692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X (PSQI)→Y (S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D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S) mediated by M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(ReHo values of right MOG)</w:t>
            </w:r>
          </w:p>
        </w:tc>
      </w:tr>
      <w:tr w14:paraId="7FA54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8" w:type="dxa"/>
            <w:vAlign w:val="center"/>
          </w:tcPr>
          <w:p w14:paraId="0655BB5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β</w:t>
            </w:r>
          </w:p>
        </w:tc>
        <w:tc>
          <w:tcPr>
            <w:tcW w:w="1664" w:type="dxa"/>
            <w:vAlign w:val="center"/>
          </w:tcPr>
          <w:p w14:paraId="2201B8B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-0.018</w:t>
            </w:r>
          </w:p>
        </w:tc>
        <w:tc>
          <w:tcPr>
            <w:tcW w:w="1664" w:type="dxa"/>
            <w:vAlign w:val="center"/>
          </w:tcPr>
          <w:p w14:paraId="371783A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-4.802</w:t>
            </w:r>
          </w:p>
        </w:tc>
        <w:tc>
          <w:tcPr>
            <w:tcW w:w="1665" w:type="dxa"/>
            <w:vAlign w:val="center"/>
          </w:tcPr>
          <w:p w14:paraId="1C230C6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1.547</w:t>
            </w:r>
          </w:p>
        </w:tc>
        <w:tc>
          <w:tcPr>
            <w:tcW w:w="1665" w:type="dxa"/>
            <w:vAlign w:val="center"/>
          </w:tcPr>
          <w:p w14:paraId="079F26E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0.086</w:t>
            </w:r>
          </w:p>
        </w:tc>
      </w:tr>
      <w:tr w14:paraId="5CDD11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8" w:type="dxa"/>
            <w:tcBorders>
              <w:bottom w:val="single" w:color="auto" w:sz="12" w:space="0"/>
            </w:tcBorders>
            <w:vAlign w:val="center"/>
          </w:tcPr>
          <w:p w14:paraId="01AFA40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1664" w:type="dxa"/>
            <w:tcBorders>
              <w:bottom w:val="single" w:color="auto" w:sz="12" w:space="0"/>
            </w:tcBorders>
            <w:vAlign w:val="center"/>
          </w:tcPr>
          <w:p w14:paraId="4A34D01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0.554</w:t>
            </w:r>
          </w:p>
        </w:tc>
        <w:tc>
          <w:tcPr>
            <w:tcW w:w="1664" w:type="dxa"/>
            <w:tcBorders>
              <w:bottom w:val="single" w:color="auto" w:sz="12" w:space="0"/>
            </w:tcBorders>
            <w:vAlign w:val="center"/>
          </w:tcPr>
          <w:p w14:paraId="67203F5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665" w:type="dxa"/>
            <w:tcBorders>
              <w:bottom w:val="single" w:color="auto" w:sz="12" w:space="0"/>
            </w:tcBorders>
            <w:vAlign w:val="center"/>
          </w:tcPr>
          <w:p w14:paraId="5B2A47B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665" w:type="dxa"/>
            <w:tcBorders>
              <w:bottom w:val="single" w:color="auto" w:sz="12" w:space="0"/>
            </w:tcBorders>
            <w:vAlign w:val="center"/>
          </w:tcPr>
          <w:p w14:paraId="000F0FC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0.616</w:t>
            </w:r>
          </w:p>
        </w:tc>
      </w:tr>
    </w:tbl>
    <w:p w14:paraId="27EC64F4">
      <w:pPr>
        <w:rPr>
          <w:b/>
          <w:bCs/>
        </w:rPr>
      </w:pPr>
    </w:p>
    <w:p w14:paraId="32E9A06F">
      <w:pPr>
        <w:widowControl/>
        <w:jc w:val="left"/>
        <w:rPr>
          <w:rFonts w:ascii="Times New Roman" w:hAnsi="Times New Roman" w:cs="Times New Roman"/>
          <w:b/>
          <w:bCs/>
          <w:sz w:val="22"/>
          <w:szCs w:val="28"/>
        </w:rPr>
      </w:pPr>
      <w:r>
        <w:rPr>
          <w:rFonts w:ascii="Times New Roman" w:hAnsi="Times New Roman" w:cs="Times New Roman"/>
          <w:b/>
          <w:bCs/>
          <w:sz w:val="22"/>
          <w:szCs w:val="28"/>
        </w:rPr>
        <w:br w:type="page"/>
      </w:r>
    </w:p>
    <w:p w14:paraId="361EB5BF">
      <w:pPr>
        <w:spacing w:line="360" w:lineRule="auto"/>
        <w:rPr>
          <w:rFonts w:ascii="Times New Roman" w:hAnsi="Times New Roman"/>
          <w:b w:val="0"/>
          <w:sz w:val="22"/>
        </w:rPr>
      </w:pPr>
      <w:r>
        <w:rPr>
          <w:rFonts w:hint="eastAsia" w:ascii="Times New Roman" w:hAnsi="Times New Roman" w:cs="Times New Roman"/>
          <w:b/>
          <w:bCs/>
          <w:sz w:val="22"/>
          <w:szCs w:val="28"/>
        </w:rPr>
        <w:t xml:space="preserve">Figure 1 </w:t>
      </w:r>
      <w:r>
        <w:rPr>
          <w:rFonts w:hint="eastAsia" w:ascii="Times New Roman" w:hAnsi="Times New Roman"/>
          <w:b w:val="0"/>
          <w:sz w:val="22"/>
        </w:rPr>
        <w:t xml:space="preserve">Matrix Heatmap of correlations between rsFC, ReHo </w:t>
      </w:r>
      <w:r>
        <w:rPr>
          <w:rFonts w:hint="eastAsia" w:ascii="Times New Roman" w:hAnsi="Times New Roman" w:cs="Times New Roman"/>
          <w:sz w:val="22"/>
          <w:szCs w:val="28"/>
        </w:rPr>
        <w:t>valu</w:t>
      </w:r>
      <w:r>
        <w:rPr>
          <w:rFonts w:ascii="Times New Roman" w:hAnsi="Times New Roman" w:cs="Times New Roman"/>
          <w:sz w:val="22"/>
          <w:szCs w:val="28"/>
        </w:rPr>
        <w:t>e</w:t>
      </w:r>
      <w:r>
        <w:rPr>
          <w:rFonts w:hint="eastAsia" w:ascii="Times New Roman" w:hAnsi="Times New Roman" w:cs="Times New Roman"/>
          <w:sz w:val="22"/>
          <w:szCs w:val="28"/>
        </w:rPr>
        <w:t>s</w:t>
      </w:r>
      <w:r>
        <w:rPr>
          <w:rFonts w:hint="eastAsia" w:ascii="Times New Roman" w:hAnsi="Times New Roman"/>
          <w:b w:val="0"/>
          <w:sz w:val="22"/>
        </w:rPr>
        <w:t xml:space="preserve"> and clinical variables in PMS group.</w:t>
      </w:r>
      <w:r>
        <w:rPr>
          <w:rFonts w:hint="eastAsia" w:ascii="Times New Roman" w:hAnsi="Times New Roman" w:cs="Times New Roman"/>
          <w:b/>
          <w:bCs/>
          <w:sz w:val="22"/>
          <w:szCs w:val="28"/>
        </w:rPr>
        <w:t xml:space="preserve"> </w:t>
      </w:r>
      <w:r>
        <w:rPr>
          <w:rFonts w:hint="eastAsia" w:ascii="Times New Roman" w:hAnsi="Times New Roman" w:cs="Times New Roman"/>
          <w:sz w:val="22"/>
          <w:szCs w:val="28"/>
        </w:rPr>
        <w:t xml:space="preserve">Abbreviations: IPL, </w:t>
      </w:r>
      <w:r>
        <w:rPr>
          <w:rFonts w:ascii="Times New Roman" w:hAnsi="Times New Roman" w:cs="Times New Roman"/>
          <w:sz w:val="22"/>
          <w:szCs w:val="28"/>
        </w:rPr>
        <w:t>i</w:t>
      </w:r>
      <w:r>
        <w:rPr>
          <w:rFonts w:hint="eastAsia" w:ascii="Times New Roman" w:hAnsi="Times New Roman" w:cs="Times New Roman"/>
          <w:sz w:val="22"/>
          <w:szCs w:val="28"/>
        </w:rPr>
        <w:t xml:space="preserve">nferior </w:t>
      </w:r>
      <w:r>
        <w:rPr>
          <w:rFonts w:ascii="Times New Roman" w:hAnsi="Times New Roman" w:cs="Times New Roman"/>
          <w:sz w:val="22"/>
          <w:szCs w:val="28"/>
        </w:rPr>
        <w:t>p</w:t>
      </w:r>
      <w:r>
        <w:rPr>
          <w:rFonts w:hint="eastAsia" w:ascii="Times New Roman" w:hAnsi="Times New Roman" w:cs="Times New Roman"/>
          <w:sz w:val="22"/>
          <w:szCs w:val="28"/>
        </w:rPr>
        <w:t xml:space="preserve">arietal </w:t>
      </w:r>
      <w:r>
        <w:rPr>
          <w:rFonts w:ascii="Times New Roman" w:hAnsi="Times New Roman" w:cs="Times New Roman"/>
          <w:sz w:val="22"/>
          <w:szCs w:val="28"/>
        </w:rPr>
        <w:t>l</w:t>
      </w:r>
      <w:r>
        <w:rPr>
          <w:rFonts w:hint="eastAsia" w:ascii="Times New Roman" w:hAnsi="Times New Roman" w:cs="Times New Roman"/>
          <w:sz w:val="22"/>
          <w:szCs w:val="28"/>
        </w:rPr>
        <w:t xml:space="preserve">obule; PCu, </w:t>
      </w:r>
      <w:r>
        <w:rPr>
          <w:rFonts w:ascii="Times New Roman" w:hAnsi="Times New Roman" w:cs="Times New Roman"/>
          <w:sz w:val="22"/>
          <w:szCs w:val="28"/>
        </w:rPr>
        <w:t>p</w:t>
      </w:r>
      <w:r>
        <w:rPr>
          <w:rFonts w:hint="eastAsia" w:ascii="Times New Roman" w:hAnsi="Times New Roman" w:cs="Times New Roman"/>
          <w:sz w:val="22"/>
          <w:szCs w:val="28"/>
        </w:rPr>
        <w:t xml:space="preserve">osterior </w:t>
      </w:r>
      <w:r>
        <w:rPr>
          <w:rFonts w:ascii="Times New Roman" w:hAnsi="Times New Roman" w:cs="Times New Roman"/>
          <w:sz w:val="22"/>
          <w:szCs w:val="28"/>
        </w:rPr>
        <w:t>c</w:t>
      </w:r>
      <w:r>
        <w:rPr>
          <w:rFonts w:hint="eastAsia" w:ascii="Times New Roman" w:hAnsi="Times New Roman" w:cs="Times New Roman"/>
          <w:sz w:val="22"/>
          <w:szCs w:val="28"/>
        </w:rPr>
        <w:t>ingulate/</w:t>
      </w:r>
      <w:r>
        <w:rPr>
          <w:rFonts w:ascii="Times New Roman" w:hAnsi="Times New Roman" w:cs="Times New Roman"/>
          <w:sz w:val="22"/>
          <w:szCs w:val="28"/>
        </w:rPr>
        <w:t>p</w:t>
      </w:r>
      <w:r>
        <w:rPr>
          <w:rFonts w:hint="eastAsia" w:ascii="Times New Roman" w:hAnsi="Times New Roman" w:cs="Times New Roman"/>
          <w:sz w:val="22"/>
          <w:szCs w:val="28"/>
        </w:rPr>
        <w:t xml:space="preserve">recuneus; MOG, </w:t>
      </w:r>
      <w:r>
        <w:rPr>
          <w:rFonts w:ascii="Times New Roman" w:hAnsi="Times New Roman" w:cs="Times New Roman"/>
          <w:sz w:val="22"/>
          <w:szCs w:val="28"/>
        </w:rPr>
        <w:t>m</w:t>
      </w:r>
      <w:r>
        <w:rPr>
          <w:rFonts w:hint="eastAsia" w:ascii="Times New Roman" w:hAnsi="Times New Roman" w:cs="Times New Roman"/>
          <w:sz w:val="22"/>
          <w:szCs w:val="28"/>
        </w:rPr>
        <w:t xml:space="preserve">iddle </w:t>
      </w:r>
      <w:r>
        <w:rPr>
          <w:rFonts w:ascii="Times New Roman" w:hAnsi="Times New Roman" w:cs="Times New Roman"/>
          <w:sz w:val="22"/>
          <w:szCs w:val="28"/>
        </w:rPr>
        <w:t>o</w:t>
      </w:r>
      <w:r>
        <w:rPr>
          <w:rFonts w:hint="eastAsia" w:ascii="Times New Roman" w:hAnsi="Times New Roman" w:cs="Times New Roman"/>
          <w:sz w:val="22"/>
          <w:szCs w:val="28"/>
        </w:rPr>
        <w:t xml:space="preserve">ccipital </w:t>
      </w:r>
      <w:r>
        <w:rPr>
          <w:rFonts w:ascii="Times New Roman" w:hAnsi="Times New Roman" w:cs="Times New Roman"/>
          <w:sz w:val="22"/>
          <w:szCs w:val="28"/>
        </w:rPr>
        <w:t>g</w:t>
      </w:r>
      <w:r>
        <w:rPr>
          <w:rFonts w:hint="eastAsia" w:ascii="Times New Roman" w:hAnsi="Times New Roman" w:cs="Times New Roman"/>
          <w:sz w:val="22"/>
          <w:szCs w:val="28"/>
        </w:rPr>
        <w:t xml:space="preserve">yrus ; </w:t>
      </w:r>
      <w:r>
        <w:rPr>
          <w:rFonts w:ascii="Times New Roman" w:hAnsi="Times New Roman" w:cs="Times New Roman"/>
          <w:sz w:val="22"/>
          <w:szCs w:val="28"/>
        </w:rPr>
        <w:t>VM</w:t>
      </w:r>
      <w:r>
        <w:rPr>
          <w:rFonts w:hint="eastAsia" w:ascii="Times New Roman" w:hAnsi="Times New Roman" w:cs="Times New Roman"/>
          <w:sz w:val="22"/>
          <w:szCs w:val="28"/>
        </w:rPr>
        <w:t xml:space="preserve">PFC, </w:t>
      </w:r>
      <w:r>
        <w:rPr>
          <w:rFonts w:ascii="Times New Roman" w:hAnsi="Times New Roman" w:cs="Times New Roman"/>
          <w:sz w:val="22"/>
          <w:szCs w:val="28"/>
        </w:rPr>
        <w:t>v</w:t>
      </w:r>
      <w:r>
        <w:rPr>
          <w:rFonts w:hint="eastAsia" w:ascii="Times New Roman" w:hAnsi="Times New Roman" w:cs="Times New Roman"/>
          <w:sz w:val="22"/>
          <w:szCs w:val="28"/>
        </w:rPr>
        <w:t xml:space="preserve">entromedial </w:t>
      </w:r>
      <w:r>
        <w:rPr>
          <w:rFonts w:ascii="Times New Roman" w:hAnsi="Times New Roman" w:cs="Times New Roman"/>
          <w:sz w:val="22"/>
          <w:szCs w:val="28"/>
        </w:rPr>
        <w:t>p</w:t>
      </w:r>
      <w:r>
        <w:rPr>
          <w:rFonts w:hint="eastAsia" w:ascii="Times New Roman" w:hAnsi="Times New Roman" w:cs="Times New Roman"/>
          <w:sz w:val="22"/>
          <w:szCs w:val="28"/>
        </w:rPr>
        <w:t xml:space="preserve">refrontal </w:t>
      </w:r>
      <w:r>
        <w:rPr>
          <w:rFonts w:ascii="Times New Roman" w:hAnsi="Times New Roman" w:cs="Times New Roman"/>
          <w:sz w:val="22"/>
          <w:szCs w:val="28"/>
        </w:rPr>
        <w:t>c</w:t>
      </w:r>
      <w:r>
        <w:rPr>
          <w:rFonts w:hint="eastAsia" w:ascii="Times New Roman" w:hAnsi="Times New Roman" w:cs="Times New Roman"/>
          <w:sz w:val="22"/>
          <w:szCs w:val="28"/>
        </w:rPr>
        <w:t xml:space="preserve">ortex; PSQI, Pittsburgh Sleep Quality Index; SAS, Self-Rating Anxiety Scale; SDS, Self-Rating Depression Scale; ReHo, Regional Homogeneity. * denotes </w:t>
      </w:r>
      <w:r>
        <w:rPr>
          <w:rFonts w:hint="eastAsia" w:ascii="Times New Roman" w:hAnsi="Times New Roman"/>
          <w:i/>
          <w:sz w:val="22"/>
        </w:rPr>
        <w:t>p</w:t>
      </w:r>
      <w:r>
        <w:rPr>
          <w:rFonts w:hint="eastAsia" w:ascii="Times New Roman" w:hAnsi="Times New Roman" w:cs="Times New Roman"/>
          <w:sz w:val="22"/>
          <w:szCs w:val="28"/>
        </w:rPr>
        <w:t xml:space="preserve"> &lt; 0.05, ** denotes </w:t>
      </w:r>
      <w:r>
        <w:rPr>
          <w:rFonts w:hint="eastAsia" w:ascii="Times New Roman" w:hAnsi="Times New Roman"/>
          <w:i/>
          <w:sz w:val="22"/>
        </w:rPr>
        <w:t>p</w:t>
      </w:r>
      <w:r>
        <w:rPr>
          <w:rFonts w:hint="eastAsia" w:ascii="Times New Roman" w:hAnsi="Times New Roman" w:cs="Times New Roman"/>
          <w:sz w:val="22"/>
          <w:szCs w:val="28"/>
        </w:rPr>
        <w:t xml:space="preserve"> &lt; 0.01, and ***denotes </w:t>
      </w:r>
      <w:r>
        <w:rPr>
          <w:rFonts w:hint="eastAsia" w:ascii="Times New Roman" w:hAnsi="Times New Roman"/>
          <w:i/>
          <w:sz w:val="22"/>
        </w:rPr>
        <w:t>p</w:t>
      </w:r>
      <w:r>
        <w:rPr>
          <w:rFonts w:hint="eastAsia" w:ascii="Times New Roman" w:hAnsi="Times New Roman" w:cs="Times New Roman"/>
          <w:sz w:val="22"/>
          <w:szCs w:val="28"/>
        </w:rPr>
        <w:t xml:space="preserve"> &lt; 0.001.</w:t>
      </w:r>
    </w:p>
    <w:p w14:paraId="29750C4B">
      <w:pPr>
        <w:spacing w:after="120" w:line="360" w:lineRule="auto"/>
        <w:rPr>
          <w:rFonts w:ascii="Times New Roman" w:hAnsi="Times New Roman" w:cs="Times New Roman"/>
          <w:b/>
          <w:bCs/>
          <w:sz w:val="22"/>
          <w:szCs w:val="28"/>
        </w:rPr>
      </w:pPr>
      <w:r>
        <w:rPr>
          <w:rFonts w:hint="eastAsia" w:ascii="Times New Roman" w:hAnsi="Times New Roman" w:cs="Times New Roman"/>
          <w:b/>
          <w:bCs/>
          <w:sz w:val="22"/>
          <w:szCs w:val="28"/>
        </w:rPr>
        <w:drawing>
          <wp:inline distT="0" distB="0" distL="0" distR="0">
            <wp:extent cx="4092575" cy="3471545"/>
            <wp:effectExtent l="0" t="0" r="3175" b="5080"/>
            <wp:docPr id="71190697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1906972" name="图片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94905" cy="3473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56AB2">
      <w:pPr>
        <w:spacing w:after="120" w:line="360" w:lineRule="auto"/>
        <w:rPr>
          <w:rFonts w:ascii="Times New Roman" w:hAnsi="Times New Roman" w:cs="Times New Roman"/>
          <w:b/>
          <w:bCs/>
          <w:sz w:val="22"/>
          <w:szCs w:val="28"/>
        </w:rPr>
      </w:pPr>
    </w:p>
    <w:p w14:paraId="6FBAF325">
      <w:pPr>
        <w:rPr>
          <w:rFonts w:ascii="Times New Roman" w:hAnsi="Times New Roman" w:cs="Times New Roman"/>
          <w:b/>
          <w:bCs/>
          <w:sz w:val="22"/>
          <w:szCs w:val="28"/>
        </w:rPr>
      </w:pPr>
    </w:p>
    <w:p w14:paraId="720ED364">
      <w:pPr>
        <w:rPr>
          <w:rFonts w:ascii="Times New Roman" w:hAnsi="Times New Roman" w:cs="Times New Roman"/>
          <w:b/>
          <w:bCs/>
          <w:sz w:val="22"/>
          <w:szCs w:val="28"/>
        </w:rPr>
      </w:pPr>
    </w:p>
    <w:p w14:paraId="3DD09465">
      <w:pPr>
        <w:rPr>
          <w:rFonts w:ascii="Times New Roman" w:hAnsi="Times New Roman" w:cs="Times New Roman"/>
          <w:b/>
          <w:bCs/>
          <w:sz w:val="22"/>
          <w:szCs w:val="28"/>
        </w:rPr>
      </w:pPr>
    </w:p>
    <w:p w14:paraId="05D9C448">
      <w:pPr>
        <w:rPr>
          <w:rFonts w:ascii="Times New Roman" w:hAnsi="Times New Roman" w:cs="Times New Roman"/>
          <w:b/>
          <w:bCs/>
          <w:sz w:val="22"/>
          <w:szCs w:val="28"/>
        </w:rPr>
      </w:pPr>
    </w:p>
    <w:p w14:paraId="0E4BAC9D">
      <w:pPr>
        <w:rPr>
          <w:rFonts w:ascii="Times New Roman" w:hAnsi="Times New Roman" w:cs="Times New Roman"/>
          <w:b/>
          <w:bCs/>
          <w:sz w:val="22"/>
          <w:szCs w:val="28"/>
        </w:rPr>
      </w:pPr>
    </w:p>
    <w:p w14:paraId="0829CE31">
      <w:pPr>
        <w:rPr>
          <w:rFonts w:ascii="Times New Roman" w:hAnsi="Times New Roman" w:cs="Times New Roman"/>
          <w:b/>
          <w:bCs/>
          <w:sz w:val="22"/>
          <w:szCs w:val="28"/>
        </w:rPr>
      </w:pPr>
    </w:p>
    <w:p w14:paraId="46D7E865">
      <w:pPr>
        <w:rPr>
          <w:rFonts w:ascii="Times New Roman" w:hAnsi="Times New Roman" w:cs="Times New Roman"/>
          <w:b/>
          <w:bCs/>
          <w:sz w:val="22"/>
          <w:szCs w:val="28"/>
        </w:rPr>
      </w:pPr>
    </w:p>
    <w:p w14:paraId="63FB462D">
      <w:pPr>
        <w:rPr>
          <w:rFonts w:ascii="Times New Roman" w:hAnsi="Times New Roman" w:cs="Times New Roman"/>
          <w:b/>
          <w:bCs/>
          <w:sz w:val="22"/>
          <w:szCs w:val="28"/>
        </w:rPr>
      </w:pPr>
    </w:p>
    <w:p w14:paraId="39C0243C">
      <w:pPr>
        <w:rPr>
          <w:rFonts w:ascii="Times New Roman" w:hAnsi="Times New Roman" w:cs="Times New Roman"/>
          <w:b/>
          <w:bCs/>
          <w:sz w:val="22"/>
          <w:szCs w:val="28"/>
        </w:rPr>
      </w:pPr>
    </w:p>
    <w:p w14:paraId="1B3ADD41">
      <w:pPr>
        <w:rPr>
          <w:rFonts w:ascii="Times New Roman" w:hAnsi="Times New Roman" w:cs="Times New Roman"/>
          <w:b/>
          <w:bCs/>
          <w:sz w:val="22"/>
          <w:szCs w:val="28"/>
        </w:rPr>
      </w:pPr>
    </w:p>
    <w:p w14:paraId="3C46B6B8">
      <w:pPr>
        <w:rPr>
          <w:rFonts w:ascii="Times New Roman" w:hAnsi="Times New Roman" w:cs="Times New Roman"/>
          <w:b/>
          <w:bCs/>
          <w:sz w:val="22"/>
          <w:szCs w:val="28"/>
        </w:rPr>
      </w:pPr>
    </w:p>
    <w:p w14:paraId="7FDC7BD8">
      <w:pPr>
        <w:rPr>
          <w:rFonts w:ascii="Times New Roman" w:hAnsi="Times New Roman" w:cs="Times New Roman"/>
          <w:b/>
          <w:bCs/>
          <w:sz w:val="22"/>
          <w:szCs w:val="28"/>
        </w:rPr>
      </w:pPr>
    </w:p>
    <w:p w14:paraId="488806DA">
      <w:pPr>
        <w:rPr>
          <w:rFonts w:ascii="Times New Roman" w:hAnsi="Times New Roman" w:cs="Times New Roman"/>
          <w:b/>
          <w:bCs/>
          <w:sz w:val="22"/>
          <w:szCs w:val="28"/>
        </w:rPr>
      </w:pPr>
    </w:p>
    <w:p w14:paraId="257BBCED">
      <w:pPr>
        <w:rPr>
          <w:rFonts w:ascii="Times New Roman" w:hAnsi="Times New Roman" w:cs="Times New Roman"/>
          <w:b/>
          <w:bCs/>
          <w:sz w:val="22"/>
          <w:szCs w:val="28"/>
        </w:rPr>
      </w:pPr>
    </w:p>
    <w:p w14:paraId="170BA0E0">
      <w:pPr>
        <w:rPr>
          <w:rFonts w:ascii="Times New Roman" w:hAnsi="Times New Roman" w:cs="Times New Roman"/>
          <w:b/>
          <w:bCs/>
          <w:sz w:val="22"/>
          <w:szCs w:val="28"/>
        </w:rPr>
      </w:pPr>
    </w:p>
    <w:p w14:paraId="6444E8EB">
      <w:pPr>
        <w:spacing w:line="360" w:lineRule="auto"/>
        <w:rPr>
          <w:rFonts w:ascii="Times New Roman" w:hAnsi="Times New Roman" w:cs="Times New Roman"/>
          <w:b/>
          <w:bCs/>
          <w:sz w:val="22"/>
          <w:szCs w:val="28"/>
        </w:rPr>
      </w:pPr>
      <w:r>
        <w:rPr>
          <w:rFonts w:hint="eastAsia" w:ascii="Times New Roman" w:hAnsi="Times New Roman" w:cs="Times New Roman"/>
          <w:b/>
          <w:bCs/>
          <w:sz w:val="22"/>
          <w:szCs w:val="28"/>
        </w:rPr>
        <w:t xml:space="preserve">Figure 2 </w:t>
      </w:r>
      <w:r>
        <w:rPr>
          <w:rFonts w:hint="eastAsia" w:ascii="Times New Roman" w:hAnsi="Times New Roman"/>
          <w:b w:val="0"/>
          <w:sz w:val="22"/>
        </w:rPr>
        <w:t xml:space="preserve">Conceptual diagram of mediation analysis in PMS group based on </w:t>
      </w:r>
      <w:r>
        <w:rPr>
          <w:rFonts w:hint="eastAsia" w:ascii="Times New Roman" w:hAnsi="Times New Roman" w:cs="Times New Roman"/>
          <w:sz w:val="22"/>
          <w:szCs w:val="28"/>
        </w:rPr>
        <w:t>Model</w:t>
      </w:r>
      <w:r>
        <w:rPr>
          <w:rFonts w:ascii="Times New Roman" w:hAnsi="Times New Roman" w:cs="Times New Roman"/>
          <w:sz w:val="22"/>
          <w:szCs w:val="28"/>
        </w:rPr>
        <w:t xml:space="preserve"> </w:t>
      </w:r>
      <w:r>
        <w:rPr>
          <w:rFonts w:hint="eastAsia" w:ascii="Times New Roman" w:hAnsi="Times New Roman" w:cs="Times New Roman"/>
          <w:sz w:val="22"/>
          <w:szCs w:val="28"/>
        </w:rPr>
        <w:t>3</w:t>
      </w:r>
      <w:r>
        <w:rPr>
          <w:rFonts w:hint="eastAsia" w:ascii="Times New Roman" w:hAnsi="Times New Roman"/>
          <w:b w:val="0"/>
          <w:sz w:val="22"/>
        </w:rPr>
        <w:t xml:space="preserve"> and </w:t>
      </w:r>
      <w:r>
        <w:rPr>
          <w:rFonts w:hint="eastAsia" w:ascii="Times New Roman" w:hAnsi="Times New Roman" w:cs="Times New Roman"/>
          <w:sz w:val="22"/>
          <w:szCs w:val="28"/>
        </w:rPr>
        <w:t>Model</w:t>
      </w:r>
      <w:r>
        <w:rPr>
          <w:rFonts w:ascii="Times New Roman" w:hAnsi="Times New Roman" w:cs="Times New Roman"/>
          <w:sz w:val="22"/>
          <w:szCs w:val="28"/>
        </w:rPr>
        <w:t xml:space="preserve"> </w:t>
      </w:r>
      <w:r>
        <w:rPr>
          <w:rFonts w:hint="eastAsia" w:ascii="Times New Roman" w:hAnsi="Times New Roman" w:cs="Times New Roman"/>
          <w:sz w:val="22"/>
          <w:szCs w:val="28"/>
        </w:rPr>
        <w:t>4</w:t>
      </w:r>
      <w:r>
        <w:rPr>
          <w:rFonts w:hint="eastAsia" w:ascii="Times New Roman" w:hAnsi="Times New Roman"/>
          <w:b w:val="0"/>
          <w:sz w:val="22"/>
        </w:rPr>
        <w:t>.</w:t>
      </w:r>
      <w:r>
        <w:rPr>
          <w:rFonts w:hint="eastAsia" w:ascii="Times New Roman" w:hAnsi="Times New Roman" w:cs="Times New Roman"/>
          <w:b/>
          <w:bCs/>
          <w:sz w:val="22"/>
          <w:szCs w:val="28"/>
        </w:rPr>
        <w:t xml:space="preserve"> </w:t>
      </w:r>
      <w:r>
        <w:rPr>
          <w:rFonts w:hint="eastAsia" w:ascii="Times New Roman" w:hAnsi="Times New Roman" w:cs="Times New Roman"/>
          <w:sz w:val="22"/>
          <w:szCs w:val="28"/>
        </w:rPr>
        <w:t>A) and B) showing the results based on the rsFC and ReHo values, respectively</w:t>
      </w:r>
      <w:r>
        <w:rPr>
          <w:rFonts w:ascii="Times New Roman" w:hAnsi="Times New Roman" w:cs="Times New Roman"/>
          <w:sz w:val="22"/>
          <w:szCs w:val="28"/>
        </w:rPr>
        <w:t xml:space="preserve">. </w:t>
      </w:r>
      <w:r>
        <w:rPr>
          <w:rFonts w:hint="eastAsia" w:ascii="Times New Roman" w:hAnsi="Times New Roman" w:cs="Times New Roman"/>
          <w:sz w:val="22"/>
          <w:szCs w:val="28"/>
        </w:rPr>
        <w:t xml:space="preserve">Abbreviations: IPL, </w:t>
      </w:r>
      <w:r>
        <w:rPr>
          <w:rFonts w:ascii="Times New Roman" w:hAnsi="Times New Roman" w:cs="Times New Roman"/>
          <w:sz w:val="22"/>
          <w:szCs w:val="28"/>
        </w:rPr>
        <w:t>i</w:t>
      </w:r>
      <w:r>
        <w:rPr>
          <w:rFonts w:hint="eastAsia" w:ascii="Times New Roman" w:hAnsi="Times New Roman" w:cs="Times New Roman"/>
          <w:sz w:val="22"/>
          <w:szCs w:val="28"/>
        </w:rPr>
        <w:t xml:space="preserve">nferior </w:t>
      </w:r>
      <w:r>
        <w:rPr>
          <w:rFonts w:ascii="Times New Roman" w:hAnsi="Times New Roman" w:cs="Times New Roman"/>
          <w:sz w:val="22"/>
          <w:szCs w:val="28"/>
        </w:rPr>
        <w:t>p</w:t>
      </w:r>
      <w:r>
        <w:rPr>
          <w:rFonts w:hint="eastAsia" w:ascii="Times New Roman" w:hAnsi="Times New Roman" w:cs="Times New Roman"/>
          <w:sz w:val="22"/>
          <w:szCs w:val="28"/>
        </w:rPr>
        <w:t xml:space="preserve">arietal </w:t>
      </w:r>
      <w:r>
        <w:rPr>
          <w:rFonts w:ascii="Times New Roman" w:hAnsi="Times New Roman" w:cs="Times New Roman"/>
          <w:sz w:val="22"/>
          <w:szCs w:val="28"/>
        </w:rPr>
        <w:t>l</w:t>
      </w:r>
      <w:r>
        <w:rPr>
          <w:rFonts w:hint="eastAsia" w:ascii="Times New Roman" w:hAnsi="Times New Roman" w:cs="Times New Roman"/>
          <w:sz w:val="22"/>
          <w:szCs w:val="28"/>
        </w:rPr>
        <w:t xml:space="preserve">obule; PCu, </w:t>
      </w:r>
      <w:r>
        <w:rPr>
          <w:rFonts w:ascii="Times New Roman" w:hAnsi="Times New Roman" w:cs="Times New Roman"/>
          <w:sz w:val="22"/>
          <w:szCs w:val="28"/>
        </w:rPr>
        <w:t>p</w:t>
      </w:r>
      <w:r>
        <w:rPr>
          <w:rFonts w:hint="eastAsia" w:ascii="Times New Roman" w:hAnsi="Times New Roman" w:cs="Times New Roman"/>
          <w:sz w:val="22"/>
          <w:szCs w:val="28"/>
        </w:rPr>
        <w:t xml:space="preserve">osterior </w:t>
      </w:r>
      <w:r>
        <w:rPr>
          <w:rFonts w:ascii="Times New Roman" w:hAnsi="Times New Roman" w:cs="Times New Roman"/>
          <w:sz w:val="22"/>
          <w:szCs w:val="28"/>
        </w:rPr>
        <w:t>c</w:t>
      </w:r>
      <w:r>
        <w:rPr>
          <w:rFonts w:hint="eastAsia" w:ascii="Times New Roman" w:hAnsi="Times New Roman" w:cs="Times New Roman"/>
          <w:sz w:val="22"/>
          <w:szCs w:val="28"/>
        </w:rPr>
        <w:t xml:space="preserve">ingulate/Precuneus; MOG, </w:t>
      </w:r>
      <w:r>
        <w:rPr>
          <w:rFonts w:ascii="Times New Roman" w:hAnsi="Times New Roman" w:cs="Times New Roman"/>
          <w:sz w:val="22"/>
          <w:szCs w:val="28"/>
        </w:rPr>
        <w:t>m</w:t>
      </w:r>
      <w:r>
        <w:rPr>
          <w:rFonts w:hint="eastAsia" w:ascii="Times New Roman" w:hAnsi="Times New Roman" w:cs="Times New Roman"/>
          <w:sz w:val="22"/>
          <w:szCs w:val="28"/>
        </w:rPr>
        <w:t xml:space="preserve">iddle </w:t>
      </w:r>
      <w:r>
        <w:rPr>
          <w:rFonts w:ascii="Times New Roman" w:hAnsi="Times New Roman" w:cs="Times New Roman"/>
          <w:sz w:val="22"/>
          <w:szCs w:val="28"/>
        </w:rPr>
        <w:t>o</w:t>
      </w:r>
      <w:r>
        <w:rPr>
          <w:rFonts w:hint="eastAsia" w:ascii="Times New Roman" w:hAnsi="Times New Roman" w:cs="Times New Roman"/>
          <w:sz w:val="22"/>
          <w:szCs w:val="28"/>
        </w:rPr>
        <w:t xml:space="preserve">ccipital </w:t>
      </w:r>
      <w:r>
        <w:rPr>
          <w:rFonts w:ascii="Times New Roman" w:hAnsi="Times New Roman" w:cs="Times New Roman"/>
          <w:sz w:val="22"/>
          <w:szCs w:val="28"/>
        </w:rPr>
        <w:t>g</w:t>
      </w:r>
      <w:r>
        <w:rPr>
          <w:rFonts w:hint="eastAsia" w:ascii="Times New Roman" w:hAnsi="Times New Roman" w:cs="Times New Roman"/>
          <w:sz w:val="22"/>
          <w:szCs w:val="28"/>
        </w:rPr>
        <w:t xml:space="preserve">yrus; </w:t>
      </w:r>
      <w:r>
        <w:rPr>
          <w:rFonts w:ascii="Times New Roman" w:hAnsi="Times New Roman" w:cs="Times New Roman"/>
          <w:sz w:val="22"/>
          <w:szCs w:val="28"/>
        </w:rPr>
        <w:t>VM</w:t>
      </w:r>
      <w:r>
        <w:rPr>
          <w:rFonts w:hint="eastAsia" w:ascii="Times New Roman" w:hAnsi="Times New Roman" w:cs="Times New Roman"/>
          <w:sz w:val="22"/>
          <w:szCs w:val="28"/>
        </w:rPr>
        <w:t xml:space="preserve">PFC, </w:t>
      </w:r>
      <w:r>
        <w:rPr>
          <w:rFonts w:ascii="Times New Roman" w:hAnsi="Times New Roman" w:cs="Times New Roman"/>
          <w:sz w:val="22"/>
          <w:szCs w:val="28"/>
        </w:rPr>
        <w:t>v</w:t>
      </w:r>
      <w:r>
        <w:rPr>
          <w:rFonts w:hint="eastAsia" w:ascii="Times New Roman" w:hAnsi="Times New Roman" w:cs="Times New Roman"/>
          <w:sz w:val="22"/>
          <w:szCs w:val="28"/>
        </w:rPr>
        <w:t xml:space="preserve">entromedial </w:t>
      </w:r>
      <w:r>
        <w:rPr>
          <w:rFonts w:ascii="Times New Roman" w:hAnsi="Times New Roman" w:cs="Times New Roman"/>
          <w:sz w:val="22"/>
          <w:szCs w:val="28"/>
        </w:rPr>
        <w:t>p</w:t>
      </w:r>
      <w:r>
        <w:rPr>
          <w:rFonts w:hint="eastAsia" w:ascii="Times New Roman" w:hAnsi="Times New Roman" w:cs="Times New Roman"/>
          <w:sz w:val="22"/>
          <w:szCs w:val="28"/>
        </w:rPr>
        <w:t xml:space="preserve">refrontal </w:t>
      </w:r>
      <w:r>
        <w:rPr>
          <w:rFonts w:ascii="Times New Roman" w:hAnsi="Times New Roman" w:cs="Times New Roman"/>
          <w:sz w:val="22"/>
          <w:szCs w:val="28"/>
        </w:rPr>
        <w:t>c</w:t>
      </w:r>
      <w:r>
        <w:rPr>
          <w:rFonts w:hint="eastAsia" w:ascii="Times New Roman" w:hAnsi="Times New Roman" w:cs="Times New Roman"/>
          <w:sz w:val="22"/>
          <w:szCs w:val="28"/>
        </w:rPr>
        <w:t xml:space="preserve">ortex;  * denotes </w:t>
      </w:r>
      <w:r>
        <w:rPr>
          <w:rFonts w:hint="eastAsia" w:ascii="Times New Roman" w:hAnsi="Times New Roman"/>
          <w:i/>
          <w:sz w:val="22"/>
        </w:rPr>
        <w:t>p</w:t>
      </w:r>
      <w:r>
        <w:rPr>
          <w:rFonts w:hint="eastAsia" w:ascii="Times New Roman" w:hAnsi="Times New Roman" w:cs="Times New Roman"/>
          <w:sz w:val="22"/>
          <w:szCs w:val="28"/>
        </w:rPr>
        <w:t xml:space="preserve"> &lt; 0.05, ** denotes </w:t>
      </w:r>
      <w:r>
        <w:rPr>
          <w:rFonts w:hint="eastAsia" w:ascii="Times New Roman" w:hAnsi="Times New Roman"/>
          <w:i/>
          <w:sz w:val="22"/>
        </w:rPr>
        <w:t>p</w:t>
      </w:r>
      <w:r>
        <w:rPr>
          <w:rFonts w:hint="eastAsia" w:ascii="Times New Roman" w:hAnsi="Times New Roman" w:cs="Times New Roman"/>
          <w:sz w:val="22"/>
          <w:szCs w:val="28"/>
        </w:rPr>
        <w:t xml:space="preserve"> &lt; 0.01, and ***</w:t>
      </w:r>
      <w:r>
        <w:rPr>
          <w:rFonts w:ascii="Times New Roman" w:hAnsi="Times New Roman" w:cs="Times New Roman"/>
          <w:sz w:val="22"/>
          <w:szCs w:val="28"/>
        </w:rPr>
        <w:t xml:space="preserve"> </w:t>
      </w:r>
      <w:r>
        <w:rPr>
          <w:rFonts w:hint="eastAsia" w:ascii="Times New Roman" w:hAnsi="Times New Roman" w:cs="Times New Roman"/>
          <w:sz w:val="22"/>
          <w:szCs w:val="28"/>
        </w:rPr>
        <w:t xml:space="preserve">denotes </w:t>
      </w:r>
      <w:r>
        <w:rPr>
          <w:rFonts w:hint="eastAsia" w:ascii="Times New Roman" w:hAnsi="Times New Roman"/>
          <w:i/>
          <w:sz w:val="22"/>
        </w:rPr>
        <w:t>p</w:t>
      </w:r>
      <w:r>
        <w:rPr>
          <w:rFonts w:hint="eastAsia" w:ascii="Times New Roman" w:hAnsi="Times New Roman" w:cs="Times New Roman"/>
          <w:sz w:val="22"/>
          <w:szCs w:val="28"/>
        </w:rPr>
        <w:t xml:space="preserve"> &lt; 0.001.</w:t>
      </w:r>
    </w:p>
    <w:p w14:paraId="653B1D8A">
      <w:r>
        <w:rPr>
          <w:rFonts w:hint="eastAsia"/>
        </w:rPr>
        <w:drawing>
          <wp:inline distT="0" distB="0" distL="0" distR="0">
            <wp:extent cx="5274310" cy="4656455"/>
            <wp:effectExtent l="0" t="0" r="2540" b="1270"/>
            <wp:docPr id="147824062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8240623" name="图片 1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5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E924C1"/>
    <w:p w14:paraId="3633CFFD">
      <w:pPr>
        <w:spacing w:line="360" w:lineRule="auto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t xml:space="preserve">1. </w:t>
      </w:r>
      <w:r>
        <w:rPr>
          <w:rFonts w:hint="eastAsia" w:ascii="Times New Roman" w:hAnsi="Times New Roman" w:cs="Times New Roman"/>
          <w:b/>
          <w:bCs/>
          <w:sz w:val="24"/>
          <w:szCs w:val="32"/>
        </w:rPr>
        <w:t>Inclusion and exclusion criteria</w:t>
      </w:r>
    </w:p>
    <w:p w14:paraId="7CBEE882">
      <w:pPr>
        <w:spacing w:line="360" w:lineRule="auto"/>
        <w:rPr>
          <w:rFonts w:ascii="Times New Roman" w:hAnsi="Times New Roman"/>
          <w:i/>
          <w:lang w:val="en-CA"/>
        </w:rPr>
      </w:pPr>
      <w:r>
        <w:rPr>
          <w:rFonts w:ascii="Times New Roman" w:hAnsi="Times New Roman" w:cs="Times New Roman"/>
          <w:i/>
          <w:iCs/>
          <w:lang w:val="en-CA"/>
        </w:rPr>
        <w:t xml:space="preserve">1.1 </w:t>
      </w:r>
      <w:r>
        <w:rPr>
          <w:rFonts w:hint="eastAsia" w:ascii="Times New Roman" w:hAnsi="Times New Roman"/>
          <w:i/>
          <w:lang w:val="en-CA"/>
        </w:rPr>
        <w:t>Inclusion criteria:</w:t>
      </w:r>
    </w:p>
    <w:p w14:paraId="42EACDFE">
      <w:pPr>
        <w:numPr>
          <w:ilvl w:val="0"/>
          <w:numId w:val="0"/>
        </w:numPr>
        <w:spacing w:line="360" w:lineRule="auto"/>
        <w:ind w:left="4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1) </w:t>
      </w:r>
      <w:r>
        <w:rPr>
          <w:rFonts w:hint="eastAsia" w:ascii="Times New Roman" w:hAnsi="Times New Roman" w:cs="Times New Roman"/>
        </w:rPr>
        <w:t xml:space="preserve">Age between </w:t>
      </w:r>
      <w:r>
        <w:rPr>
          <w:rFonts w:ascii="Times New Roman" w:hAnsi="Times New Roman" w:cs="Times New Roman"/>
          <w:lang w:val="en-CA"/>
        </w:rPr>
        <w:t>18</w:t>
      </w:r>
      <w:r>
        <w:rPr>
          <w:rFonts w:hint="eastAsia"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  <w:lang w:val="en-CA"/>
        </w:rPr>
        <w:t>45 years</w:t>
      </w:r>
      <w:r>
        <w:rPr>
          <w:rFonts w:hint="eastAsia" w:ascii="Times New Roman" w:hAnsi="Times New Roman" w:cs="Times New Roman"/>
        </w:rPr>
        <w:t>.</w:t>
      </w:r>
    </w:p>
    <w:p w14:paraId="44ED7266">
      <w:pPr>
        <w:numPr>
          <w:ilvl w:val="0"/>
          <w:numId w:val="0"/>
        </w:numPr>
        <w:spacing w:line="360" w:lineRule="auto"/>
        <w:ind w:left="4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2) </w:t>
      </w:r>
      <w:r>
        <w:rPr>
          <w:rFonts w:hint="eastAsia" w:ascii="Times New Roman" w:hAnsi="Times New Roman" w:cs="Times New Roman"/>
        </w:rPr>
        <w:t>R</w:t>
      </w:r>
      <w:r>
        <w:rPr>
          <w:rFonts w:ascii="Times New Roman" w:hAnsi="Times New Roman" w:cs="Times New Roman"/>
          <w:lang w:val="en-CA"/>
        </w:rPr>
        <w:t>ight-handed</w:t>
      </w:r>
      <w:r>
        <w:rPr>
          <w:rFonts w:hint="eastAsia" w:ascii="Times New Roman" w:hAnsi="Times New Roman" w:cs="Times New Roman"/>
        </w:rPr>
        <w:t>.</w:t>
      </w:r>
    </w:p>
    <w:p w14:paraId="644A86D3">
      <w:pPr>
        <w:numPr>
          <w:ilvl w:val="0"/>
          <w:numId w:val="0"/>
        </w:numPr>
        <w:spacing w:line="360" w:lineRule="auto"/>
        <w:ind w:left="4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3) </w:t>
      </w:r>
      <w:r>
        <w:rPr>
          <w:rFonts w:hint="eastAsia" w:ascii="Times New Roman" w:hAnsi="Times New Roman" w:cs="Times New Roman"/>
        </w:rPr>
        <w:t>R</w:t>
      </w:r>
      <w:r>
        <w:rPr>
          <w:rFonts w:ascii="Times New Roman" w:hAnsi="Times New Roman" w:cs="Times New Roman"/>
          <w:lang w:val="en-CA"/>
        </w:rPr>
        <w:t>egular menstrual cycles between 2</w:t>
      </w:r>
      <w:r>
        <w:rPr>
          <w:rFonts w:ascii="Times New Roman" w:hAnsi="Times New Roman" w:cs="Times New Roman"/>
        </w:rPr>
        <w:t xml:space="preserve">1 </w:t>
      </w:r>
      <w:r>
        <w:rPr>
          <w:rFonts w:ascii="Times New Roman" w:hAnsi="Times New Roman" w:cs="Times New Roman"/>
          <w:lang w:val="en-CA"/>
        </w:rPr>
        <w:t>and 35 days</w:t>
      </w:r>
      <w:r>
        <w:rPr>
          <w:rFonts w:hint="eastAsia" w:ascii="Times New Roman" w:hAnsi="Times New Roman" w:cs="Times New Roman"/>
        </w:rPr>
        <w:t>.</w:t>
      </w:r>
    </w:p>
    <w:p w14:paraId="1A232957">
      <w:pPr>
        <w:numPr>
          <w:ilvl w:val="0"/>
          <w:numId w:val="0"/>
        </w:numPr>
        <w:spacing w:line="360" w:lineRule="auto"/>
        <w:ind w:left="4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4) </w:t>
      </w:r>
      <w:r>
        <w:rPr>
          <w:rFonts w:hint="eastAsia" w:ascii="Times New Roman" w:hAnsi="Times New Roman" w:cs="Times New Roman"/>
        </w:rPr>
        <w:t>No</w:t>
      </w:r>
      <w:r>
        <w:rPr>
          <w:rFonts w:ascii="Times New Roman" w:hAnsi="Times New Roman" w:cs="Times New Roman"/>
          <w:lang w:val="en-CA"/>
        </w:rPr>
        <w:t xml:space="preserve"> physical or mental chronic disorders</w:t>
      </w:r>
      <w:r>
        <w:rPr>
          <w:rFonts w:hint="eastAsia" w:ascii="Times New Roman" w:hAnsi="Times New Roman" w:cs="Times New Roman"/>
        </w:rPr>
        <w:t>.</w:t>
      </w:r>
    </w:p>
    <w:p w14:paraId="51F5BC88">
      <w:pPr>
        <w:numPr>
          <w:ilvl w:val="0"/>
          <w:numId w:val="0"/>
        </w:numPr>
        <w:spacing w:line="360" w:lineRule="auto"/>
        <w:ind w:left="747" w:hanging="3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5) </w:t>
      </w:r>
      <w:r>
        <w:rPr>
          <w:rFonts w:ascii="Times New Roman" w:hAnsi="Times New Roman" w:cs="Times New Roman"/>
          <w:lang w:val="en-CA"/>
        </w:rPr>
        <w:t>Of the first 21 items on the DRSP scale, at least 3 items must meet the following criteria: (1) a variation ratio of ≥ 30 %, (2) mean DRSP scores &gt; 3 during the late luteal phase of the menstrual cycle (days −5 to −1), and (3) mean DRSP scores &lt; 3 during the mid-follicular phase of the menstrual cycle (days +6 to +10)</w:t>
      </w:r>
      <w:r>
        <w:rPr>
          <w:rFonts w:hint="eastAsia" w:ascii="Times New Roman" w:hAnsi="Times New Roman" w:cs="Times New Roman"/>
        </w:rPr>
        <w:t>,</w:t>
      </w:r>
    </w:p>
    <w:p w14:paraId="5B4E83A6">
      <w:pPr>
        <w:spacing w:line="360" w:lineRule="auto"/>
        <w:ind w:left="747" w:hanging="315"/>
        <w:rPr>
          <w:rFonts w:ascii="Times New Roman" w:hAnsi="Times New Roman" w:cs="Times New Roman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</w:rPr>
            <m:t>variation ratio=</m:t>
          </m:r>
          <m:f>
            <m:fPr>
              <m:ctrlPr>
                <w:rPr>
                  <w:rFonts w:ascii="Cambria Math" w:hAnsi="Cambria Math" w:cs="Times New Roman"/>
                  <w:lang w:val="en-CA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</w:rPr>
                <m:t>L−M</m:t>
              </m:r>
              <m:ctrlPr>
                <w:rPr>
                  <w:rFonts w:ascii="Cambria Math" w:hAnsi="Cambria Math" w:cs="Times New Roman"/>
                  <w:lang w:val="en-CA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</w:rPr>
                <m:t>M</m:t>
              </m:r>
              <m:ctrlPr>
                <w:rPr>
                  <w:rFonts w:ascii="Cambria Math" w:hAnsi="Cambria Math" w:cs="Times New Roman"/>
                  <w:lang w:val="en-CA"/>
                </w:rPr>
              </m:ctrlPr>
            </m:den>
          </m:f>
          <m:r>
            <m:rPr>
              <m:sty m:val="p"/>
            </m:rPr>
            <w:rPr>
              <w:rFonts w:ascii="Cambria Math" w:hAnsi="Cambria Math" w:cs="Times New Roman"/>
            </w:rPr>
            <m:t>×100 %</m:t>
          </m:r>
        </m:oMath>
      </m:oMathPara>
    </w:p>
    <w:p w14:paraId="3BCFC220">
      <w:pPr>
        <w:spacing w:line="360" w:lineRule="auto"/>
        <w:ind w:left="720"/>
        <w:rPr>
          <w:rFonts w:ascii="Times New Roman" w:hAnsi="Times New Roman"/>
          <w:lang w:val="en-CA"/>
        </w:rPr>
      </w:pPr>
      <w:r>
        <w:rPr>
          <w:rFonts w:ascii="Times New Roman" w:hAnsi="Times New Roman" w:cs="Times New Roman"/>
        </w:rPr>
        <w:t xml:space="preserve">where </w:t>
      </w:r>
      <m:oMath>
        <m:r>
          <m:rPr>
            <m:sty m:val="p"/>
          </m:rPr>
          <w:rPr>
            <w:rFonts w:ascii="Cambria Math" w:hAnsi="Cambria Math" w:cs="Times New Roman"/>
          </w:rPr>
          <m:t>L</m:t>
        </m:r>
      </m:oMath>
      <w:r>
        <w:rPr>
          <w:rFonts w:ascii="Times New Roman" w:hAnsi="Times New Roman" w:cs="Times New Roman"/>
        </w:rPr>
        <w:t xml:space="preserve"> is the mean DRSP scores of late luteal phase and </w:t>
      </w:r>
      <m:oMath>
        <m:r>
          <m:rPr>
            <m:sty m:val="p"/>
          </m:rPr>
          <w:rPr>
            <w:rFonts w:ascii="Cambria Math" w:hAnsi="Cambria Math" w:cs="Times New Roman"/>
          </w:rPr>
          <m:t>M</m:t>
        </m:r>
      </m:oMath>
      <w:r>
        <w:rPr>
          <w:rFonts w:ascii="Times New Roman" w:hAnsi="Times New Roman" w:cs="Times New Roman"/>
        </w:rPr>
        <w:t xml:space="preserve"> is the mean DRSP scores of mid-follicular phase</w:t>
      </w:r>
      <w:r>
        <w:rPr>
          <w:rFonts w:hint="eastAsia" w:ascii="Times New Roman" w:hAnsi="Times New Roman" w:cs="Times New Roman"/>
        </w:rPr>
        <w:t>.</w:t>
      </w:r>
    </w:p>
    <w:p w14:paraId="76236595">
      <w:pPr>
        <w:numPr>
          <w:ilvl w:val="0"/>
          <w:numId w:val="0"/>
        </w:numPr>
        <w:spacing w:before="120" w:line="360" w:lineRule="auto"/>
        <w:ind w:left="747" w:hanging="3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6) </w:t>
      </w:r>
      <w:r>
        <w:rPr>
          <w:rFonts w:hint="eastAsia" w:ascii="Times New Roman" w:hAnsi="Times New Roman" w:cs="Times New Roman"/>
        </w:rPr>
        <w:t>At least one item from the last three terms of the DRSP involves impairment in daily functioning and interpersonal relationships.</w:t>
      </w:r>
    </w:p>
    <w:p w14:paraId="46FD0E2C">
      <w:pPr>
        <w:spacing w:before="240" w:after="240" w:line="360" w:lineRule="auto"/>
        <w:rPr>
          <w:rFonts w:ascii="Times New Roman" w:hAnsi="Times New Roman"/>
          <w:i/>
        </w:rPr>
      </w:pPr>
      <w:r>
        <w:rPr>
          <w:rFonts w:ascii="Times New Roman" w:hAnsi="Times New Roman" w:cs="Times New Roman"/>
          <w:i/>
          <w:iCs/>
        </w:rPr>
        <w:t xml:space="preserve">1.2 </w:t>
      </w:r>
      <w:r>
        <w:rPr>
          <w:rFonts w:hint="eastAsia" w:ascii="Times New Roman" w:hAnsi="Times New Roman"/>
          <w:i/>
        </w:rPr>
        <w:t>Exclusion criteria:</w:t>
      </w:r>
    </w:p>
    <w:p w14:paraId="7515905D">
      <w:pPr>
        <w:numPr>
          <w:ilvl w:val="0"/>
          <w:numId w:val="0"/>
        </w:numPr>
        <w:spacing w:line="360" w:lineRule="auto"/>
        <w:ind w:left="747" w:hanging="315"/>
        <w:rPr>
          <w:rFonts w:ascii="Times New Roman" w:hAnsi="Times New Roman" w:cs="Times New Roman"/>
          <w:lang w:val="en-CA"/>
        </w:rPr>
      </w:pPr>
      <w:r>
        <w:rPr>
          <w:rFonts w:ascii="Times New Roman" w:hAnsi="Times New Roman" w:cs="Times New Roman"/>
          <w:lang w:val="en-CA"/>
        </w:rPr>
        <w:t>1) Pregnant or nursing at present, or with a past medical history of thyroid conditions, dysmenorrhea, gynecological infections, menopausal disorders, uterine removal, bilateral ovarian excision, breast-related illnesses, malignancies, or other structural abnormalities.</w:t>
      </w:r>
    </w:p>
    <w:p w14:paraId="57502C94">
      <w:pPr>
        <w:numPr>
          <w:ilvl w:val="0"/>
          <w:numId w:val="0"/>
        </w:numPr>
        <w:spacing w:line="360" w:lineRule="auto"/>
        <w:ind w:left="747" w:hanging="315"/>
        <w:rPr>
          <w:rFonts w:ascii="Times New Roman" w:hAnsi="Times New Roman" w:cs="Times New Roman"/>
          <w:lang w:val="en-CA"/>
        </w:rPr>
      </w:pPr>
      <w:r>
        <w:rPr>
          <w:rFonts w:ascii="Times New Roman" w:hAnsi="Times New Roman" w:cs="Times New Roman"/>
          <w:lang w:val="en-CA"/>
        </w:rPr>
        <w:t>2) Having a prior history of treatment with steroids (such as hormonal intrauterine devices or oral contraceptives), benzodiazepines, or other psychiatric medications influencing PMS.</w:t>
      </w:r>
    </w:p>
    <w:p w14:paraId="39CB2014">
      <w:pPr>
        <w:numPr>
          <w:ilvl w:val="0"/>
          <w:numId w:val="0"/>
        </w:numPr>
        <w:spacing w:line="360" w:lineRule="auto"/>
        <w:ind w:left="747" w:hanging="315"/>
        <w:rPr>
          <w:rFonts w:ascii="Times New Roman" w:hAnsi="Times New Roman" w:cs="Times New Roman"/>
          <w:lang w:val="en-CA"/>
        </w:rPr>
      </w:pPr>
      <w:r>
        <w:rPr>
          <w:rFonts w:ascii="Times New Roman" w:hAnsi="Times New Roman" w:cs="Times New Roman"/>
          <w:lang w:val="en-CA"/>
        </w:rPr>
        <w:t xml:space="preserve">3) </w:t>
      </w:r>
      <w:r>
        <w:rPr>
          <w:rFonts w:hint="eastAsia" w:ascii="Times New Roman" w:hAnsi="Times New Roman" w:cs="Times New Roman"/>
        </w:rPr>
        <w:t>A</w:t>
      </w:r>
      <w:r>
        <w:rPr>
          <w:rFonts w:ascii="Times New Roman" w:hAnsi="Times New Roman" w:cs="Times New Roman"/>
          <w:lang w:val="en-CA"/>
        </w:rPr>
        <w:t>ny contraindication to MR</w:t>
      </w:r>
      <w:r>
        <w:rPr>
          <w:rFonts w:hint="eastAsia" w:ascii="Times New Roman" w:hAnsi="Times New Roman" w:cs="Times New Roman"/>
        </w:rPr>
        <w:t>I.</w:t>
      </w:r>
    </w:p>
    <w:p w14:paraId="409A71D6">
      <w:pPr>
        <w:numPr>
          <w:ilvl w:val="0"/>
          <w:numId w:val="0"/>
        </w:numPr>
        <w:spacing w:line="360" w:lineRule="auto"/>
        <w:ind w:left="747" w:hanging="315"/>
        <w:rPr>
          <w:rFonts w:ascii="Times New Roman" w:hAnsi="Times New Roman" w:cs="Times New Roman"/>
          <w:lang w:val="en-CA"/>
        </w:rPr>
      </w:pPr>
      <w:r>
        <w:rPr>
          <w:rFonts w:ascii="Times New Roman" w:hAnsi="Times New Roman" w:cs="Times New Roman"/>
          <w:lang w:val="en-CA"/>
        </w:rPr>
        <w:t>4) Smokers or those who suffer from alcohol dependence.</w:t>
      </w:r>
    </w:p>
    <w:p w14:paraId="000DFF07">
      <w:pPr>
        <w:spacing w:before="240" w:after="240" w:line="360" w:lineRule="auto"/>
        <w:rPr>
          <w:rFonts w:ascii="Times New Roman" w:hAnsi="Times New Roman" w:cs="Times New Roman"/>
          <w:b/>
          <w:bCs/>
          <w:lang w:val="en-CA"/>
        </w:rPr>
      </w:pPr>
      <w:r>
        <w:rPr>
          <w:rFonts w:ascii="Times New Roman" w:hAnsi="Times New Roman" w:cs="Times New Roman"/>
          <w:b/>
          <w:bCs/>
        </w:rPr>
        <w:t>2. MRI</w:t>
      </w:r>
      <w:r>
        <w:rPr>
          <w:rFonts w:ascii="Times New Roman" w:hAnsi="Times New Roman" w:cs="Times New Roman"/>
          <w:b/>
          <w:bCs/>
          <w:lang w:val="en-CA"/>
        </w:rPr>
        <w:t xml:space="preserve"> data acquisition</w:t>
      </w:r>
    </w:p>
    <w:p w14:paraId="2461F549">
      <w:pPr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3D_T1: </w:t>
      </w:r>
      <w:r>
        <w:rPr>
          <w:rFonts w:ascii="Times New Roman" w:hAnsi="Times New Roman" w:cs="Times New Roman"/>
        </w:rPr>
        <w:t>MPRAGE sequence: TR = 2000 ms, TE = 2.04 ms, FOV = 256 mm × 256 mm, slice thickness = 1 mm, resolution = 256 × 256, flip angle = 7°.</w:t>
      </w:r>
    </w:p>
    <w:p w14:paraId="1D254D77">
      <w:pPr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R</w:t>
      </w:r>
      <w:r>
        <w:rPr>
          <w:rFonts w:ascii="Times New Roman" w:hAnsi="Times New Roman" w:cs="Times New Roman"/>
        </w:rPr>
        <w:t>s-fMRI: EPI sequence: TR = 2000 ms, TE = 30 ms, FOV = 220 mm × 220 mm, slice thickness = 2.5 mm, resolution = 64 × 64, flip angle = 90°, 240 volumes, and acquisition time = 480 s.</w:t>
      </w:r>
    </w:p>
    <w:p w14:paraId="3B197D96">
      <w:pPr>
        <w:spacing w:line="360" w:lineRule="auto"/>
        <w:rPr>
          <w:rFonts w:ascii="Times New Roman" w:hAnsi="Times New Roman" w:cs="Times New Roman"/>
        </w:rPr>
      </w:pPr>
    </w:p>
    <w:p w14:paraId="5224F88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4E3880"/>
    <w:rsid w:val="0356161D"/>
    <w:rsid w:val="504E3880"/>
    <w:rsid w:val="712029D2"/>
    <w:rsid w:val="73104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821</Words>
  <Characters>3972</Characters>
  <Lines>0</Lines>
  <Paragraphs>0</Paragraphs>
  <TotalTime>0</TotalTime>
  <ScaleCrop>false</ScaleCrop>
  <LinksUpToDate>false</LinksUpToDate>
  <CharactersWithSpaces>4531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2025-02-11T08:00:00Z</dcterms:created>
  <dc:creator>闭眼听风あ</dc:creator>
  <cp:lastModifiedBy>闭眼听风あ</cp:lastModifiedBy>
  <dcterms:modified xsi:type="dcterms:W3CDTF">2025-02-12T02:52:10Z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0F967EFC41F84C56A69435F28332E778_13</vt:lpwstr>
  </property>
  <property fmtid="{D5CDD505-2E9C-101B-9397-08002B2CF9AE}" pid="4" name="KSOTemplateDocerSaveRecord">
    <vt:lpwstr>eyJoZGlkIjoiZDJlMWIzZWUyMzk1ZWMzY2RmN2MyYjNjN2IyMGYxZjMiLCJ1c2VySWQiOiI0Mjc2OTgwNDIifQ==</vt:lpwstr>
  </property>
</Properties>
</file>