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CE11A" w14:textId="566956E4" w:rsidR="000A52B8" w:rsidRPr="00B353BB" w:rsidRDefault="00B353BB" w:rsidP="00B353BB">
      <w:pPr>
        <w:jc w:val="center"/>
        <w:rPr>
          <w:rFonts w:ascii="Times New Roman" w:hAnsi="Times New Roman" w:cs="Times New Roman"/>
          <w:b/>
          <w:bCs/>
          <w:sz w:val="32"/>
          <w:szCs w:val="32"/>
        </w:rPr>
      </w:pPr>
      <w:r w:rsidRPr="00B353BB">
        <w:rPr>
          <w:rFonts w:ascii="Times New Roman" w:hAnsi="Times New Roman" w:cs="Times New Roman"/>
          <w:b/>
          <w:bCs/>
          <w:sz w:val="32"/>
          <w:szCs w:val="32"/>
        </w:rPr>
        <w:t>Supplementary Information</w:t>
      </w:r>
    </w:p>
    <w:p w14:paraId="04C0F682" w14:textId="77777777" w:rsidR="00B353BB" w:rsidRDefault="00B353BB" w:rsidP="00B353BB">
      <w:pPr>
        <w:spacing w:line="276" w:lineRule="auto"/>
        <w:jc w:val="center"/>
        <w:rPr>
          <w:rFonts w:ascii="Times New Roman" w:hAnsi="Times New Roman" w:cs="Times New Roman"/>
          <w:b/>
          <w:bCs/>
          <w:sz w:val="32"/>
          <w:szCs w:val="32"/>
        </w:rPr>
      </w:pPr>
      <w:r w:rsidRPr="007C7BF6">
        <w:rPr>
          <w:rFonts w:ascii="Times New Roman" w:hAnsi="Times New Roman" w:cs="Times New Roman"/>
          <w:b/>
          <w:bCs/>
          <w:sz w:val="32"/>
          <w:szCs w:val="32"/>
        </w:rPr>
        <w:t>A Novel Pheno</w:t>
      </w:r>
      <w:r>
        <w:rPr>
          <w:rFonts w:ascii="Times New Roman" w:hAnsi="Times New Roman" w:cs="Times New Roman"/>
          <w:b/>
          <w:bCs/>
          <w:sz w:val="32"/>
          <w:szCs w:val="32"/>
        </w:rPr>
        <w:t>plasts</w:t>
      </w:r>
      <w:r w:rsidRPr="007C7BF6">
        <w:rPr>
          <w:rFonts w:ascii="Times New Roman" w:hAnsi="Times New Roman" w:cs="Times New Roman"/>
          <w:b/>
          <w:bCs/>
          <w:sz w:val="32"/>
          <w:szCs w:val="32"/>
        </w:rPr>
        <w:t xml:space="preserve">-Based Structural Electrolyte </w:t>
      </w:r>
      <w:r>
        <w:rPr>
          <w:rFonts w:ascii="Times New Roman" w:hAnsi="Times New Roman" w:cs="Times New Roman"/>
          <w:b/>
          <w:bCs/>
          <w:sz w:val="32"/>
          <w:szCs w:val="32"/>
        </w:rPr>
        <w:t>with</w:t>
      </w:r>
      <w:r w:rsidRPr="007C7BF6">
        <w:rPr>
          <w:rFonts w:ascii="Times New Roman" w:hAnsi="Times New Roman" w:cs="Times New Roman"/>
          <w:b/>
          <w:bCs/>
          <w:sz w:val="32"/>
          <w:szCs w:val="32"/>
        </w:rPr>
        <w:t xml:space="preserve"> High Ionic Conductivity and Fire </w:t>
      </w:r>
      <w:r>
        <w:rPr>
          <w:rFonts w:ascii="Times New Roman" w:hAnsi="Times New Roman" w:cs="Times New Roman"/>
          <w:b/>
          <w:bCs/>
          <w:sz w:val="32"/>
          <w:szCs w:val="32"/>
        </w:rPr>
        <w:t>Resistance</w:t>
      </w:r>
      <w:r w:rsidRPr="007C7BF6">
        <w:rPr>
          <w:rFonts w:ascii="Times New Roman" w:hAnsi="Times New Roman" w:cs="Times New Roman"/>
          <w:b/>
          <w:bCs/>
          <w:sz w:val="32"/>
          <w:szCs w:val="32"/>
        </w:rPr>
        <w:t xml:space="preserve"> for Advanced Energy Storage Composites</w:t>
      </w:r>
    </w:p>
    <w:p w14:paraId="2B12E8F1" w14:textId="77777777" w:rsidR="008A3C62" w:rsidRPr="006145C4" w:rsidRDefault="008A3C62" w:rsidP="008A3C62">
      <w:pPr>
        <w:spacing w:line="276" w:lineRule="auto"/>
        <w:jc w:val="both"/>
        <w:rPr>
          <w:rFonts w:ascii="Times New Roman" w:hAnsi="Times New Roman" w:cs="Times New Roman"/>
          <w:sz w:val="20"/>
          <w:szCs w:val="20"/>
        </w:rPr>
      </w:pPr>
      <w:r w:rsidRPr="006145C4">
        <w:rPr>
          <w:rFonts w:ascii="Times New Roman" w:hAnsi="Times New Roman" w:cs="Times New Roman"/>
          <w:sz w:val="20"/>
          <w:szCs w:val="20"/>
        </w:rPr>
        <w:t>Zhao Sha</w:t>
      </w:r>
      <w:r w:rsidRPr="006145C4">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w:t>
      </w:r>
      <w:r w:rsidRPr="006145C4">
        <w:rPr>
          <w:rFonts w:ascii="Times New Roman" w:hAnsi="Times New Roman" w:cs="Times New Roman"/>
          <w:sz w:val="20"/>
          <w:szCs w:val="20"/>
        </w:rPr>
        <w:t>, Ziyan Gao</w:t>
      </w:r>
      <w:r w:rsidRPr="006145C4">
        <w:rPr>
          <w:rFonts w:ascii="Times New Roman" w:hAnsi="Times New Roman" w:cs="Times New Roman"/>
          <w:sz w:val="20"/>
          <w:szCs w:val="20"/>
          <w:vertAlign w:val="superscript"/>
        </w:rPr>
        <w:t>1</w:t>
      </w:r>
      <w:r w:rsidRPr="006145C4">
        <w:rPr>
          <w:rFonts w:ascii="Times New Roman" w:hAnsi="Times New Roman" w:cs="Times New Roman"/>
          <w:sz w:val="20"/>
          <w:szCs w:val="20"/>
        </w:rPr>
        <w:t xml:space="preserve">, </w:t>
      </w:r>
      <w:proofErr w:type="spellStart"/>
      <w:r w:rsidRPr="006145C4">
        <w:rPr>
          <w:rFonts w:ascii="Times New Roman" w:hAnsi="Times New Roman" w:cs="Times New Roman"/>
          <w:sz w:val="20"/>
          <w:szCs w:val="20"/>
        </w:rPr>
        <w:t>Yingkun</w:t>
      </w:r>
      <w:proofErr w:type="spellEnd"/>
      <w:r w:rsidRPr="006145C4">
        <w:rPr>
          <w:rFonts w:ascii="Times New Roman" w:hAnsi="Times New Roman" w:cs="Times New Roman"/>
          <w:sz w:val="20"/>
          <w:szCs w:val="20"/>
        </w:rPr>
        <w:t xml:space="preserve"> Shen</w:t>
      </w:r>
      <w:r w:rsidRPr="006145C4">
        <w:rPr>
          <w:rFonts w:ascii="Times New Roman" w:hAnsi="Times New Roman" w:cs="Times New Roman"/>
          <w:sz w:val="20"/>
          <w:szCs w:val="20"/>
          <w:vertAlign w:val="superscript"/>
        </w:rPr>
        <w:t>1</w:t>
      </w:r>
      <w:r w:rsidRPr="006145C4">
        <w:rPr>
          <w:rFonts w:ascii="Times New Roman" w:hAnsi="Times New Roman" w:cs="Times New Roman"/>
          <w:sz w:val="20"/>
          <w:szCs w:val="20"/>
        </w:rPr>
        <w:t xml:space="preserve">, </w:t>
      </w:r>
      <w:r w:rsidRPr="006145C4">
        <w:rPr>
          <w:rFonts w:ascii="Times New Roman" w:hAnsi="Times New Roman" w:cs="Times New Roman" w:hint="eastAsia"/>
          <w:sz w:val="20"/>
          <w:szCs w:val="20"/>
        </w:rPr>
        <w:t>Cheng Wang</w:t>
      </w:r>
      <w:r w:rsidRPr="006145C4">
        <w:rPr>
          <w:rFonts w:ascii="Times New Roman" w:hAnsi="Times New Roman" w:cs="Times New Roman"/>
          <w:sz w:val="20"/>
          <w:szCs w:val="20"/>
          <w:vertAlign w:val="superscript"/>
        </w:rPr>
        <w:t>1</w:t>
      </w:r>
      <w:r w:rsidRPr="006145C4">
        <w:rPr>
          <w:rFonts w:ascii="Times New Roman" w:hAnsi="Times New Roman" w:cs="Times New Roman" w:hint="eastAsia"/>
          <w:sz w:val="20"/>
          <w:szCs w:val="20"/>
        </w:rPr>
        <w:t xml:space="preserve">, </w:t>
      </w:r>
      <w:r w:rsidRPr="006145C4">
        <w:rPr>
          <w:rFonts w:ascii="Times New Roman" w:hAnsi="Times New Roman" w:cs="Times New Roman"/>
          <w:sz w:val="20"/>
          <w:szCs w:val="20"/>
        </w:rPr>
        <w:t>Jiangtao Xu</w:t>
      </w:r>
      <w:r>
        <w:rPr>
          <w:rFonts w:ascii="Times New Roman" w:hAnsi="Times New Roman" w:cs="Times New Roman"/>
          <w:sz w:val="20"/>
          <w:szCs w:val="20"/>
          <w:vertAlign w:val="superscript"/>
        </w:rPr>
        <w:t>2</w:t>
      </w:r>
      <w:r>
        <w:rPr>
          <w:rFonts w:ascii="Times New Roman" w:hAnsi="Times New Roman" w:cs="Times New Roman"/>
          <w:sz w:val="20"/>
          <w:szCs w:val="20"/>
        </w:rPr>
        <w:t>,</w:t>
      </w:r>
      <w:r w:rsidRPr="006145C4">
        <w:rPr>
          <w:rFonts w:ascii="Times New Roman" w:hAnsi="Times New Roman" w:cs="Times New Roman"/>
          <w:sz w:val="20"/>
          <w:szCs w:val="20"/>
        </w:rPr>
        <w:t xml:space="preserve"> Shuying Wu</w:t>
      </w:r>
      <w:r w:rsidRPr="006145C4">
        <w:rPr>
          <w:rFonts w:ascii="Times New Roman" w:hAnsi="Times New Roman" w:cs="Times New Roman"/>
          <w:iCs/>
          <w:sz w:val="20"/>
          <w:szCs w:val="20"/>
          <w:vertAlign w:val="superscript"/>
          <w:lang w:val="en-US"/>
        </w:rPr>
        <w:t>3</w:t>
      </w:r>
      <w:r w:rsidRPr="006145C4">
        <w:rPr>
          <w:rFonts w:ascii="Times New Roman" w:hAnsi="Times New Roman" w:cs="Times New Roman"/>
          <w:sz w:val="20"/>
          <w:szCs w:val="20"/>
        </w:rPr>
        <w:t xml:space="preserve">, </w:t>
      </w:r>
      <w:r>
        <w:rPr>
          <w:rFonts w:ascii="Times New Roman" w:hAnsi="Times New Roman" w:cs="Times New Roman"/>
          <w:sz w:val="20"/>
          <w:szCs w:val="20"/>
        </w:rPr>
        <w:t>Sonya A. Brown</w:t>
      </w:r>
      <w:r w:rsidRPr="006145C4">
        <w:rPr>
          <w:rFonts w:ascii="Times New Roman" w:hAnsi="Times New Roman" w:cs="Times New Roman"/>
          <w:sz w:val="20"/>
          <w:szCs w:val="20"/>
          <w:vertAlign w:val="superscript"/>
        </w:rPr>
        <w:t>1</w:t>
      </w:r>
      <w:r w:rsidRPr="006145C4">
        <w:rPr>
          <w:rFonts w:ascii="Times New Roman" w:hAnsi="Times New Roman" w:cs="Times New Roman"/>
          <w:sz w:val="20"/>
          <w:szCs w:val="20"/>
        </w:rPr>
        <w:t>, Shuhua Peng</w:t>
      </w:r>
      <w:r w:rsidRPr="006145C4">
        <w:rPr>
          <w:rFonts w:ascii="Times New Roman" w:hAnsi="Times New Roman" w:cs="Times New Roman"/>
          <w:sz w:val="20"/>
          <w:szCs w:val="20"/>
          <w:vertAlign w:val="superscript"/>
        </w:rPr>
        <w:t>1</w:t>
      </w:r>
      <w:r w:rsidRPr="006145C4">
        <w:rPr>
          <w:rFonts w:ascii="Times New Roman" w:hAnsi="Times New Roman" w:cs="Times New Roman"/>
          <w:sz w:val="20"/>
          <w:szCs w:val="20"/>
        </w:rPr>
        <w:t>, Jin Zhang</w:t>
      </w:r>
      <w:r w:rsidRPr="006145C4">
        <w:rPr>
          <w:rFonts w:ascii="Times New Roman" w:hAnsi="Times New Roman" w:cs="Times New Roman"/>
          <w:sz w:val="20"/>
          <w:szCs w:val="20"/>
          <w:vertAlign w:val="superscript"/>
        </w:rPr>
        <w:t>1</w:t>
      </w:r>
      <w:r w:rsidRPr="006145C4">
        <w:rPr>
          <w:rFonts w:ascii="Times New Roman" w:hAnsi="Times New Roman" w:cs="Times New Roman"/>
          <w:sz w:val="20"/>
          <w:szCs w:val="20"/>
        </w:rPr>
        <w:t>, Chun Hui Wang</w:t>
      </w:r>
      <w:r w:rsidRPr="006145C4">
        <w:rPr>
          <w:rFonts w:ascii="Times New Roman" w:hAnsi="Times New Roman" w:cs="Times New Roman"/>
          <w:sz w:val="20"/>
          <w:szCs w:val="20"/>
          <w:vertAlign w:val="superscript"/>
        </w:rPr>
        <w:t>1</w:t>
      </w:r>
      <w:r>
        <w:rPr>
          <w:rFonts w:ascii="Times New Roman" w:hAnsi="Times New Roman" w:cs="Times New Roman"/>
          <w:sz w:val="20"/>
          <w:szCs w:val="20"/>
          <w:vertAlign w:val="superscript"/>
        </w:rPr>
        <w:t>, *</w:t>
      </w:r>
    </w:p>
    <w:p w14:paraId="79021918" w14:textId="77777777" w:rsidR="00B353BB" w:rsidRPr="00121FB8" w:rsidRDefault="00B353BB" w:rsidP="00B353BB">
      <w:pPr>
        <w:spacing w:line="240" w:lineRule="auto"/>
        <w:jc w:val="both"/>
        <w:rPr>
          <w:rFonts w:ascii="Times New Roman" w:hAnsi="Times New Roman" w:cs="Times New Roman"/>
          <w:i/>
          <w:sz w:val="20"/>
          <w:szCs w:val="20"/>
          <w:lang w:val="en-US"/>
        </w:rPr>
      </w:pPr>
      <w:r w:rsidRPr="006145C4">
        <w:rPr>
          <w:rFonts w:ascii="Times New Roman" w:hAnsi="Times New Roman" w:cs="Times New Roman"/>
          <w:sz w:val="20"/>
          <w:szCs w:val="20"/>
          <w:vertAlign w:val="superscript"/>
          <w:lang w:val="en-US"/>
        </w:rPr>
        <w:t>1</w:t>
      </w:r>
      <w:r w:rsidRPr="006145C4">
        <w:rPr>
          <w:rFonts w:ascii="Times New Roman" w:hAnsi="Times New Roman" w:cs="Times New Roman"/>
          <w:sz w:val="20"/>
          <w:szCs w:val="20"/>
          <w:lang w:val="en-US"/>
        </w:rPr>
        <w:t xml:space="preserve"> </w:t>
      </w:r>
      <w:bookmarkStart w:id="0" w:name="OLE_LINK82"/>
      <w:bookmarkStart w:id="1" w:name="OLE_LINK83"/>
      <w:bookmarkStart w:id="2" w:name="OLE_LINK84"/>
      <w:bookmarkStart w:id="3" w:name="OLE_LINK85"/>
      <w:bookmarkStart w:id="4" w:name="OLE_LINK86"/>
      <w:r w:rsidRPr="00121FB8">
        <w:rPr>
          <w:rFonts w:ascii="Times New Roman" w:hAnsi="Times New Roman" w:cs="Times New Roman"/>
          <w:i/>
          <w:sz w:val="20"/>
          <w:szCs w:val="20"/>
          <w:lang w:val="en-US"/>
        </w:rPr>
        <w:t>School of Mechanical and Manufacturing Engineering, University of New South Wales</w:t>
      </w:r>
      <w:bookmarkEnd w:id="0"/>
      <w:bookmarkEnd w:id="1"/>
      <w:bookmarkEnd w:id="2"/>
      <w:bookmarkEnd w:id="3"/>
      <w:bookmarkEnd w:id="4"/>
      <w:r w:rsidRPr="00121FB8">
        <w:rPr>
          <w:rFonts w:ascii="Times New Roman" w:hAnsi="Times New Roman" w:cs="Times New Roman"/>
          <w:i/>
          <w:sz w:val="20"/>
          <w:szCs w:val="20"/>
          <w:lang w:val="en-US"/>
        </w:rPr>
        <w:t>, Sydney, Kensington, NSW 2052, Australia</w:t>
      </w:r>
    </w:p>
    <w:p w14:paraId="6089968B" w14:textId="77777777" w:rsidR="00B353BB" w:rsidRDefault="00B353BB" w:rsidP="00B353BB">
      <w:pPr>
        <w:spacing w:line="240" w:lineRule="auto"/>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2</w:t>
      </w:r>
      <w:r w:rsidRPr="00121FB8">
        <w:rPr>
          <w:rFonts w:ascii="Times New Roman" w:hAnsi="Times New Roman" w:cs="Times New Roman"/>
          <w:i/>
          <w:sz w:val="20"/>
          <w:szCs w:val="20"/>
          <w:vertAlign w:val="superscript"/>
          <w:lang w:val="en-US"/>
        </w:rPr>
        <w:t xml:space="preserve"> </w:t>
      </w:r>
      <w:r w:rsidRPr="00121FB8">
        <w:rPr>
          <w:rFonts w:ascii="Times New Roman" w:hAnsi="Times New Roman" w:cs="Times New Roman"/>
          <w:i/>
          <w:sz w:val="20"/>
          <w:szCs w:val="20"/>
          <w:lang w:val="en-US"/>
        </w:rPr>
        <w:t>School of Chemical Engineering, University of New South Wales, Sydney, Kensington, NSW 2052, Australia</w:t>
      </w:r>
    </w:p>
    <w:p w14:paraId="196130D5" w14:textId="77777777" w:rsidR="00B353BB" w:rsidRDefault="00B353BB" w:rsidP="00B353BB">
      <w:pPr>
        <w:spacing w:line="240" w:lineRule="auto"/>
        <w:jc w:val="both"/>
        <w:rPr>
          <w:rFonts w:ascii="Times New Roman" w:hAnsi="Times New Roman" w:cs="Times New Roman"/>
          <w:i/>
          <w:sz w:val="20"/>
          <w:szCs w:val="20"/>
          <w:lang w:val="en-US"/>
        </w:rPr>
      </w:pPr>
      <w:r>
        <w:rPr>
          <w:rFonts w:ascii="Times New Roman" w:hAnsi="Times New Roman" w:cs="Times New Roman"/>
          <w:i/>
          <w:sz w:val="20"/>
          <w:szCs w:val="20"/>
          <w:vertAlign w:val="superscript"/>
          <w:lang w:val="en-US"/>
        </w:rPr>
        <w:t>3</w:t>
      </w:r>
      <w:r w:rsidRPr="006145C4">
        <w:rPr>
          <w:rFonts w:ascii="Times New Roman" w:hAnsi="Times New Roman" w:cs="Times New Roman"/>
          <w:i/>
          <w:sz w:val="20"/>
          <w:szCs w:val="20"/>
          <w:lang w:val="en-US"/>
        </w:rPr>
        <w:t>School of Aerospace, Mechanical and Mechatronic Engineering, The University of Sydney, Sydney, NSW 2006, Australia</w:t>
      </w:r>
    </w:p>
    <w:p w14:paraId="26B34AD2" w14:textId="77777777" w:rsidR="00B353BB" w:rsidRPr="006145C4" w:rsidRDefault="00B353BB" w:rsidP="00B353BB">
      <w:pPr>
        <w:spacing w:line="240" w:lineRule="auto"/>
        <w:jc w:val="both"/>
        <w:rPr>
          <w:rFonts w:ascii="Times New Roman" w:hAnsi="Times New Roman" w:cs="Times New Roman"/>
          <w:i/>
          <w:sz w:val="20"/>
          <w:szCs w:val="20"/>
          <w:lang w:val="en-US"/>
        </w:rPr>
      </w:pPr>
    </w:p>
    <w:p w14:paraId="4812A8BA" w14:textId="77777777" w:rsidR="00B353BB" w:rsidRPr="009D6A65" w:rsidRDefault="00B353BB" w:rsidP="00B353BB">
      <w:pPr>
        <w:jc w:val="both"/>
        <w:rPr>
          <w:rFonts w:ascii="Times New Roman" w:hAnsi="Times New Roman" w:cs="Times New Roman"/>
          <w:b/>
          <w:bCs/>
          <w:sz w:val="28"/>
          <w:szCs w:val="28"/>
        </w:rPr>
      </w:pPr>
      <w:r w:rsidRPr="009D6A65">
        <w:rPr>
          <w:rFonts w:ascii="Times New Roman" w:hAnsi="Times New Roman" w:cs="Times New Roman"/>
          <w:b/>
          <w:bCs/>
          <w:sz w:val="28"/>
          <w:szCs w:val="28"/>
        </w:rPr>
        <w:t>Methods</w:t>
      </w:r>
    </w:p>
    <w:p w14:paraId="0EDFC3CF" w14:textId="77777777" w:rsidR="00B353BB" w:rsidRDefault="00B353BB" w:rsidP="00B353BB">
      <w:pPr>
        <w:spacing w:line="276" w:lineRule="auto"/>
        <w:jc w:val="both"/>
        <w:rPr>
          <w:rFonts w:ascii="Arial" w:hAnsi="Arial" w:cs="Arial"/>
        </w:rPr>
      </w:pPr>
      <w:r>
        <w:rPr>
          <w:rFonts w:ascii="Arial" w:hAnsi="Arial" w:cs="Arial"/>
        </w:rPr>
        <w:t>Materials</w:t>
      </w:r>
    </w:p>
    <w:p w14:paraId="3967A6AE" w14:textId="77777777" w:rsidR="00B353BB" w:rsidRPr="002518D4" w:rsidRDefault="00B353BB" w:rsidP="00B353BB">
      <w:pPr>
        <w:jc w:val="both"/>
        <w:rPr>
          <w:rFonts w:ascii="Times New Roman" w:hAnsi="Times New Roman" w:cs="Times New Roman"/>
        </w:rPr>
      </w:pPr>
      <w:r w:rsidRPr="002518D4">
        <w:rPr>
          <w:rFonts w:ascii="Times New Roman" w:hAnsi="Times New Roman" w:cs="Times New Roman"/>
        </w:rPr>
        <w:t>The following chemicals were used to develop the structural solid electrolyte in this study: phenolic resin (CELLOBOND J2027 X01, Hexion Inc., USA) and a catalyst (RESONANCE MC93-521, Hexion Inc., USA) in a weight ratio of 100:6; an ionic liquid (IL), 1-ethyl-3-methylimidazolium bis(</w:t>
      </w:r>
      <w:proofErr w:type="spellStart"/>
      <w:r w:rsidRPr="002518D4">
        <w:rPr>
          <w:rFonts w:ascii="Times New Roman" w:hAnsi="Times New Roman" w:cs="Times New Roman"/>
        </w:rPr>
        <w:t>trifluoromethylsulfonyl</w:t>
      </w:r>
      <w:proofErr w:type="spellEnd"/>
      <w:r w:rsidRPr="002518D4">
        <w:rPr>
          <w:rFonts w:ascii="Times New Roman" w:hAnsi="Times New Roman" w:cs="Times New Roman"/>
        </w:rPr>
        <w:t>)imide (EMIM TFSI, Sigma-Aldrich); and a lithium salt, lithium bis(</w:t>
      </w:r>
      <w:proofErr w:type="spellStart"/>
      <w:r w:rsidRPr="002518D4">
        <w:rPr>
          <w:rFonts w:ascii="Times New Roman" w:hAnsi="Times New Roman" w:cs="Times New Roman"/>
        </w:rPr>
        <w:t>trifluoromethanesulfonyl</w:t>
      </w:r>
      <w:proofErr w:type="spellEnd"/>
      <w:r w:rsidRPr="002518D4">
        <w:rPr>
          <w:rFonts w:ascii="Times New Roman" w:hAnsi="Times New Roman" w:cs="Times New Roman"/>
        </w:rPr>
        <w:t>)imide (</w:t>
      </w:r>
      <w:proofErr w:type="spellStart"/>
      <w:r w:rsidRPr="002518D4">
        <w:rPr>
          <w:rFonts w:ascii="Times New Roman" w:hAnsi="Times New Roman" w:cs="Times New Roman"/>
        </w:rPr>
        <w:t>LiTFSI</w:t>
      </w:r>
      <w:proofErr w:type="spellEnd"/>
      <w:r w:rsidRPr="002518D4">
        <w:rPr>
          <w:rFonts w:ascii="Times New Roman" w:hAnsi="Times New Roman" w:cs="Times New Roman"/>
        </w:rPr>
        <w:t>, Sigma-Aldrich).</w:t>
      </w:r>
    </w:p>
    <w:p w14:paraId="587229D1" w14:textId="77777777" w:rsidR="00B353BB" w:rsidRDefault="00B353BB" w:rsidP="00B353BB">
      <w:pPr>
        <w:jc w:val="both"/>
        <w:rPr>
          <w:rFonts w:ascii="Times New Roman" w:hAnsi="Times New Roman" w:cs="Times New Roman"/>
        </w:rPr>
      </w:pPr>
      <w:proofErr w:type="spellStart"/>
      <w:r w:rsidRPr="002518D4">
        <w:rPr>
          <w:rFonts w:ascii="Times New Roman" w:hAnsi="Times New Roman" w:cs="Times New Roman"/>
        </w:rPr>
        <w:t>Miralon</w:t>
      </w:r>
      <w:proofErr w:type="spellEnd"/>
      <w:r w:rsidRPr="002518D4">
        <w:rPr>
          <w:rFonts w:ascii="Times New Roman" w:hAnsi="Times New Roman" w:cs="Times New Roman"/>
        </w:rPr>
        <w:t>™ carbon nanotube (CNT) mats (thickness: 30 </w:t>
      </w:r>
      <w:proofErr w:type="spellStart"/>
      <w:r w:rsidRPr="002518D4">
        <w:rPr>
          <w:rFonts w:ascii="Times New Roman" w:hAnsi="Times New Roman" w:cs="Times New Roman"/>
        </w:rPr>
        <w:t>μm</w:t>
      </w:r>
      <w:proofErr w:type="spellEnd"/>
      <w:r w:rsidRPr="002518D4">
        <w:rPr>
          <w:rFonts w:ascii="Times New Roman" w:hAnsi="Times New Roman" w:cs="Times New Roman"/>
        </w:rPr>
        <w:t xml:space="preserve">; </w:t>
      </w:r>
      <w:proofErr w:type="spellStart"/>
      <w:r w:rsidRPr="002518D4">
        <w:rPr>
          <w:rFonts w:ascii="Times New Roman" w:hAnsi="Times New Roman" w:cs="Times New Roman"/>
        </w:rPr>
        <w:t>Nanocomp</w:t>
      </w:r>
      <w:proofErr w:type="spellEnd"/>
      <w:r w:rsidRPr="002518D4">
        <w:rPr>
          <w:rFonts w:ascii="Times New Roman" w:hAnsi="Times New Roman" w:cs="Times New Roman"/>
        </w:rPr>
        <w:t xml:space="preserve"> Technologies, Inc., NH, USA) were used as electrodes in their as-received form for the composite structural supercapacitor developed in this study. A glass fibre veil with a thickness of approximately 50 </w:t>
      </w:r>
      <w:proofErr w:type="spellStart"/>
      <w:r w:rsidRPr="002518D4">
        <w:rPr>
          <w:rFonts w:ascii="Times New Roman" w:hAnsi="Times New Roman" w:cs="Times New Roman"/>
        </w:rPr>
        <w:t>μm</w:t>
      </w:r>
      <w:proofErr w:type="spellEnd"/>
      <w:r w:rsidRPr="002518D4">
        <w:rPr>
          <w:rFonts w:ascii="Times New Roman" w:hAnsi="Times New Roman" w:cs="Times New Roman"/>
        </w:rPr>
        <w:t xml:space="preserve"> was used as a separator.</w:t>
      </w:r>
      <w:r>
        <w:rPr>
          <w:rFonts w:ascii="Times New Roman" w:hAnsi="Times New Roman" w:cs="Times New Roman"/>
        </w:rPr>
        <w:t xml:space="preserve"> </w:t>
      </w:r>
    </w:p>
    <w:p w14:paraId="2EBB1124" w14:textId="77777777" w:rsidR="00B353BB" w:rsidRPr="007B7D28" w:rsidRDefault="00B353BB" w:rsidP="00B353BB">
      <w:pPr>
        <w:spacing w:line="276" w:lineRule="auto"/>
        <w:jc w:val="both"/>
        <w:rPr>
          <w:rFonts w:ascii="Arial" w:hAnsi="Arial" w:cs="Arial"/>
        </w:rPr>
      </w:pPr>
      <w:r w:rsidRPr="007B7D28">
        <w:rPr>
          <w:rFonts w:ascii="Arial" w:hAnsi="Arial" w:cs="Arial"/>
        </w:rPr>
        <w:t>Preparation of Phenolic Resin based Solid Electrolyte</w:t>
      </w:r>
      <w:r>
        <w:rPr>
          <w:rFonts w:ascii="Arial" w:hAnsi="Arial" w:cs="Arial"/>
        </w:rPr>
        <w:t xml:space="preserve"> and Composite Structural Supercapacitor</w:t>
      </w:r>
    </w:p>
    <w:p w14:paraId="598D603A" w14:textId="77777777" w:rsidR="00B353BB" w:rsidRPr="002518D4" w:rsidRDefault="00B353BB" w:rsidP="00B353BB">
      <w:pPr>
        <w:jc w:val="both"/>
        <w:rPr>
          <w:rFonts w:ascii="Times New Roman" w:hAnsi="Times New Roman" w:cs="Times New Roman"/>
        </w:rPr>
      </w:pPr>
      <w:r w:rsidRPr="002518D4">
        <w:rPr>
          <w:rFonts w:ascii="Times New Roman" w:hAnsi="Times New Roman" w:cs="Times New Roman"/>
        </w:rPr>
        <w:t xml:space="preserve">The baseline electrolyte was prepared by mixing phenolic resin and IL in a mass ratio of 3:2 until a homogeneous mixture was obtained. It should be noted that the weight of the phenolic resin includes the catalyst content. To prepare electrolytes containing lithium salt, </w:t>
      </w:r>
      <w:proofErr w:type="spellStart"/>
      <w:r w:rsidRPr="002518D4">
        <w:rPr>
          <w:rFonts w:ascii="Times New Roman" w:hAnsi="Times New Roman" w:cs="Times New Roman"/>
        </w:rPr>
        <w:t>LiTFSI</w:t>
      </w:r>
      <w:proofErr w:type="spellEnd"/>
      <w:r w:rsidRPr="002518D4">
        <w:rPr>
          <w:rFonts w:ascii="Times New Roman" w:hAnsi="Times New Roman" w:cs="Times New Roman"/>
        </w:rPr>
        <w:t xml:space="preserve"> was first dissolved in the IL with the assistance of an ultrasonic water bath, with </w:t>
      </w:r>
      <w:proofErr w:type="spellStart"/>
      <w:r w:rsidRPr="002518D4">
        <w:rPr>
          <w:rFonts w:ascii="Times New Roman" w:hAnsi="Times New Roman" w:cs="Times New Roman"/>
        </w:rPr>
        <w:t>LiTFSI</w:t>
      </w:r>
      <w:proofErr w:type="spellEnd"/>
      <w:r w:rsidRPr="002518D4">
        <w:rPr>
          <w:rFonts w:ascii="Times New Roman" w:hAnsi="Times New Roman" w:cs="Times New Roman"/>
        </w:rPr>
        <w:t>/IL mass ratios varying up to 0.5. The resulting mixture was then further mixed with phenolic resin at the appropriate ratio</w:t>
      </w:r>
      <w:r>
        <w:rPr>
          <w:rFonts w:ascii="Times New Roman" w:hAnsi="Times New Roman" w:cs="Times New Roman"/>
        </w:rPr>
        <w:t>s</w:t>
      </w:r>
      <w:r w:rsidRPr="002518D4">
        <w:rPr>
          <w:rFonts w:ascii="Times New Roman" w:hAnsi="Times New Roman" w:cs="Times New Roman"/>
        </w:rPr>
        <w:t xml:space="preserve"> described in the main text.</w:t>
      </w:r>
      <w:r>
        <w:rPr>
          <w:rFonts w:ascii="Times New Roman" w:hAnsi="Times New Roman" w:cs="Times New Roman"/>
        </w:rPr>
        <w:t xml:space="preserve"> </w:t>
      </w:r>
      <w:r w:rsidRPr="002518D4">
        <w:rPr>
          <w:rFonts w:ascii="Times New Roman" w:hAnsi="Times New Roman" w:cs="Times New Roman"/>
        </w:rPr>
        <w:t>Once a homogeneous mixture was achieved, the electrolytes were cast into Teflon moulds designed for conductivity measurement samples (cylindrical shape with diameter ~10 mm and thickness ~4 mm) and tensile test samples (dog-bone shaped with dimensions 40 mm length, 10 mm width, and ~2 mm thickness). The electrolytes were cured in an oven, starting with 16 hours at 80 °C, followed by a 5-hour post-cure at 135 °C.</w:t>
      </w:r>
    </w:p>
    <w:p w14:paraId="1FB17C38" w14:textId="77777777" w:rsidR="00B353BB" w:rsidRDefault="00B353BB" w:rsidP="00B353BB">
      <w:pPr>
        <w:jc w:val="both"/>
        <w:rPr>
          <w:rFonts w:ascii="Times New Roman" w:hAnsi="Times New Roman" w:cs="Times New Roman"/>
        </w:rPr>
      </w:pPr>
      <w:r w:rsidRPr="002518D4">
        <w:rPr>
          <w:rFonts w:ascii="Times New Roman" w:hAnsi="Times New Roman" w:cs="Times New Roman"/>
        </w:rPr>
        <w:t>The composite structural supercapacitor was fabricated using a hand lay-up method. The CNT mat was cut to the size of 2 cm × 2 cm and attached to a small piece of copper foil as a current collector using silver paste. The homogeneous mixed electrolyte was applied evenly to one of the CNT mat electrodes until it was fully impregnated with the electrolyte. Then, the glass fibre veil was placed on top of this electrode, and electrolyte was applied to it in the same manner. The second CNT mat electrode was then stacked on the glass fibre veil separator, followed by the application of electrolyte. The composite structural supercapacitor was cured under the same conditions in an oven</w:t>
      </w:r>
      <w:r>
        <w:rPr>
          <w:rFonts w:ascii="Times New Roman" w:hAnsi="Times New Roman" w:cs="Times New Roman"/>
        </w:rPr>
        <w:t>.</w:t>
      </w:r>
    </w:p>
    <w:p w14:paraId="76F74070" w14:textId="77777777" w:rsidR="00B353BB" w:rsidRPr="00EA383A" w:rsidRDefault="00B353BB" w:rsidP="00B353BB">
      <w:pPr>
        <w:spacing w:line="276" w:lineRule="auto"/>
        <w:jc w:val="both"/>
        <w:rPr>
          <w:rFonts w:ascii="Arial" w:hAnsi="Arial" w:cs="Arial"/>
        </w:rPr>
      </w:pPr>
      <w:r w:rsidRPr="00EA383A">
        <w:rPr>
          <w:rFonts w:ascii="Arial" w:hAnsi="Arial" w:cs="Arial"/>
        </w:rPr>
        <w:t xml:space="preserve">Measurement of </w:t>
      </w:r>
      <w:r w:rsidRPr="00EA383A">
        <w:rPr>
          <w:rFonts w:ascii="Arial" w:hAnsi="Arial" w:cs="Arial" w:hint="eastAsia"/>
        </w:rPr>
        <w:t>I</w:t>
      </w:r>
      <w:r w:rsidRPr="00EA383A">
        <w:rPr>
          <w:rFonts w:ascii="Arial" w:hAnsi="Arial" w:cs="Arial"/>
        </w:rPr>
        <w:t xml:space="preserve">onic </w:t>
      </w:r>
      <w:r w:rsidRPr="00EA383A">
        <w:rPr>
          <w:rFonts w:ascii="Arial" w:hAnsi="Arial" w:cs="Arial" w:hint="eastAsia"/>
        </w:rPr>
        <w:t>C</w:t>
      </w:r>
      <w:r w:rsidRPr="00EA383A">
        <w:rPr>
          <w:rFonts w:ascii="Arial" w:hAnsi="Arial" w:cs="Arial"/>
        </w:rPr>
        <w:t>onductivities</w:t>
      </w:r>
    </w:p>
    <w:p w14:paraId="06700F90" w14:textId="250F7727" w:rsidR="00B353BB" w:rsidRDefault="00B353BB" w:rsidP="00B353BB">
      <w:pPr>
        <w:spacing w:line="276" w:lineRule="auto"/>
        <w:jc w:val="both"/>
        <w:rPr>
          <w:rFonts w:ascii="Times New Roman" w:hAnsi="Times New Roman" w:cs="Times New Roman"/>
        </w:rPr>
      </w:pPr>
      <w:r w:rsidRPr="002518D4">
        <w:rPr>
          <w:rFonts w:ascii="Times New Roman" w:hAnsi="Times New Roman" w:cs="Times New Roman"/>
        </w:rPr>
        <w:t xml:space="preserve">Electrochemical impedance spectroscopy (EIS) was used to analyse the ionic conductivity of the produced solid-state polymer electrolytes. For sample preparation, the moulded cylindrical samples were polished with sandpaper prior to measurement. During EIS measurements, the cylindrical samples were clamped between two stainless steel blocking electrodes, and the complex impedance spectrum was recorded over the frequency </w:t>
      </w:r>
      <w:r w:rsidRPr="002518D4">
        <w:rPr>
          <w:rFonts w:ascii="Times New Roman" w:hAnsi="Times New Roman" w:cs="Times New Roman"/>
        </w:rPr>
        <w:lastRenderedPageBreak/>
        <w:t>range from 100 </w:t>
      </w:r>
      <w:proofErr w:type="spellStart"/>
      <w:r w:rsidRPr="002518D4">
        <w:rPr>
          <w:rFonts w:ascii="Times New Roman" w:hAnsi="Times New Roman" w:cs="Times New Roman"/>
        </w:rPr>
        <w:t>mHz</w:t>
      </w:r>
      <w:proofErr w:type="spellEnd"/>
      <w:r w:rsidRPr="002518D4">
        <w:rPr>
          <w:rFonts w:ascii="Times New Roman" w:hAnsi="Times New Roman" w:cs="Times New Roman"/>
        </w:rPr>
        <w:t xml:space="preserve"> to 100 kHz at an amplitude of 10 mV using a multi-</w:t>
      </w:r>
      <w:proofErr w:type="spellStart"/>
      <w:r w:rsidRPr="002518D4">
        <w:rPr>
          <w:rFonts w:ascii="Times New Roman" w:hAnsi="Times New Roman" w:cs="Times New Roman"/>
        </w:rPr>
        <w:t>potentiostat</w:t>
      </w:r>
      <w:proofErr w:type="spellEnd"/>
      <w:r w:rsidRPr="002518D4">
        <w:rPr>
          <w:rFonts w:ascii="Times New Roman" w:hAnsi="Times New Roman" w:cs="Times New Roman"/>
        </w:rPr>
        <w:t xml:space="preserve"> (Bio-Logic VSP-300). The impedance data, comprising real and imaginary components, were plotted in a Nyquist plot. The ionic conductivity was calculated using the equation</w:t>
      </w:r>
      <w:r>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"/>
          <w:id w:val="777457627"/>
          <w:placeholder>
            <w:docPart w:val="9B337441D1B94D13903708CE56564766"/>
          </w:placeholder>
        </w:sdtPr>
        <w:sdtEndPr>
          <w:rPr>
            <w:rFonts w:asciiTheme="minorHAnsi" w:hAnsiTheme="minorHAnsi" w:cstheme="minorBidi"/>
          </w:rPr>
        </w:sdtEndPr>
        <w:sdtContent>
          <w:r w:rsidRPr="00B353BB">
            <w:rPr>
              <w:color w:val="000000"/>
              <w:vertAlign w:val="superscript"/>
            </w:rPr>
            <w:t>1</w:t>
          </w:r>
        </w:sdtContent>
      </w:sdt>
      <w:r>
        <w:rPr>
          <w:rFonts w:ascii="Times New Roman" w:hAnsi="Times New Roman" w:cs="Times New Roman"/>
        </w:rPr>
        <w:t>:</w:t>
      </w:r>
    </w:p>
    <w:p w14:paraId="1411B8FE" w14:textId="77777777" w:rsidR="00B353BB" w:rsidRDefault="00B353BB" w:rsidP="00B353BB">
      <w:pPr>
        <w:spacing w:line="276" w:lineRule="auto"/>
        <w:jc w:val="both"/>
        <w:rPr>
          <w:rFonts w:ascii="Times New Roman" w:hAnsi="Times New Roman" w:cs="Times New Roman"/>
        </w:rPr>
      </w:pPr>
      <w:r>
        <w:rPr>
          <w:rFonts w:ascii="Times New Roman" w:hAnsi="Times New Roman" w:cs="Times New Roman"/>
        </w:rPr>
        <w:t xml:space="preserve">                                                                           </w:t>
      </w:r>
      <w:r w:rsidRPr="00764D50">
        <w:rPr>
          <w:rFonts w:ascii="Times New Roman" w:hAnsi="Times New Roman" w:cs="Times New Roman"/>
        </w:rPr>
        <w:t xml:space="preserve"> </w:t>
      </w:r>
      <m:oMath>
        <m:r>
          <w:rPr>
            <w:rFonts w:ascii="Cambria Math" w:hAnsi="Cambria Math" w:cs="Times New Roman"/>
          </w:rPr>
          <m:t>σ=</m:t>
        </m:r>
        <m:f>
          <m:fPr>
            <m:ctrlPr>
              <w:rPr>
                <w:rFonts w:ascii="Cambria Math" w:hAnsi="Cambria Math" w:cs="Times New Roman"/>
                <w:i/>
              </w:rPr>
            </m:ctrlPr>
          </m:fPr>
          <m:num>
            <m:r>
              <w:rPr>
                <w:rFonts w:ascii="Cambria Math" w:hAnsi="Cambria Math" w:cs="Times New Roman"/>
              </w:rPr>
              <m:t>1000t</m:t>
            </m:r>
          </m:num>
          <m:den>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b</m:t>
                </m:r>
              </m:sub>
            </m:sSub>
            <m:r>
              <w:rPr>
                <w:rFonts w:ascii="Cambria Math" w:hAnsi="Cambria Math" w:cs="Times New Roman"/>
              </w:rPr>
              <m:t>×A</m:t>
            </m:r>
          </m:den>
        </m:f>
      </m:oMath>
      <w:r>
        <w:rPr>
          <w:rFonts w:ascii="Times New Roman" w:hAnsi="Times New Roman" w:cs="Times New Roman"/>
        </w:rPr>
        <w:t xml:space="preserve">                                                                         (1)</w:t>
      </w:r>
    </w:p>
    <w:p w14:paraId="06F2AC2A" w14:textId="77777777" w:rsidR="00B353BB" w:rsidRDefault="00B353BB" w:rsidP="00B353BB">
      <w:pPr>
        <w:spacing w:line="276" w:lineRule="auto"/>
        <w:jc w:val="both"/>
        <w:rPr>
          <w:rFonts w:ascii="Times New Roman" w:hAnsi="Times New Roman" w:cs="Times New Roman"/>
        </w:rPr>
      </w:pPr>
      <w:r>
        <w:rPr>
          <w:rFonts w:ascii="Times New Roman" w:hAnsi="Times New Roman" w:cs="Times New Roman"/>
        </w:rPr>
        <w:t>where</w:t>
      </w:r>
      <w:r w:rsidRPr="00590225">
        <w:rPr>
          <w:rFonts w:ascii="Times New Roman" w:hAnsi="Times New Roman" w:cs="Times New Roman"/>
        </w:rPr>
        <w:t xml:space="preserve"> </w:t>
      </w:r>
      <w:r w:rsidRPr="00590225">
        <w:rPr>
          <w:rFonts w:ascii="Times New Roman" w:hAnsi="Times New Roman" w:cs="Times New Roman"/>
          <w:i/>
          <w:iCs/>
        </w:rPr>
        <w:t>σ</w:t>
      </w:r>
      <w:r w:rsidRPr="00590225">
        <w:rPr>
          <w:rFonts w:ascii="Times New Roman" w:hAnsi="Times New Roman" w:cs="Times New Roman"/>
        </w:rPr>
        <w:t xml:space="preserve"> is the ionic conductivity (</w:t>
      </w:r>
      <w:r>
        <w:rPr>
          <w:rFonts w:ascii="Times New Roman" w:hAnsi="Times New Roman" w:cs="Times New Roman"/>
        </w:rPr>
        <w:t>m</w:t>
      </w:r>
      <w:r w:rsidRPr="00590225">
        <w:rPr>
          <w:rFonts w:ascii="Times New Roman" w:hAnsi="Times New Roman" w:cs="Times New Roman"/>
        </w:rPr>
        <w:t>S</w:t>
      </w:r>
      <w:r>
        <w:rPr>
          <w:rFonts w:ascii="Times New Roman" w:hAnsi="Times New Roman" w:cs="Times New Roman"/>
        </w:rPr>
        <w:t>/</w:t>
      </w:r>
      <w:r w:rsidRPr="00590225">
        <w:rPr>
          <w:rFonts w:ascii="Times New Roman" w:hAnsi="Times New Roman" w:cs="Times New Roman"/>
        </w:rPr>
        <w:t xml:space="preserve">cm), </w:t>
      </w:r>
      <w:r w:rsidRPr="00590225">
        <w:rPr>
          <w:rFonts w:ascii="Times New Roman" w:hAnsi="Times New Roman" w:cs="Times New Roman"/>
          <w:i/>
          <w:iCs/>
        </w:rPr>
        <w:t>t</w:t>
      </w:r>
      <w:r>
        <w:rPr>
          <w:rFonts w:ascii="Times New Roman" w:hAnsi="Times New Roman" w:cs="Times New Roman"/>
          <w:i/>
          <w:iCs/>
        </w:rPr>
        <w:t xml:space="preserve"> </w:t>
      </w:r>
      <w:r w:rsidRPr="00590225">
        <w:rPr>
          <w:rFonts w:ascii="Times New Roman" w:hAnsi="Times New Roman" w:cs="Times New Roman"/>
        </w:rPr>
        <w:t xml:space="preserve">is the thickness (cm), </w:t>
      </w:r>
      <w:r w:rsidRPr="00590225">
        <w:rPr>
          <w:rFonts w:ascii="Times New Roman" w:hAnsi="Times New Roman" w:cs="Times New Roman"/>
          <w:i/>
          <w:iCs/>
        </w:rPr>
        <w:t>A</w:t>
      </w:r>
      <w:r w:rsidRPr="00590225">
        <w:rPr>
          <w:rFonts w:ascii="Times New Roman" w:hAnsi="Times New Roman" w:cs="Times New Roman"/>
        </w:rPr>
        <w:t xml:space="preserve"> is the contact area (cm</w:t>
      </w:r>
      <w:r w:rsidRPr="00590225">
        <w:rPr>
          <w:rFonts w:ascii="Times New Roman" w:hAnsi="Times New Roman" w:cs="Times New Roman"/>
          <w:vertAlign w:val="superscript"/>
        </w:rPr>
        <w:t>2</w:t>
      </w:r>
      <w:r w:rsidRPr="00590225">
        <w:rPr>
          <w:rFonts w:ascii="Times New Roman" w:hAnsi="Times New Roman" w:cs="Times New Roman"/>
        </w:rPr>
        <w:t xml:space="preserve">), and </w:t>
      </w:r>
      <w:r w:rsidRPr="00590225">
        <w:rPr>
          <w:rFonts w:ascii="Times New Roman" w:hAnsi="Times New Roman" w:cs="Times New Roman"/>
          <w:i/>
          <w:iCs/>
        </w:rPr>
        <w:t>R</w:t>
      </w:r>
      <w:r w:rsidRPr="00590225">
        <w:rPr>
          <w:rFonts w:ascii="Times New Roman" w:hAnsi="Times New Roman" w:cs="Times New Roman"/>
          <w:i/>
          <w:iCs/>
          <w:vertAlign w:val="subscript"/>
        </w:rPr>
        <w:t>b</w:t>
      </w:r>
      <w:r w:rsidRPr="00590225">
        <w:rPr>
          <w:rFonts w:ascii="Times New Roman" w:hAnsi="Times New Roman" w:cs="Times New Roman"/>
          <w:i/>
          <w:iCs/>
        </w:rPr>
        <w:t xml:space="preserve"> </w:t>
      </w:r>
      <w:r w:rsidRPr="00590225">
        <w:rPr>
          <w:rFonts w:ascii="Times New Roman" w:hAnsi="Times New Roman" w:cs="Times New Roman"/>
        </w:rPr>
        <w:t xml:space="preserve">(Ω) is the bulk resistance of </w:t>
      </w:r>
      <w:r>
        <w:rPr>
          <w:rFonts w:ascii="Times New Roman" w:hAnsi="Times New Roman" w:cs="Times New Roman"/>
        </w:rPr>
        <w:t>solid electrolyte sample measured through EIS</w:t>
      </w:r>
      <w:r w:rsidRPr="00590225">
        <w:rPr>
          <w:rFonts w:ascii="Times New Roman" w:hAnsi="Times New Roman" w:cs="Times New Roman"/>
        </w:rPr>
        <w:t>.</w:t>
      </w:r>
    </w:p>
    <w:p w14:paraId="26C36A1A" w14:textId="77777777" w:rsidR="00B353BB" w:rsidRPr="000624B4" w:rsidRDefault="00B353BB" w:rsidP="00B353BB">
      <w:pPr>
        <w:spacing w:line="276" w:lineRule="auto"/>
        <w:jc w:val="both"/>
        <w:rPr>
          <w:rFonts w:ascii="Arial" w:hAnsi="Arial" w:cs="Arial"/>
        </w:rPr>
      </w:pPr>
      <w:r w:rsidRPr="000624B4">
        <w:rPr>
          <w:rFonts w:ascii="Arial" w:hAnsi="Arial" w:cs="Arial"/>
        </w:rPr>
        <w:t>Capacitance Measurement for Composite Structural Supercapacitor</w:t>
      </w:r>
    </w:p>
    <w:p w14:paraId="31CA2CAE" w14:textId="77777777" w:rsidR="00B353BB" w:rsidRDefault="00B353BB" w:rsidP="00B353BB">
      <w:pPr>
        <w:spacing w:line="276" w:lineRule="auto"/>
        <w:jc w:val="both"/>
        <w:rPr>
          <w:rFonts w:ascii="Times New Roman" w:hAnsi="Times New Roman" w:cs="Times New Roman"/>
        </w:rPr>
      </w:pPr>
      <w:bookmarkStart w:id="5" w:name="OLE_LINK26"/>
      <w:bookmarkStart w:id="6" w:name="OLE_LINK27"/>
      <w:r w:rsidRPr="002518D4">
        <w:rPr>
          <w:rFonts w:ascii="Times New Roman" w:hAnsi="Times New Roman" w:cs="Times New Roman"/>
        </w:rPr>
        <w:t>Electrochemical characterization of the composite structural supercapacitors was conducted using a two-electrode system. Cyclic voltammetry (CV) curves were measured at different scan rates ranging from 1 to 200 mV/s within a potential window from 0 to 2 V</w:t>
      </w:r>
      <w:r w:rsidRPr="002F4E3F">
        <w:rPr>
          <w:rFonts w:ascii="Times New Roman" w:hAnsi="Times New Roman" w:cs="Times New Roman"/>
        </w:rPr>
        <w:t>.</w:t>
      </w:r>
      <w:r w:rsidRPr="003C7687">
        <w:t xml:space="preserve"> </w:t>
      </w:r>
      <w:r w:rsidRPr="002F4E3F">
        <w:rPr>
          <w:rFonts w:ascii="Times New Roman" w:hAnsi="Times New Roman" w:cs="Times New Roman"/>
        </w:rPr>
        <w:t xml:space="preserve">The capacitance </w:t>
      </w:r>
      <w:bookmarkStart w:id="7" w:name="_Hlk29212581"/>
      <w:r>
        <w:rPr>
          <w:rFonts w:ascii="Times New Roman" w:hAnsi="Times New Roman" w:cs="Times New Roman"/>
        </w:rPr>
        <w:t xml:space="preserve">under constant voltage scan rate </w:t>
      </w:r>
      <w:r w:rsidRPr="00EA2864">
        <w:rPr>
          <w:rFonts w:ascii="Times New Roman" w:hAnsi="Times New Roman" w:cs="Times New Roman" w:hint="eastAsia"/>
          <w:i/>
        </w:rPr>
        <w:t>C</w:t>
      </w:r>
      <w:r>
        <w:rPr>
          <w:rFonts w:ascii="Times New Roman" w:hAnsi="Times New Roman" w:cs="Times New Roman"/>
          <w:i/>
          <w:vertAlign w:val="subscript"/>
        </w:rPr>
        <w:t>k=const</w:t>
      </w:r>
      <w:r w:rsidRPr="002F4E3F">
        <w:rPr>
          <w:rFonts w:ascii="Times New Roman" w:hAnsi="Times New Roman" w:cs="Times New Roman"/>
        </w:rPr>
        <w:t xml:space="preserve"> </w:t>
      </w:r>
      <w:r>
        <w:rPr>
          <w:rFonts w:ascii="Times New Roman" w:hAnsi="Times New Roman" w:cs="Times New Roman" w:hint="eastAsia"/>
        </w:rPr>
        <w:t>(m</w:t>
      </w:r>
      <w:r>
        <w:rPr>
          <w:rFonts w:ascii="Times New Roman" w:hAnsi="Times New Roman" w:cs="Times New Roman"/>
        </w:rPr>
        <w:t>F</w:t>
      </w:r>
      <w:r>
        <w:rPr>
          <w:rFonts w:ascii="Times New Roman" w:hAnsi="Times New Roman" w:cs="Times New Roman" w:hint="eastAsia"/>
        </w:rPr>
        <w:t xml:space="preserve">) </w:t>
      </w:r>
      <w:bookmarkEnd w:id="7"/>
      <w:r>
        <w:rPr>
          <w:rFonts w:ascii="Times New Roman" w:hAnsi="Times New Roman" w:cs="Times New Roman"/>
        </w:rPr>
        <w:t xml:space="preserve">is </w:t>
      </w:r>
      <w:r w:rsidRPr="002F4E3F">
        <w:rPr>
          <w:rFonts w:ascii="Times New Roman" w:hAnsi="Times New Roman" w:cs="Times New Roman"/>
        </w:rPr>
        <w:t>calculated based on the following equation</w:t>
      </w:r>
      <w:r>
        <w:rPr>
          <w:rFonts w:ascii="Times New Roman" w:hAnsi="Times New Roman" w:cs="Times New Roman"/>
        </w:rPr>
        <w:t>,</w:t>
      </w:r>
      <w:r>
        <w:rPr>
          <w:rFonts w:ascii="Times New Roman" w:hAnsi="Times New Roman" w:cs="Times New Roman" w:hint="eastAsia"/>
        </w:rPr>
        <w:t xml:space="preserve"> </w:t>
      </w:r>
    </w:p>
    <w:p w14:paraId="3420E2C2" w14:textId="77777777" w:rsidR="00B353BB" w:rsidRPr="003E1A14" w:rsidRDefault="00B353BB" w:rsidP="00B353BB">
      <w:pPr>
        <w:spacing w:line="276" w:lineRule="auto"/>
        <w:ind w:firstLine="284"/>
        <w:jc w:val="both"/>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k=const</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a</m:t>
                </m:r>
              </m:sub>
            </m:sSub>
            <m:r>
              <w:rPr>
                <w:rFonts w:ascii="Cambria Math" w:hAnsi="Cambria Math" w:cs="Times New Roman"/>
              </w:rPr>
              <m:t>)</m:t>
            </m:r>
          </m:den>
        </m:f>
        <m:nary>
          <m:naryPr>
            <m:limLoc m:val="subSup"/>
            <m:ctrlPr>
              <w:rPr>
                <w:rFonts w:ascii="Cambria Math" w:hAnsi="Cambria Math" w:cs="Times New Roman"/>
                <w:i/>
              </w:rPr>
            </m:ctrlPr>
          </m:naryPr>
          <m: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a</m:t>
                </m:r>
              </m:sub>
            </m:sSub>
          </m:sub>
          <m:sup>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m:t>
                </m:r>
              </m:sub>
            </m:sSub>
          </m:sup>
          <m:e>
            <m:r>
              <w:rPr>
                <w:rFonts w:ascii="Cambria Math" w:hAnsi="Cambria Math" w:cs="Times New Roman"/>
              </w:rPr>
              <m:t>I(V) dV</m:t>
            </m:r>
          </m:e>
        </m:nary>
      </m:oMath>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2</w:t>
      </w:r>
      <w:r>
        <w:rPr>
          <w:rFonts w:ascii="Times New Roman" w:hAnsi="Times New Roman" w:cs="Times New Roman" w:hint="eastAsia"/>
        </w:rPr>
        <w:t>)</w:t>
      </w:r>
    </w:p>
    <w:bookmarkEnd w:id="5"/>
    <w:bookmarkEnd w:id="6"/>
    <w:p w14:paraId="6CA7F441" w14:textId="77777777" w:rsidR="00B353BB" w:rsidRPr="00173B70" w:rsidRDefault="00B353BB" w:rsidP="00B353BB">
      <w:pPr>
        <w:spacing w:line="276" w:lineRule="auto"/>
        <w:jc w:val="both"/>
        <w:rPr>
          <w:rFonts w:ascii="Times New Roman" w:hAnsi="Times New Roman" w:cs="Times New Roman"/>
        </w:rPr>
      </w:pPr>
      <w:r>
        <w:rPr>
          <w:rFonts w:ascii="Times New Roman" w:hAnsi="Times New Roman" w:cs="Times New Roman"/>
        </w:rPr>
        <w:t>w</w:t>
      </w:r>
      <w:r>
        <w:rPr>
          <w:rFonts w:ascii="Times New Roman" w:hAnsi="Times New Roman" w:cs="Times New Roman" w:hint="eastAsia"/>
        </w:rPr>
        <w:t xml:space="preserve">here </w:t>
      </w:r>
      <w:r>
        <w:rPr>
          <w:rFonts w:ascii="Times New Roman" w:hAnsi="Times New Roman" w:cs="Times New Roman" w:hint="eastAsia"/>
          <w:i/>
        </w:rPr>
        <w:t>I</w:t>
      </w:r>
      <w:r>
        <w:rPr>
          <w:rFonts w:ascii="Times New Roman" w:hAnsi="Times New Roman" w:cs="Times New Roman" w:hint="eastAsia"/>
        </w:rPr>
        <w:t xml:space="preserve"> </w:t>
      </w:r>
      <w:proofErr w:type="gramStart"/>
      <w:r>
        <w:rPr>
          <w:rFonts w:ascii="Times New Roman" w:hAnsi="Times New Roman" w:cs="Times New Roman" w:hint="eastAsia"/>
        </w:rPr>
        <w:t>is</w:t>
      </w:r>
      <w:proofErr w:type="gramEnd"/>
      <w:r>
        <w:rPr>
          <w:rFonts w:ascii="Times New Roman" w:hAnsi="Times New Roman" w:cs="Times New Roman" w:hint="eastAsia"/>
        </w:rPr>
        <w:t xml:space="preserve"> the current (mA), </w:t>
      </w:r>
      <w:r w:rsidRPr="00FD322D">
        <w:rPr>
          <w:rFonts w:ascii="Times New Roman" w:hAnsi="Times New Roman" w:cs="Times New Roman" w:hint="eastAsia"/>
          <w:i/>
        </w:rPr>
        <w:t>A</w:t>
      </w:r>
      <w:r>
        <w:rPr>
          <w:rFonts w:ascii="Times New Roman" w:hAnsi="Times New Roman" w:cs="Times New Roman" w:hint="eastAsia"/>
        </w:rPr>
        <w:t xml:space="preserve"> is the surface area of </w:t>
      </w:r>
      <w:r>
        <w:rPr>
          <w:rFonts w:ascii="Times New Roman" w:hAnsi="Times New Roman" w:cs="Times New Roman"/>
        </w:rPr>
        <w:t xml:space="preserve">the </w:t>
      </w:r>
      <w:r>
        <w:rPr>
          <w:rFonts w:ascii="Times New Roman" w:hAnsi="Times New Roman" w:cs="Times New Roman" w:hint="eastAsia"/>
        </w:rPr>
        <w:t>electrode (cm</w:t>
      </w:r>
      <w:r w:rsidRPr="002F4E3F">
        <w:rPr>
          <w:rFonts w:ascii="Times New Roman" w:hAnsi="Times New Roman" w:cs="Times New Roman" w:hint="eastAsia"/>
          <w:vertAlign w:val="superscript"/>
        </w:rPr>
        <w:t>2</w:t>
      </w:r>
      <w:r>
        <w:rPr>
          <w:rFonts w:ascii="Times New Roman" w:hAnsi="Times New Roman" w:cs="Times New Roman" w:hint="eastAsia"/>
        </w:rPr>
        <w:t xml:space="preserve">), </w:t>
      </w:r>
      <w:r w:rsidRPr="003E1A14">
        <w:rPr>
          <w:rFonts w:ascii="Times New Roman" w:hAnsi="Times New Roman" w:cs="Times New Roman" w:hint="eastAsia"/>
          <w:i/>
        </w:rPr>
        <w:t>k</w:t>
      </w:r>
      <w:r>
        <w:rPr>
          <w:rFonts w:ascii="Times New Roman" w:hAnsi="Times New Roman" w:cs="Times New Roman" w:hint="eastAsia"/>
        </w:rPr>
        <w:t xml:space="preserve"> is the scan rate (V/s)</w:t>
      </w:r>
      <w:r>
        <w:rPr>
          <w:rFonts w:ascii="Times New Roman" w:hAnsi="Times New Roman" w:cs="Times New Roman"/>
        </w:rPr>
        <w:t xml:space="preserve">, </w:t>
      </w:r>
      <w:r w:rsidRPr="000D0718">
        <w:rPr>
          <w:rFonts w:ascii="Times New Roman" w:hAnsi="Times New Roman" w:cs="Times New Roman"/>
          <w:i/>
          <w:iCs/>
        </w:rPr>
        <w:t>V</w:t>
      </w:r>
      <w:r>
        <w:rPr>
          <w:rFonts w:ascii="Times New Roman" w:hAnsi="Times New Roman" w:cs="Times New Roman"/>
          <w:i/>
          <w:iCs/>
          <w:vertAlign w:val="subscript"/>
        </w:rPr>
        <w:t xml:space="preserve">a </w:t>
      </w:r>
      <w:r>
        <w:rPr>
          <w:rFonts w:ascii="Times New Roman" w:hAnsi="Times New Roman" w:cs="Times New Roman"/>
        </w:rPr>
        <w:t>and</w:t>
      </w:r>
      <w:r>
        <w:rPr>
          <w:rFonts w:ascii="Times New Roman" w:hAnsi="Times New Roman" w:cs="Times New Roman"/>
          <w:i/>
          <w:iCs/>
        </w:rPr>
        <w:t xml:space="preserve"> </w:t>
      </w:r>
      <w:proofErr w:type="spellStart"/>
      <w:r w:rsidRPr="000D0718">
        <w:rPr>
          <w:rFonts w:ascii="Times New Roman" w:hAnsi="Times New Roman" w:cs="Times New Roman"/>
          <w:i/>
          <w:iCs/>
        </w:rPr>
        <w:t>V</w:t>
      </w:r>
      <w:r>
        <w:rPr>
          <w:rFonts w:ascii="Times New Roman" w:hAnsi="Times New Roman" w:cs="Times New Roman"/>
          <w:i/>
          <w:iCs/>
          <w:vertAlign w:val="subscript"/>
        </w:rPr>
        <w:t>c</w:t>
      </w:r>
      <w:proofErr w:type="spellEnd"/>
      <w:r w:rsidRPr="003E1A14">
        <w:rPr>
          <w:rFonts w:ascii="Times New Roman" w:hAnsi="Times New Roman" w:cs="Times New Roman" w:hint="eastAsia"/>
          <w:i/>
        </w:rPr>
        <w:t xml:space="preserve"> </w:t>
      </w:r>
      <w:r w:rsidRPr="002518D4">
        <w:rPr>
          <w:rFonts w:ascii="Times New Roman" w:hAnsi="Times New Roman" w:cs="Times New Roman"/>
        </w:rPr>
        <w:t>are the lower and upper sweeping voltages (V), respectively</w:t>
      </w:r>
      <w:r>
        <w:rPr>
          <w:rFonts w:ascii="Times New Roman" w:hAnsi="Times New Roman" w:cs="Times New Roman" w:hint="eastAsia"/>
        </w:rPr>
        <w:t xml:space="preserve">. </w:t>
      </w:r>
      <w:r>
        <w:rPr>
          <w:rFonts w:ascii="Times New Roman" w:hAnsi="Times New Roman" w:cs="Times New Roman"/>
        </w:rPr>
        <w:t xml:space="preserve">In the present work, </w:t>
      </w:r>
      <w:r w:rsidRPr="000D0718">
        <w:rPr>
          <w:rFonts w:ascii="Times New Roman" w:hAnsi="Times New Roman" w:cs="Times New Roman"/>
          <w:i/>
          <w:iCs/>
        </w:rPr>
        <w:t>V</w:t>
      </w:r>
      <w:r>
        <w:rPr>
          <w:rFonts w:ascii="Times New Roman" w:hAnsi="Times New Roman" w:cs="Times New Roman"/>
          <w:i/>
          <w:iCs/>
          <w:vertAlign w:val="subscript"/>
        </w:rPr>
        <w:t xml:space="preserve">a </w:t>
      </w:r>
      <w:r>
        <w:rPr>
          <w:rFonts w:ascii="Times New Roman" w:hAnsi="Times New Roman" w:cs="Times New Roman"/>
        </w:rPr>
        <w:t>and</w:t>
      </w:r>
      <w:r>
        <w:rPr>
          <w:rFonts w:ascii="Times New Roman" w:hAnsi="Times New Roman" w:cs="Times New Roman"/>
          <w:i/>
          <w:iCs/>
        </w:rPr>
        <w:t xml:space="preserve"> </w:t>
      </w:r>
      <w:proofErr w:type="spellStart"/>
      <w:r w:rsidRPr="000D0718">
        <w:rPr>
          <w:rFonts w:ascii="Times New Roman" w:hAnsi="Times New Roman" w:cs="Times New Roman"/>
          <w:i/>
          <w:iCs/>
        </w:rPr>
        <w:t>V</w:t>
      </w:r>
      <w:r>
        <w:rPr>
          <w:rFonts w:ascii="Times New Roman" w:hAnsi="Times New Roman" w:cs="Times New Roman"/>
          <w:i/>
          <w:iCs/>
          <w:vertAlign w:val="subscript"/>
        </w:rPr>
        <w:t>c</w:t>
      </w:r>
      <w:proofErr w:type="spellEnd"/>
      <w:r>
        <w:rPr>
          <w:rFonts w:ascii="Times New Roman" w:hAnsi="Times New Roman" w:cs="Times New Roman"/>
          <w:i/>
          <w:iCs/>
        </w:rPr>
        <w:t xml:space="preserve"> </w:t>
      </w:r>
      <w:r>
        <w:rPr>
          <w:rFonts w:ascii="Times New Roman" w:hAnsi="Times New Roman" w:cs="Times New Roman"/>
        </w:rPr>
        <w:t xml:space="preserve">were set as 0 V and 2 V, respectively. </w:t>
      </w:r>
    </w:p>
    <w:p w14:paraId="02526245" w14:textId="77777777" w:rsidR="00B353BB" w:rsidRPr="00817DED" w:rsidRDefault="00B353BB" w:rsidP="00B353BB">
      <w:pPr>
        <w:spacing w:line="276" w:lineRule="auto"/>
        <w:jc w:val="both"/>
        <w:rPr>
          <w:rFonts w:ascii="Arial" w:hAnsi="Arial" w:cs="Arial"/>
        </w:rPr>
      </w:pPr>
      <w:r w:rsidRPr="00817DED">
        <w:rPr>
          <w:rFonts w:ascii="Arial" w:hAnsi="Arial" w:cs="Arial"/>
        </w:rPr>
        <w:t>Mechanical Testing</w:t>
      </w:r>
    </w:p>
    <w:p w14:paraId="2D909FE6" w14:textId="77777777" w:rsidR="00B353BB" w:rsidRDefault="00B353BB" w:rsidP="00B353BB">
      <w:pPr>
        <w:spacing w:line="276" w:lineRule="auto"/>
        <w:jc w:val="both"/>
        <w:rPr>
          <w:rFonts w:ascii="Times New Roman" w:hAnsi="Times New Roman" w:cs="Times New Roman"/>
        </w:rPr>
      </w:pPr>
      <w:r w:rsidRPr="002518D4">
        <w:rPr>
          <w:rFonts w:ascii="Times New Roman" w:hAnsi="Times New Roman" w:cs="Times New Roman"/>
        </w:rPr>
        <w:t>Tensile tests were performed in accordance with ASTM D638 using a universal testing machine (Instron 3369, Illinois Tool Works Inc.) equipped with a 1 </w:t>
      </w:r>
      <w:proofErr w:type="spellStart"/>
      <w:r w:rsidRPr="002518D4">
        <w:rPr>
          <w:rFonts w:ascii="Times New Roman" w:hAnsi="Times New Roman" w:cs="Times New Roman"/>
        </w:rPr>
        <w:t>kN</w:t>
      </w:r>
      <w:proofErr w:type="spellEnd"/>
      <w:r w:rsidRPr="002518D4">
        <w:rPr>
          <w:rFonts w:ascii="Times New Roman" w:hAnsi="Times New Roman" w:cs="Times New Roman"/>
        </w:rPr>
        <w:t xml:space="preserve"> load cell, at a testing speed of 1 mm/min. The strain of the samples during tensile testing was monitored using a dynamic extensometer (Instron 2620–601)</w:t>
      </w:r>
      <w:r w:rsidRPr="00DD112F">
        <w:rPr>
          <w:rFonts w:ascii="Times New Roman" w:hAnsi="Times New Roman" w:cs="Times New Roman"/>
        </w:rPr>
        <w:t>.</w:t>
      </w:r>
      <w:r>
        <w:rPr>
          <w:rFonts w:ascii="Times New Roman" w:hAnsi="Times New Roman" w:cs="Times New Roman"/>
        </w:rPr>
        <w:t xml:space="preserve"> </w:t>
      </w:r>
    </w:p>
    <w:p w14:paraId="20530231" w14:textId="77777777" w:rsidR="00B353BB" w:rsidRPr="00B3149A" w:rsidRDefault="00B353BB" w:rsidP="00B353BB">
      <w:pPr>
        <w:spacing w:line="276" w:lineRule="auto"/>
        <w:jc w:val="both"/>
        <w:rPr>
          <w:rFonts w:ascii="Arial" w:hAnsi="Arial" w:cs="Arial"/>
        </w:rPr>
      </w:pPr>
      <w:r w:rsidRPr="00B3149A">
        <w:rPr>
          <w:rFonts w:ascii="Arial" w:hAnsi="Arial" w:cs="Arial"/>
        </w:rPr>
        <w:t>Thermal Gravimetric Analysis (TGA)</w:t>
      </w:r>
      <w:r>
        <w:rPr>
          <w:rFonts w:ascii="Arial" w:hAnsi="Arial" w:cs="Arial"/>
        </w:rPr>
        <w:t xml:space="preserve"> and</w:t>
      </w:r>
      <w:r w:rsidRPr="00B3149A">
        <w:rPr>
          <w:rFonts w:ascii="Arial" w:hAnsi="Arial" w:cs="Arial"/>
        </w:rPr>
        <w:t xml:space="preserve"> Differential Scanning Calorimetry (DSC)</w:t>
      </w:r>
    </w:p>
    <w:p w14:paraId="2B87CECB" w14:textId="77777777" w:rsidR="00B353BB" w:rsidRDefault="00B353BB" w:rsidP="00B353BB">
      <w:pPr>
        <w:spacing w:line="276" w:lineRule="auto"/>
        <w:jc w:val="both"/>
        <w:rPr>
          <w:rFonts w:ascii="Times New Roman" w:hAnsi="Times New Roman" w:cs="Times New Roman"/>
        </w:rPr>
      </w:pPr>
      <w:r w:rsidRPr="002518D4">
        <w:rPr>
          <w:rFonts w:ascii="Times New Roman" w:hAnsi="Times New Roman" w:cs="Times New Roman"/>
        </w:rPr>
        <w:t>Thermogravimetric analysis (TGA) was carried out using a thermo-microbalance (</w:t>
      </w:r>
      <w:proofErr w:type="spellStart"/>
      <w:r w:rsidRPr="002518D4">
        <w:rPr>
          <w:rFonts w:ascii="Times New Roman" w:hAnsi="Times New Roman" w:cs="Times New Roman"/>
        </w:rPr>
        <w:t>Netzsch</w:t>
      </w:r>
      <w:proofErr w:type="spellEnd"/>
      <w:r w:rsidRPr="002518D4">
        <w:rPr>
          <w:rFonts w:ascii="Times New Roman" w:hAnsi="Times New Roman" w:cs="Times New Roman"/>
        </w:rPr>
        <w:t xml:space="preserve"> TG209) to evaluate the thermal stability of different electrolyte samples. The heating rate was set at 20 °C/min, increasing the temperature from room temperature (~26 °C) to ~900 °C under a nitrogen atmosphere. Differential scanning calorimetry (DSC) was performed using a Mettler Toledo DSC 1 to determine the degree of curing of the phenolic-based electrolytes. The samples were heated from 30 °C to 240 °C at a heating rate of 10 °C/min</w:t>
      </w:r>
      <w:r w:rsidRPr="00B3149A">
        <w:rPr>
          <w:rFonts w:ascii="Times New Roman" w:hAnsi="Times New Roman" w:cs="Times New Roman"/>
        </w:rPr>
        <w:t>.</w:t>
      </w:r>
    </w:p>
    <w:p w14:paraId="1415160B" w14:textId="77777777" w:rsidR="00B353BB" w:rsidRPr="00525C7C" w:rsidRDefault="00B353BB" w:rsidP="00B353BB">
      <w:pPr>
        <w:spacing w:line="276" w:lineRule="auto"/>
        <w:jc w:val="both"/>
        <w:rPr>
          <w:rFonts w:ascii="Arial" w:hAnsi="Arial" w:cs="Arial"/>
        </w:rPr>
      </w:pPr>
      <w:r w:rsidRPr="00525C7C">
        <w:rPr>
          <w:rFonts w:ascii="Arial" w:hAnsi="Arial" w:cs="Arial"/>
        </w:rPr>
        <w:t>Flame Retardancy Test</w:t>
      </w:r>
    </w:p>
    <w:p w14:paraId="07FB64BD" w14:textId="77777777" w:rsidR="00B353BB" w:rsidRDefault="00B353BB" w:rsidP="00B353BB">
      <w:pPr>
        <w:spacing w:line="276" w:lineRule="auto"/>
        <w:jc w:val="both"/>
        <w:rPr>
          <w:rFonts w:ascii="Times New Roman" w:hAnsi="Times New Roman" w:cs="Times New Roman"/>
        </w:rPr>
      </w:pPr>
      <w:r w:rsidRPr="002518D4">
        <w:rPr>
          <w:rFonts w:ascii="Times New Roman" w:hAnsi="Times New Roman" w:cs="Times New Roman"/>
        </w:rPr>
        <w:t>A standard UL94 vertical burn test was performed using the GTT0082 UL94 apparatus (Fire Testing Technology) to evaluate the flame retardancy of the epoxy-based solid electrolyte and the phenolic-based solid electrolyte developed in this study. The sample dimensions were 125 mm × 13 mm × 2 mm, in accordance with the test standard</w:t>
      </w:r>
      <w:r>
        <w:rPr>
          <w:rFonts w:ascii="Times New Roman" w:hAnsi="Times New Roman" w:cs="Times New Roman"/>
        </w:rPr>
        <w:t>.</w:t>
      </w:r>
    </w:p>
    <w:p w14:paraId="525457BD" w14:textId="77777777" w:rsidR="00B353BB" w:rsidRPr="00636FFA" w:rsidRDefault="00B353BB" w:rsidP="00B353BB">
      <w:pPr>
        <w:spacing w:line="276" w:lineRule="auto"/>
        <w:jc w:val="both"/>
        <w:rPr>
          <w:rFonts w:ascii="Arial" w:hAnsi="Arial" w:cs="Arial"/>
        </w:rPr>
      </w:pPr>
      <w:r w:rsidRPr="00636FFA">
        <w:rPr>
          <w:rFonts w:ascii="Arial" w:hAnsi="Arial" w:cs="Arial"/>
        </w:rPr>
        <w:t>Electron Microscopy and Spectroscopic Characterizations</w:t>
      </w:r>
    </w:p>
    <w:p w14:paraId="08B6C687" w14:textId="77777777" w:rsidR="00B353BB" w:rsidRPr="002518D4" w:rsidRDefault="00B353BB" w:rsidP="00B353BB">
      <w:pPr>
        <w:spacing w:line="276" w:lineRule="auto"/>
        <w:jc w:val="both"/>
        <w:rPr>
          <w:rFonts w:ascii="Times New Roman" w:hAnsi="Times New Roman" w:cs="Times New Roman"/>
        </w:rPr>
      </w:pPr>
      <w:r w:rsidRPr="002518D4">
        <w:rPr>
          <w:rFonts w:ascii="Times New Roman" w:hAnsi="Times New Roman" w:cs="Times New Roman"/>
        </w:rPr>
        <w:t>The micro</w:t>
      </w:r>
      <w:r>
        <w:rPr>
          <w:rFonts w:ascii="Times New Roman" w:hAnsi="Times New Roman" w:cs="Times New Roman"/>
        </w:rPr>
        <w:t xml:space="preserve"> </w:t>
      </w:r>
      <w:r w:rsidRPr="002518D4">
        <w:rPr>
          <w:rFonts w:ascii="Times New Roman" w:hAnsi="Times New Roman" w:cs="Times New Roman"/>
        </w:rPr>
        <w:t xml:space="preserve">morphologies of the phenolic resin-based solid electrolytes were characterized using a scanning electron microscope (FEI Nova </w:t>
      </w:r>
      <w:proofErr w:type="spellStart"/>
      <w:r w:rsidRPr="002518D4">
        <w:rPr>
          <w:rFonts w:ascii="Times New Roman" w:hAnsi="Times New Roman" w:cs="Times New Roman"/>
        </w:rPr>
        <w:t>NanoSEM</w:t>
      </w:r>
      <w:proofErr w:type="spellEnd"/>
      <w:r w:rsidRPr="002518D4">
        <w:rPr>
          <w:rFonts w:ascii="Times New Roman" w:hAnsi="Times New Roman" w:cs="Times New Roman"/>
        </w:rPr>
        <w:t xml:space="preserve"> 450). Energy-dispersive X-ray spectroscopy (EDS) was conducted on as-prepared and washed electrolytes to identify changes in elemental composition.</w:t>
      </w:r>
    </w:p>
    <w:p w14:paraId="66EAECDA" w14:textId="77777777" w:rsidR="00B353BB" w:rsidRPr="002518D4" w:rsidRDefault="00B353BB" w:rsidP="00B353BB">
      <w:pPr>
        <w:spacing w:line="276" w:lineRule="auto"/>
        <w:jc w:val="both"/>
        <w:rPr>
          <w:rFonts w:ascii="Times New Roman" w:hAnsi="Times New Roman" w:cs="Times New Roman"/>
        </w:rPr>
      </w:pPr>
      <w:r w:rsidRPr="002518D4">
        <w:rPr>
          <w:rFonts w:ascii="Times New Roman" w:hAnsi="Times New Roman" w:cs="Times New Roman"/>
        </w:rPr>
        <w:t>Solid-state carbon-13 (</w:t>
      </w:r>
      <w:r w:rsidRPr="002518D4">
        <w:rPr>
          <w:rFonts w:ascii="Times New Roman" w:hAnsi="Times New Roman" w:cs="Times New Roman"/>
          <w:vertAlign w:val="superscript"/>
        </w:rPr>
        <w:t>13</w:t>
      </w:r>
      <w:r w:rsidRPr="002518D4">
        <w:rPr>
          <w:rFonts w:ascii="Times New Roman" w:hAnsi="Times New Roman" w:cs="Times New Roman"/>
        </w:rPr>
        <w:t xml:space="preserve">C) nuclear magnetic resonance (NMR) spectroscopy was performed using a Bruker Avance III 300 MHz solid-state NMR spectrometer to investigate the interaction mechanisms among phenolic resin, IL, and </w:t>
      </w:r>
      <w:proofErr w:type="spellStart"/>
      <w:r w:rsidRPr="002518D4">
        <w:rPr>
          <w:rFonts w:ascii="Times New Roman" w:hAnsi="Times New Roman" w:cs="Times New Roman"/>
        </w:rPr>
        <w:t>LiTFSI</w:t>
      </w:r>
      <w:proofErr w:type="spellEnd"/>
      <w:r w:rsidRPr="002518D4">
        <w:rPr>
          <w:rFonts w:ascii="Times New Roman" w:hAnsi="Times New Roman" w:cs="Times New Roman"/>
        </w:rPr>
        <w:t>. Solid electrolyte samples, including pure phenolic resin polymer, were ground to a fine powder before measurement.</w:t>
      </w:r>
    </w:p>
    <w:p w14:paraId="5D8D4FCB" w14:textId="77777777" w:rsidR="00B353BB" w:rsidRDefault="00B353BB" w:rsidP="00B353BB">
      <w:pPr>
        <w:spacing w:line="276" w:lineRule="auto"/>
        <w:jc w:val="both"/>
        <w:rPr>
          <w:rFonts w:ascii="Times New Roman" w:hAnsi="Times New Roman" w:cs="Times New Roman"/>
        </w:rPr>
      </w:pPr>
      <w:r w:rsidRPr="002518D4">
        <w:rPr>
          <w:rFonts w:ascii="Times New Roman" w:hAnsi="Times New Roman" w:cs="Times New Roman"/>
        </w:rPr>
        <w:lastRenderedPageBreak/>
        <w:t>Fourier-transform infrared spectroscopy (FTIR) was conducted using a Shimadzu IRTracer-100 instrument in attenuated total reflection (ATR) mode over the wavenumber range of 500–4000 cm</w:t>
      </w:r>
      <w:r w:rsidRPr="002518D4">
        <w:rPr>
          <w:rFonts w:ascii="Times New Roman" w:hAnsi="Times New Roman" w:cs="Times New Roman"/>
          <w:vertAlign w:val="superscript"/>
        </w:rPr>
        <w:t>-1</w:t>
      </w:r>
      <w:r>
        <w:rPr>
          <w:rFonts w:ascii="Times New Roman" w:hAnsi="Times New Roman" w:cs="Times New Roman"/>
        </w:rPr>
        <w:t>.</w:t>
      </w:r>
    </w:p>
    <w:p w14:paraId="734E910C" w14:textId="3929FC8D" w:rsidR="00B353BB" w:rsidRPr="00B353BB" w:rsidRDefault="00B353BB" w:rsidP="00B353BB">
      <w:pPr>
        <w:rPr>
          <w:rFonts w:ascii="Times New Roman" w:hAnsi="Times New Roman" w:cs="Times New Roman"/>
          <w:b/>
          <w:bCs/>
        </w:rPr>
      </w:pPr>
      <w:r w:rsidRPr="00D249C4">
        <w:rPr>
          <w:rFonts w:ascii="Times New Roman" w:hAnsi="Times New Roman" w:cs="Times New Roman"/>
          <w:b/>
          <w:bCs/>
        </w:rPr>
        <w:t>Reference</w:t>
      </w:r>
      <w:r>
        <w:rPr>
          <w:rFonts w:ascii="Times New Roman" w:hAnsi="Times New Roman" w:cs="Times New Roman"/>
          <w:b/>
          <w:bCs/>
        </w:rPr>
        <w:t>s</w:t>
      </w:r>
    </w:p>
    <w:sdt>
      <w:sdtPr>
        <w:rPr>
          <w:rFonts w:ascii="Times New Roman" w:hAnsi="Times New Roman" w:cs="Times New Roman"/>
          <w:color w:val="000000"/>
        </w:rPr>
        <w:tag w:val="MENDELEY_BIBLIOGRAPHY"/>
        <w:id w:val="-1777557520"/>
        <w:placeholder>
          <w:docPart w:val="DefaultPlaceholder_-1854013440"/>
        </w:placeholder>
      </w:sdtPr>
      <w:sdtContent>
        <w:p w14:paraId="2AC976ED" w14:textId="77777777" w:rsidR="00B353BB" w:rsidRDefault="00B353BB" w:rsidP="00B353BB">
          <w:pPr>
            <w:autoSpaceDE w:val="0"/>
            <w:autoSpaceDN w:val="0"/>
            <w:ind w:hanging="640"/>
            <w:jc w:val="both"/>
            <w:divId w:val="487137165"/>
            <w:rPr>
              <w:rFonts w:eastAsia="Times New Roman"/>
              <w:kern w:val="0"/>
              <w14:ligatures w14:val="none"/>
            </w:rPr>
          </w:pPr>
          <w:r>
            <w:rPr>
              <w:rFonts w:eastAsia="Times New Roman"/>
            </w:rPr>
            <w:t>1.</w:t>
          </w:r>
          <w:r w:rsidRPr="00B353BB">
            <w:rPr>
              <w:rFonts w:ascii="Times New Roman" w:eastAsia="Times New Roman" w:hAnsi="Times New Roman" w:cs="Times New Roman"/>
            </w:rPr>
            <w:tab/>
            <w:t xml:space="preserve">Grewal, M. S., Kisu, K., </w:t>
          </w:r>
          <w:proofErr w:type="spellStart"/>
          <w:r w:rsidRPr="00B353BB">
            <w:rPr>
              <w:rFonts w:ascii="Times New Roman" w:eastAsia="Times New Roman" w:hAnsi="Times New Roman" w:cs="Times New Roman"/>
            </w:rPr>
            <w:t>Orimo</w:t>
          </w:r>
          <w:proofErr w:type="spellEnd"/>
          <w:r w:rsidRPr="00B353BB">
            <w:rPr>
              <w:rFonts w:ascii="Times New Roman" w:eastAsia="Times New Roman" w:hAnsi="Times New Roman" w:cs="Times New Roman"/>
            </w:rPr>
            <w:t xml:space="preserve">, S. &amp; Yabu, H. Increasing the ionic conductivity and lithium-ion transport of photo-cross-linked polymer with hexagonal arranged porous film hybrids. </w:t>
          </w:r>
          <w:proofErr w:type="spellStart"/>
          <w:r w:rsidRPr="00B353BB">
            <w:rPr>
              <w:rFonts w:ascii="Times New Roman" w:eastAsia="Times New Roman" w:hAnsi="Times New Roman" w:cs="Times New Roman"/>
              <w:i/>
              <w:iCs/>
            </w:rPr>
            <w:t>iScience</w:t>
          </w:r>
          <w:proofErr w:type="spellEnd"/>
          <w:r w:rsidRPr="00B353BB">
            <w:rPr>
              <w:rFonts w:ascii="Times New Roman" w:eastAsia="Times New Roman" w:hAnsi="Times New Roman" w:cs="Times New Roman"/>
            </w:rPr>
            <w:t xml:space="preserve"> </w:t>
          </w:r>
          <w:r w:rsidRPr="00B353BB">
            <w:rPr>
              <w:rFonts w:ascii="Times New Roman" w:eastAsia="Times New Roman" w:hAnsi="Times New Roman" w:cs="Times New Roman"/>
              <w:b/>
              <w:bCs/>
            </w:rPr>
            <w:t>25</w:t>
          </w:r>
          <w:r w:rsidRPr="00B353BB">
            <w:rPr>
              <w:rFonts w:ascii="Times New Roman" w:eastAsia="Times New Roman" w:hAnsi="Times New Roman" w:cs="Times New Roman"/>
            </w:rPr>
            <w:t>, 104910 (2022).</w:t>
          </w:r>
        </w:p>
        <w:p w14:paraId="0243643F" w14:textId="0DE425E9" w:rsidR="00B353BB" w:rsidRDefault="00B353BB" w:rsidP="00B353BB">
          <w:pPr>
            <w:spacing w:line="276" w:lineRule="auto"/>
            <w:jc w:val="both"/>
            <w:rPr>
              <w:rFonts w:ascii="Times New Roman" w:hAnsi="Times New Roman" w:cs="Times New Roman"/>
            </w:rPr>
          </w:pPr>
          <w:r>
            <w:rPr>
              <w:rFonts w:eastAsia="Times New Roman"/>
            </w:rPr>
            <w:t> </w:t>
          </w:r>
        </w:p>
      </w:sdtContent>
    </w:sdt>
    <w:p w14:paraId="5DABCB6F" w14:textId="77777777" w:rsidR="00B353BB" w:rsidRDefault="00B353BB" w:rsidP="00B353BB">
      <w:pPr>
        <w:spacing w:line="276" w:lineRule="auto"/>
        <w:jc w:val="both"/>
        <w:rPr>
          <w:rFonts w:ascii="Times New Roman" w:hAnsi="Times New Roman" w:cs="Times New Roman"/>
        </w:rPr>
      </w:pPr>
    </w:p>
    <w:p w14:paraId="7DC18966" w14:textId="77777777" w:rsidR="00B353BB" w:rsidRPr="00B353BB" w:rsidRDefault="00B353BB" w:rsidP="00B353BB">
      <w:pPr>
        <w:jc w:val="center"/>
      </w:pPr>
    </w:p>
    <w:sectPr w:rsidR="00B353BB" w:rsidRPr="00B353BB" w:rsidSect="00B353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03"/>
    <w:rsid w:val="000A52B8"/>
    <w:rsid w:val="00591C74"/>
    <w:rsid w:val="0074449A"/>
    <w:rsid w:val="008A3C62"/>
    <w:rsid w:val="009931C9"/>
    <w:rsid w:val="00B353BB"/>
    <w:rsid w:val="00C33C03"/>
    <w:rsid w:val="00EA3CA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4AFC"/>
  <w15:chartTrackingRefBased/>
  <w15:docId w15:val="{05595046-0BB1-4456-80D6-A7437B15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C03"/>
    <w:rPr>
      <w:rFonts w:eastAsiaTheme="majorEastAsia" w:cstheme="majorBidi"/>
      <w:color w:val="272727" w:themeColor="text1" w:themeTint="D8"/>
    </w:rPr>
  </w:style>
  <w:style w:type="paragraph" w:styleId="Title">
    <w:name w:val="Title"/>
    <w:basedOn w:val="Normal"/>
    <w:next w:val="Normal"/>
    <w:link w:val="TitleChar"/>
    <w:uiPriority w:val="10"/>
    <w:qFormat/>
    <w:rsid w:val="00C3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C03"/>
    <w:pPr>
      <w:spacing w:before="160"/>
      <w:jc w:val="center"/>
    </w:pPr>
    <w:rPr>
      <w:i/>
      <w:iCs/>
      <w:color w:val="404040" w:themeColor="text1" w:themeTint="BF"/>
    </w:rPr>
  </w:style>
  <w:style w:type="character" w:customStyle="1" w:styleId="QuoteChar">
    <w:name w:val="Quote Char"/>
    <w:basedOn w:val="DefaultParagraphFont"/>
    <w:link w:val="Quote"/>
    <w:uiPriority w:val="29"/>
    <w:rsid w:val="00C33C03"/>
    <w:rPr>
      <w:i/>
      <w:iCs/>
      <w:color w:val="404040" w:themeColor="text1" w:themeTint="BF"/>
    </w:rPr>
  </w:style>
  <w:style w:type="paragraph" w:styleId="ListParagraph">
    <w:name w:val="List Paragraph"/>
    <w:basedOn w:val="Normal"/>
    <w:uiPriority w:val="34"/>
    <w:qFormat/>
    <w:rsid w:val="00C33C03"/>
    <w:pPr>
      <w:ind w:left="720"/>
      <w:contextualSpacing/>
    </w:pPr>
  </w:style>
  <w:style w:type="character" w:styleId="IntenseEmphasis">
    <w:name w:val="Intense Emphasis"/>
    <w:basedOn w:val="DefaultParagraphFont"/>
    <w:uiPriority w:val="21"/>
    <w:qFormat/>
    <w:rsid w:val="00C33C03"/>
    <w:rPr>
      <w:i/>
      <w:iCs/>
      <w:color w:val="0F4761" w:themeColor="accent1" w:themeShade="BF"/>
    </w:rPr>
  </w:style>
  <w:style w:type="paragraph" w:styleId="IntenseQuote">
    <w:name w:val="Intense Quote"/>
    <w:basedOn w:val="Normal"/>
    <w:next w:val="Normal"/>
    <w:link w:val="IntenseQuoteChar"/>
    <w:uiPriority w:val="30"/>
    <w:qFormat/>
    <w:rsid w:val="00C3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C03"/>
    <w:rPr>
      <w:i/>
      <w:iCs/>
      <w:color w:val="0F4761" w:themeColor="accent1" w:themeShade="BF"/>
    </w:rPr>
  </w:style>
  <w:style w:type="character" w:styleId="IntenseReference">
    <w:name w:val="Intense Reference"/>
    <w:basedOn w:val="DefaultParagraphFont"/>
    <w:uiPriority w:val="32"/>
    <w:qFormat/>
    <w:rsid w:val="00C33C03"/>
    <w:rPr>
      <w:b/>
      <w:bCs/>
      <w:smallCaps/>
      <w:color w:val="0F4761" w:themeColor="accent1" w:themeShade="BF"/>
      <w:spacing w:val="5"/>
    </w:rPr>
  </w:style>
  <w:style w:type="character" w:styleId="PlaceholderText">
    <w:name w:val="Placeholder Text"/>
    <w:basedOn w:val="DefaultParagraphFont"/>
    <w:uiPriority w:val="99"/>
    <w:semiHidden/>
    <w:rsid w:val="00B353B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91932">
      <w:bodyDiv w:val="1"/>
      <w:marLeft w:val="0"/>
      <w:marRight w:val="0"/>
      <w:marTop w:val="0"/>
      <w:marBottom w:val="0"/>
      <w:divBdr>
        <w:top w:val="none" w:sz="0" w:space="0" w:color="auto"/>
        <w:left w:val="none" w:sz="0" w:space="0" w:color="auto"/>
        <w:bottom w:val="none" w:sz="0" w:space="0" w:color="auto"/>
        <w:right w:val="none" w:sz="0" w:space="0" w:color="auto"/>
      </w:divBdr>
      <w:divsChild>
        <w:div w:id="487137165">
          <w:marLeft w:val="640"/>
          <w:marRight w:val="0"/>
          <w:marTop w:val="0"/>
          <w:marBottom w:val="0"/>
          <w:divBdr>
            <w:top w:val="none" w:sz="0" w:space="0" w:color="auto"/>
            <w:left w:val="none" w:sz="0" w:space="0" w:color="auto"/>
            <w:bottom w:val="none" w:sz="0" w:space="0" w:color="auto"/>
            <w:right w:val="none" w:sz="0" w:space="0" w:color="auto"/>
          </w:divBdr>
        </w:div>
      </w:divsChild>
    </w:div>
    <w:div w:id="807477619">
      <w:bodyDiv w:val="1"/>
      <w:marLeft w:val="0"/>
      <w:marRight w:val="0"/>
      <w:marTop w:val="0"/>
      <w:marBottom w:val="0"/>
      <w:divBdr>
        <w:top w:val="none" w:sz="0" w:space="0" w:color="auto"/>
        <w:left w:val="none" w:sz="0" w:space="0" w:color="auto"/>
        <w:bottom w:val="none" w:sz="0" w:space="0" w:color="auto"/>
        <w:right w:val="none" w:sz="0" w:space="0" w:color="auto"/>
      </w:divBdr>
      <w:divsChild>
        <w:div w:id="49935127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337441D1B94D13903708CE56564766"/>
        <w:category>
          <w:name w:val="General"/>
          <w:gallery w:val="placeholder"/>
        </w:category>
        <w:types>
          <w:type w:val="bbPlcHdr"/>
        </w:types>
        <w:behaviors>
          <w:behavior w:val="content"/>
        </w:behaviors>
        <w:guid w:val="{A1D4DCAC-14AD-4D22-8F3E-E84381E465A7}"/>
      </w:docPartPr>
      <w:docPartBody>
        <w:p w:rsidR="00C30F23" w:rsidRDefault="00A36947" w:rsidP="00A36947">
          <w:pPr>
            <w:pStyle w:val="9B337441D1B94D13903708CE56564766"/>
          </w:pPr>
          <w:r w:rsidRPr="0091080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976D038-8733-4246-883E-EE3F29942857}"/>
      </w:docPartPr>
      <w:docPartBody>
        <w:p w:rsidR="00C30F23" w:rsidRDefault="00A36947">
          <w:r w:rsidRPr="008F1D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47"/>
    <w:rsid w:val="0074449A"/>
    <w:rsid w:val="00A36947"/>
    <w:rsid w:val="00C30F23"/>
    <w:rsid w:val="00D657A0"/>
    <w:rsid w:val="00EA3CAA"/>
    <w:rsid w:val="00FC1D7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6947"/>
    <w:rPr>
      <w:color w:val="666666"/>
    </w:rPr>
  </w:style>
  <w:style w:type="paragraph" w:customStyle="1" w:styleId="9B337441D1B94D13903708CE56564766">
    <w:name w:val="9B337441D1B94D13903708CE56564766"/>
    <w:rsid w:val="00A36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072A3D-D74A-462D-A27A-03AED28C159D}">
  <we:reference id="f78a3046-9e99-4300-aa2b-5814002b01a2" version="1.55.1.0" store="EXCatalog" storeType="EXCatalog"/>
  <we:alternateReferences>
    <we:reference id="WA104382081" version="1.55.1.0" store="en-AU" storeType="OMEX"/>
  </we:alternateReferences>
  <we:properties>
    <we:property name="MENDELEY_CITATIONS" value="[{&quot;citationID&quot;:&quot;MENDELEY_CITATION_c1d7cb21-61d6-4a75-90a7-e048c671d2d5&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&quot;,&quot;citationItems&quot;:[{&quot;id&quot;:&quot;b4b35e57-d697-56b6-a764-6fab31c11470&quot;,&quot;itemData&quot;:{&quot;DOI&quot;:&quot;https://doi.org/10.1016/j.isci.2022.104910&quot;,&quot;ISSN&quot;:&quot;2589-0042&quot;,&quot;abstract&quot;:&quot;Summary\nHigh ionic conductivity, suitable mechanical strength, and electrochemical stability are the main requirements for high-performance poly(ethylene oxide)-based electrolytes. However, the low ionic conductivity owing to the crystallinity of the ethylene oxide chain that limits the discharge rate and low-temperature performance has restricted the development and commercialization of these electrolytes. Lithium electrolytes that combine high ionic conductivity with a high lithium transference number are rare and are essential for high-power batteries. Here, we report hexagonal arranged porous scaffolds for holding prototype polyethylene glycol-based composite electrolytes containing solvate ionic liquid. The appealing electrochemical and thermal properties indicate their potential as electrolytes for safer rechargeable lithium-ion batteries. The porous scaffolds in the composite electrolytes ensure better electrochemical performance towing to their shortened pores (sizes of 3-14 μm), interconnected pathways, and improved lithium mobility. We demonstrate that both molecular design and porous microstructures are essential for improving performance in polymer electrolytes.&quot;,&quot;author&quot;:[{&quot;dropping-particle&quot;:&quot;&quot;,&quot;family&quot;:&quot;Grewal&quot;,&quot;given&quot;:&quot;Manjit Singh&quot;,&quot;non-dropping-particle&quot;:&quot;&quot;,&quot;parse-names&quot;:false,&quot;suffix&quot;:&quot;&quot;},{&quot;dropping-particle&quot;:&quot;&quot;,&quot;family&quot;:&quot;Kisu&quot;,&quot;given&quot;:&quot;Kazuaki&quot;,&quot;non-dropping-particle&quot;:&quot;&quot;,&quot;parse-names&quot;:false,&quot;suffix&quot;:&quot;&quot;},{&quot;dropping-particle&quot;:&quot;&quot;,&quot;family&quot;:&quot;Orimo&quot;,&quot;given&quot;:&quot;Shin-ichi&quot;,&quot;non-dropping-particle&quot;:&quot;&quot;,&quot;parse-names&quot;:false,&quot;suffix&quot;:&quot;&quot;},{&quot;dropping-particle&quot;:&quot;&quot;,&quot;family&quot;:&quot;Yabu&quot;,&quot;given&quot;:&quot;Hiroshi&quot;,&quot;non-dropping-particle&quot;:&quot;&quot;,&quot;parse-names&quot;:false,&quot;suffix&quot;:&quot;&quot;}],&quot;container-title&quot;:&quot;iScience&quot;,&quot;id&quot;:&quot;b4b35e57-d697-56b6-a764-6fab31c11470&quot;,&quot;issue&quot;:&quot;9&quot;,&quot;issued&quot;:{&quot;date-parts&quot;:[[&quot;2022&quot;]]},&quot;page&quot;:&quot;104910&quot;,&quot;title&quot;:&quot;Increasing the ionic conductivity and lithium-ion transport of photo-cross-linked polymer with hexagonal arranged porous film hybrids&quot;,&quot;type&quot;:&quot;article-journal&quot;,&quot;volume&quot;:&quot;25&quot;,&quot;container-title-short&quot;:&quot;iScience&quot;},&quot;uris&quot;:[&quot;http://www.mendeley.com/documents/?uuid=ac936c51-4c50-41b4-9ceb-914fd03b4e62&quot;],&quot;isTemporary&quot;:false,&quot;legacyDesktopId&quot;:&quot;ac936c51-4c50-41b4-9ceb-914fd03b4e62&quot;}]}]"/>
    <we:property name="MENDELEY_CITATIONS_LOCALE_CODE" value="&quot;en-GB&quot;"/>
    <we:property name="MENDELEY_CITATIONS_STYLE" value="{&quot;id&quot;:&quot;https://www.zotero.org/styles/nature-communications&quot;,&quot;title&quot;:&quot;Nature Communications&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63D32-6A79-4C24-BBC9-9C9CF1C7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1112</Words>
  <Characters>6341</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Sha</dc:creator>
  <cp:keywords/>
  <dc:description/>
  <cp:lastModifiedBy>Zhao Sha</cp:lastModifiedBy>
  <cp:revision>3</cp:revision>
  <dcterms:created xsi:type="dcterms:W3CDTF">2025-02-13T23:02:00Z</dcterms:created>
  <dcterms:modified xsi:type="dcterms:W3CDTF">2025-02-14T02:08:00Z</dcterms:modified>
</cp:coreProperties>
</file>