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9FCA" w14:textId="77777777" w:rsidR="00A45E6F" w:rsidRPr="00A45E6F" w:rsidRDefault="00A45E6F" w:rsidP="00A45E6F">
      <w:pPr>
        <w:widowControl/>
        <w:jc w:val="left"/>
        <w:rPr>
          <w:rFonts w:ascii="Times New Roman" w:eastAsia="宋体" w:hAnsi="Times New Roman" w:cs="Times New Roman"/>
          <w:b/>
          <w:bCs/>
          <w:spacing w:val="15"/>
          <w:kern w:val="0"/>
          <w:sz w:val="28"/>
          <w:szCs w:val="28"/>
          <w:shd w:val="clear" w:color="auto" w:fill="FFFFFF"/>
        </w:rPr>
      </w:pPr>
      <w:r w:rsidRPr="00A45E6F">
        <w:rPr>
          <w:rFonts w:ascii="Times New Roman" w:eastAsia="宋体" w:hAnsi="Times New Roman" w:cs="Times New Roman"/>
          <w:b/>
          <w:bCs/>
          <w:spacing w:val="15"/>
          <w:kern w:val="0"/>
          <w:sz w:val="28"/>
          <w:szCs w:val="28"/>
          <w:shd w:val="clear" w:color="auto" w:fill="FFFFFF"/>
        </w:rPr>
        <w:t>SNP‒SNP interactions with acute coronary arteries</w:t>
      </w:r>
    </w:p>
    <w:p w14:paraId="31F1DA35" w14:textId="6318B5F5" w:rsidR="00A45E6F" w:rsidRPr="00A45E6F" w:rsidRDefault="00A45E6F" w:rsidP="00A45E6F">
      <w:pPr>
        <w:widowControl/>
        <w:ind w:firstLineChars="200" w:firstLine="620"/>
        <w:jc w:val="left"/>
        <w:rPr>
          <w:rFonts w:ascii="Times New Roman" w:eastAsia="宋体" w:hAnsi="Times New Roman" w:cs="Times New Roman"/>
          <w:spacing w:val="15"/>
          <w:kern w:val="0"/>
          <w:sz w:val="28"/>
          <w:szCs w:val="28"/>
          <w:shd w:val="clear" w:color="auto" w:fill="FFFFFF"/>
        </w:rPr>
      </w:pPr>
      <w:r w:rsidRPr="00A45E6F">
        <w:rPr>
          <w:rFonts w:ascii="Times New Roman" w:eastAsia="宋体" w:hAnsi="Times New Roman" w:cs="Times New Roman"/>
          <w:spacing w:val="15"/>
          <w:kern w:val="0"/>
          <w:sz w:val="28"/>
          <w:szCs w:val="28"/>
          <w:shd w:val="clear" w:color="auto" w:fill="FFFFFF"/>
        </w:rPr>
        <w:t>Impact of SNP‒SNP interactions on acute coronary risk analyzed via MDR establishment. The best model was identified as the rs1799983(TTvsGG+TG), rs1799983(TGvsTT+GG), and rs1800780(GGvsAG+AA) combination model, with balanced training accuracy (Bal.Acc. CV training) CV = 0.5313, test parallel accuracy (Bal.Acc. CV Testing) CV = 0.5262, and cross-validation consistency (CV Consistency) CV = 9/10 (</w:t>
      </w:r>
      <w:r w:rsidR="00317040" w:rsidRPr="00317040">
        <w:rPr>
          <w:rFonts w:ascii="Times New Roman" w:eastAsia="宋体" w:hAnsi="Times New Roman" w:cs="Times New Roman" w:hint="eastAsia"/>
          <w:spacing w:val="15"/>
          <w:kern w:val="0"/>
          <w:sz w:val="28"/>
          <w:szCs w:val="28"/>
          <w:shd w:val="clear" w:color="auto" w:fill="FFFFFF"/>
        </w:rPr>
        <w:t>Supplementary</w:t>
      </w:r>
      <w:r w:rsidR="00317040" w:rsidRPr="00317040">
        <w:rPr>
          <w:rFonts w:ascii="Times New Roman" w:eastAsia="宋体" w:hAnsi="Times New Roman" w:cs="Times New Roman"/>
          <w:spacing w:val="15"/>
          <w:kern w:val="0"/>
          <w:sz w:val="28"/>
          <w:szCs w:val="28"/>
          <w:shd w:val="clear" w:color="auto" w:fill="FFFFFF"/>
        </w:rPr>
        <w:t xml:space="preserve"> </w:t>
      </w:r>
      <w:r w:rsidRPr="00A45E6F">
        <w:rPr>
          <w:rFonts w:ascii="Times New Roman" w:eastAsia="宋体" w:hAnsi="Times New Roman" w:cs="Times New Roman"/>
          <w:spacing w:val="15"/>
          <w:kern w:val="0"/>
          <w:sz w:val="28"/>
          <w:szCs w:val="28"/>
          <w:shd w:val="clear" w:color="auto" w:fill="FFFFFF"/>
        </w:rPr>
        <w:t xml:space="preserve">Table </w:t>
      </w:r>
      <w:r w:rsidR="00317040">
        <w:rPr>
          <w:rFonts w:ascii="Times New Roman" w:eastAsia="宋体" w:hAnsi="Times New Roman" w:cs="Times New Roman" w:hint="eastAsia"/>
          <w:spacing w:val="15"/>
          <w:kern w:val="0"/>
          <w:sz w:val="28"/>
          <w:szCs w:val="28"/>
          <w:shd w:val="clear" w:color="auto" w:fill="FFFFFF"/>
        </w:rPr>
        <w:t>1</w:t>
      </w:r>
      <w:r w:rsidRPr="00A45E6F">
        <w:rPr>
          <w:rFonts w:ascii="Times New Roman" w:eastAsia="宋体" w:hAnsi="Times New Roman" w:cs="Times New Roman"/>
          <w:spacing w:val="15"/>
          <w:kern w:val="0"/>
          <w:sz w:val="28"/>
          <w:szCs w:val="28"/>
          <w:shd w:val="clear" w:color="auto" w:fill="FFFFFF"/>
        </w:rPr>
        <w:t>). rs1799983 TTvsGG+TG and rs1800780 GGvsAG+AA had similar effects on ACS, both affecting the same branch (</w:t>
      </w:r>
      <w:bookmarkStart w:id="0" w:name="_Hlk194095135"/>
      <w:r w:rsidR="00317040" w:rsidRPr="00317040">
        <w:rPr>
          <w:rFonts w:ascii="Times New Roman" w:eastAsia="宋体" w:hAnsi="Times New Roman" w:cs="Times New Roman" w:hint="eastAsia"/>
          <w:spacing w:val="15"/>
          <w:kern w:val="0"/>
          <w:sz w:val="28"/>
          <w:szCs w:val="28"/>
          <w:shd w:val="clear" w:color="auto" w:fill="FFFFFF"/>
        </w:rPr>
        <w:t>Supplementary</w:t>
      </w:r>
      <w:bookmarkEnd w:id="0"/>
      <w:r w:rsidR="00317040" w:rsidRPr="00317040">
        <w:rPr>
          <w:rFonts w:ascii="Times New Roman" w:eastAsia="宋体" w:hAnsi="Times New Roman" w:cs="Times New Roman"/>
          <w:spacing w:val="15"/>
          <w:kern w:val="0"/>
          <w:sz w:val="28"/>
          <w:szCs w:val="28"/>
          <w:shd w:val="clear" w:color="auto" w:fill="FFFFFF"/>
        </w:rPr>
        <w:t xml:space="preserve"> </w:t>
      </w:r>
      <w:r w:rsidRPr="00A45E6F">
        <w:rPr>
          <w:rFonts w:ascii="Times New Roman" w:eastAsia="宋体" w:hAnsi="Times New Roman" w:cs="Times New Roman"/>
          <w:spacing w:val="15"/>
          <w:kern w:val="0"/>
          <w:sz w:val="28"/>
          <w:szCs w:val="28"/>
          <w:shd w:val="clear" w:color="auto" w:fill="FFFFFF"/>
        </w:rPr>
        <w:t>Figure 1). The main effects of each attribute were rs1799983 TTvsGG+TG (0.19%), rs1800780 GGvsAG+AA (0.07%), rs1800780 AGvsAA+GG (0.05%), rs1799983 GGvsTT+TG (0.03%), rs1799983 TGvsTT+GG (0.02%), and rs1800780 AAvsGG+AG (0.00%) (</w:t>
      </w:r>
      <w:r w:rsidR="00317040" w:rsidRPr="00317040">
        <w:rPr>
          <w:rFonts w:ascii="Times New Roman" w:eastAsia="宋体" w:hAnsi="Times New Roman" w:cs="Times New Roman" w:hint="eastAsia"/>
          <w:spacing w:val="15"/>
          <w:kern w:val="0"/>
          <w:sz w:val="28"/>
          <w:szCs w:val="28"/>
          <w:shd w:val="clear" w:color="auto" w:fill="FFFFFF"/>
        </w:rPr>
        <w:t>Supplementary</w:t>
      </w:r>
      <w:r w:rsidR="00317040" w:rsidRPr="00A45E6F">
        <w:rPr>
          <w:rFonts w:ascii="Times New Roman" w:eastAsia="宋体" w:hAnsi="Times New Roman" w:cs="Times New Roman"/>
          <w:spacing w:val="15"/>
          <w:kern w:val="0"/>
          <w:sz w:val="28"/>
          <w:szCs w:val="28"/>
          <w:shd w:val="clear" w:color="auto" w:fill="FFFFFF"/>
        </w:rPr>
        <w:t xml:space="preserve"> </w:t>
      </w:r>
      <w:r w:rsidRPr="00A45E6F">
        <w:rPr>
          <w:rFonts w:ascii="Times New Roman" w:eastAsia="宋体" w:hAnsi="Times New Roman" w:cs="Times New Roman"/>
          <w:spacing w:val="15"/>
          <w:kern w:val="0"/>
          <w:sz w:val="28"/>
          <w:szCs w:val="28"/>
          <w:shd w:val="clear" w:color="auto" w:fill="FFFFFF"/>
        </w:rPr>
        <w:t>Figure 2).</w:t>
      </w:r>
    </w:p>
    <w:p w14:paraId="264CE438" w14:textId="1ED8A728" w:rsidR="00A45E6F" w:rsidRPr="00A45E6F" w:rsidRDefault="00317040" w:rsidP="00A45E6F">
      <w:pPr>
        <w:widowControl/>
        <w:ind w:firstLineChars="200" w:firstLine="540"/>
        <w:jc w:val="left"/>
        <w:rPr>
          <w:rFonts w:ascii="Times New Roman" w:eastAsia="宋体" w:hAnsi="Times New Roman" w:cs="Times New Roman"/>
          <w:spacing w:val="15"/>
          <w:kern w:val="0"/>
          <w:sz w:val="24"/>
          <w:szCs w:val="24"/>
          <w:shd w:val="clear" w:color="auto" w:fill="FFFFFF"/>
        </w:rPr>
      </w:pPr>
      <w:bookmarkStart w:id="1" w:name="_Hlk187266336"/>
      <w:bookmarkStart w:id="2" w:name="_Hlk194095112"/>
      <w:r w:rsidRPr="00317040">
        <w:rPr>
          <w:rFonts w:ascii="Times New Roman" w:eastAsia="宋体" w:hAnsi="Times New Roman" w:cs="Times New Roman" w:hint="eastAsia"/>
          <w:spacing w:val="15"/>
          <w:kern w:val="0"/>
          <w:sz w:val="24"/>
          <w:szCs w:val="24"/>
          <w:shd w:val="clear" w:color="auto" w:fill="FFFFFF"/>
        </w:rPr>
        <w:t>Supplementary</w:t>
      </w:r>
      <w:bookmarkEnd w:id="2"/>
      <w:r w:rsidRPr="00317040">
        <w:rPr>
          <w:rFonts w:ascii="Times New Roman" w:eastAsia="宋体" w:hAnsi="Times New Roman" w:cs="Times New Roman" w:hint="eastAsia"/>
          <w:spacing w:val="15"/>
          <w:kern w:val="0"/>
          <w:sz w:val="24"/>
          <w:szCs w:val="24"/>
          <w:shd w:val="clear" w:color="auto" w:fill="FFFFFF"/>
        </w:rPr>
        <w:t xml:space="preserve"> table 1</w:t>
      </w:r>
      <w:r w:rsidR="00A45E6F" w:rsidRPr="00A45E6F">
        <w:rPr>
          <w:rFonts w:ascii="Times New Roman" w:eastAsia="宋体" w:hAnsi="Times New Roman" w:cs="Times New Roman"/>
          <w:spacing w:val="15"/>
          <w:kern w:val="0"/>
          <w:sz w:val="24"/>
          <w:szCs w:val="24"/>
          <w:shd w:val="clear" w:color="auto" w:fill="FFFFFF"/>
        </w:rPr>
        <w:t xml:space="preserve"> Analysis of SNP‒SNP interactions for MDR in ACS risk</w:t>
      </w:r>
    </w:p>
    <w:tbl>
      <w:tblPr>
        <w:tblW w:w="9840" w:type="dxa"/>
        <w:tblLook w:val="04A0" w:firstRow="1" w:lastRow="0" w:firstColumn="1" w:lastColumn="0" w:noHBand="0" w:noVBand="1"/>
      </w:tblPr>
      <w:tblGrid>
        <w:gridCol w:w="4553"/>
        <w:gridCol w:w="1924"/>
        <w:gridCol w:w="1924"/>
        <w:gridCol w:w="1555"/>
      </w:tblGrid>
      <w:tr w:rsidR="00A45E6F" w:rsidRPr="00A45E6F" w14:paraId="0477892E" w14:textId="77777777" w:rsidTr="00A45E6F">
        <w:trPr>
          <w:trHeight w:val="283"/>
        </w:trPr>
        <w:tc>
          <w:tcPr>
            <w:tcW w:w="4553" w:type="dxa"/>
            <w:tcBorders>
              <w:top w:val="single" w:sz="4" w:space="0" w:color="000000"/>
              <w:left w:val="nil"/>
              <w:bottom w:val="single" w:sz="4" w:space="0" w:color="000000"/>
              <w:right w:val="nil"/>
            </w:tcBorders>
            <w:noWrap/>
            <w:vAlign w:val="center"/>
            <w:hideMark/>
          </w:tcPr>
          <w:bookmarkEnd w:id="1"/>
          <w:p w14:paraId="6EDBFE53" w14:textId="77777777" w:rsidR="00A45E6F" w:rsidRPr="00A45E6F" w:rsidRDefault="00A45E6F" w:rsidP="00A45E6F">
            <w:pPr>
              <w:widowControl/>
              <w:ind w:firstLineChars="200" w:firstLine="540"/>
              <w:rPr>
                <w:rFonts w:ascii="Times New Roman" w:eastAsia="宋体" w:hAnsi="Times New Roman" w:cs="Times New Roman"/>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Model</w:t>
            </w:r>
          </w:p>
        </w:tc>
        <w:tc>
          <w:tcPr>
            <w:tcW w:w="1924" w:type="dxa"/>
            <w:tcBorders>
              <w:top w:val="single" w:sz="4" w:space="0" w:color="000000"/>
              <w:left w:val="nil"/>
              <w:bottom w:val="single" w:sz="4" w:space="0" w:color="000000"/>
              <w:right w:val="nil"/>
            </w:tcBorders>
            <w:noWrap/>
            <w:vAlign w:val="center"/>
            <w:hideMark/>
          </w:tcPr>
          <w:p w14:paraId="08B8A905" w14:textId="77777777" w:rsidR="00A45E6F" w:rsidRPr="00A45E6F" w:rsidRDefault="00A45E6F" w:rsidP="00A45E6F">
            <w:pPr>
              <w:widowControl/>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Bal.Acc.CV Training</w:t>
            </w:r>
          </w:p>
        </w:tc>
        <w:tc>
          <w:tcPr>
            <w:tcW w:w="1924" w:type="dxa"/>
            <w:tcBorders>
              <w:top w:val="single" w:sz="4" w:space="0" w:color="000000"/>
              <w:left w:val="nil"/>
              <w:bottom w:val="single" w:sz="4" w:space="0" w:color="000000"/>
              <w:right w:val="nil"/>
            </w:tcBorders>
            <w:noWrap/>
            <w:vAlign w:val="center"/>
            <w:hideMark/>
          </w:tcPr>
          <w:p w14:paraId="2F38E9D4" w14:textId="77777777" w:rsidR="00A45E6F" w:rsidRPr="00A45E6F" w:rsidRDefault="00A45E6F" w:rsidP="00A45E6F">
            <w:pPr>
              <w:widowControl/>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Bal.Acc.CV Testing</w:t>
            </w:r>
          </w:p>
        </w:tc>
        <w:tc>
          <w:tcPr>
            <w:tcW w:w="1439" w:type="dxa"/>
            <w:tcBorders>
              <w:top w:val="single" w:sz="4" w:space="0" w:color="000000"/>
              <w:left w:val="nil"/>
              <w:bottom w:val="single" w:sz="4" w:space="0" w:color="000000"/>
              <w:right w:val="nil"/>
            </w:tcBorders>
            <w:noWrap/>
            <w:vAlign w:val="center"/>
            <w:hideMark/>
          </w:tcPr>
          <w:p w14:paraId="356F28A8" w14:textId="77777777" w:rsidR="00A45E6F" w:rsidRPr="00A45E6F" w:rsidRDefault="00A45E6F" w:rsidP="00A45E6F">
            <w:pPr>
              <w:widowControl/>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CV Consistency</w:t>
            </w:r>
          </w:p>
        </w:tc>
      </w:tr>
      <w:tr w:rsidR="00A45E6F" w:rsidRPr="00A45E6F" w14:paraId="77738A74" w14:textId="77777777" w:rsidTr="00A45E6F">
        <w:trPr>
          <w:trHeight w:val="283"/>
        </w:trPr>
        <w:tc>
          <w:tcPr>
            <w:tcW w:w="4553" w:type="dxa"/>
            <w:noWrap/>
            <w:vAlign w:val="center"/>
            <w:hideMark/>
          </w:tcPr>
          <w:p w14:paraId="78D65C82" w14:textId="77777777" w:rsidR="00A45E6F" w:rsidRPr="00A45E6F" w:rsidRDefault="00A45E6F" w:rsidP="00A45E6F">
            <w:pPr>
              <w:widowControl/>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rs1800780(GGvsAG+AA)</w:t>
            </w:r>
          </w:p>
        </w:tc>
        <w:tc>
          <w:tcPr>
            <w:tcW w:w="1924" w:type="dxa"/>
            <w:noWrap/>
            <w:vAlign w:val="center"/>
            <w:hideMark/>
          </w:tcPr>
          <w:p w14:paraId="52A7ED46"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0.5156</w:t>
            </w:r>
          </w:p>
        </w:tc>
        <w:tc>
          <w:tcPr>
            <w:tcW w:w="1924" w:type="dxa"/>
            <w:noWrap/>
            <w:vAlign w:val="center"/>
            <w:hideMark/>
          </w:tcPr>
          <w:p w14:paraId="0F466EA0"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0.5051</w:t>
            </w:r>
          </w:p>
        </w:tc>
        <w:tc>
          <w:tcPr>
            <w:tcW w:w="1439" w:type="dxa"/>
            <w:noWrap/>
            <w:vAlign w:val="center"/>
            <w:hideMark/>
          </w:tcPr>
          <w:p w14:paraId="1C0E9B96"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7/10</w:t>
            </w:r>
          </w:p>
        </w:tc>
      </w:tr>
      <w:tr w:rsidR="00A45E6F" w:rsidRPr="00A45E6F" w14:paraId="1A1C7DA1" w14:textId="77777777" w:rsidTr="00A45E6F">
        <w:trPr>
          <w:trHeight w:val="283"/>
        </w:trPr>
        <w:tc>
          <w:tcPr>
            <w:tcW w:w="4553" w:type="dxa"/>
            <w:noWrap/>
            <w:vAlign w:val="center"/>
            <w:hideMark/>
          </w:tcPr>
          <w:p w14:paraId="2693707D" w14:textId="77777777" w:rsidR="00A45E6F" w:rsidRPr="00A45E6F" w:rsidRDefault="00A45E6F" w:rsidP="00A45E6F">
            <w:pPr>
              <w:widowControl/>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rs1799983(GGvsTT+TG), rs1800780(GGvsAG+AA)</w:t>
            </w:r>
          </w:p>
        </w:tc>
        <w:tc>
          <w:tcPr>
            <w:tcW w:w="1924" w:type="dxa"/>
            <w:noWrap/>
            <w:vAlign w:val="center"/>
            <w:hideMark/>
          </w:tcPr>
          <w:p w14:paraId="014F3811"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0.5274</w:t>
            </w:r>
          </w:p>
        </w:tc>
        <w:tc>
          <w:tcPr>
            <w:tcW w:w="1924" w:type="dxa"/>
            <w:noWrap/>
            <w:vAlign w:val="center"/>
            <w:hideMark/>
          </w:tcPr>
          <w:p w14:paraId="572690AF"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0.5117</w:t>
            </w:r>
          </w:p>
        </w:tc>
        <w:tc>
          <w:tcPr>
            <w:tcW w:w="1439" w:type="dxa"/>
            <w:noWrap/>
            <w:vAlign w:val="center"/>
            <w:hideMark/>
          </w:tcPr>
          <w:p w14:paraId="7D895F5D"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4/10</w:t>
            </w:r>
          </w:p>
        </w:tc>
      </w:tr>
      <w:tr w:rsidR="00A45E6F" w:rsidRPr="00A45E6F" w14:paraId="02742977" w14:textId="77777777" w:rsidTr="00A45E6F">
        <w:trPr>
          <w:trHeight w:val="283"/>
        </w:trPr>
        <w:tc>
          <w:tcPr>
            <w:tcW w:w="4553" w:type="dxa"/>
            <w:tcBorders>
              <w:top w:val="nil"/>
              <w:left w:val="nil"/>
              <w:bottom w:val="single" w:sz="4" w:space="0" w:color="000000"/>
              <w:right w:val="nil"/>
            </w:tcBorders>
            <w:noWrap/>
            <w:vAlign w:val="center"/>
            <w:hideMark/>
          </w:tcPr>
          <w:p w14:paraId="520C534B" w14:textId="77777777" w:rsidR="00A45E6F" w:rsidRPr="00A45E6F" w:rsidRDefault="00A45E6F" w:rsidP="00A45E6F">
            <w:pPr>
              <w:widowControl/>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rs1799983(TTvsGG+TG), rs1799983(TGvsTT+GG), rs1800780(GGvsAG+AA)</w:t>
            </w:r>
          </w:p>
        </w:tc>
        <w:tc>
          <w:tcPr>
            <w:tcW w:w="1924" w:type="dxa"/>
            <w:tcBorders>
              <w:top w:val="nil"/>
              <w:left w:val="nil"/>
              <w:bottom w:val="single" w:sz="4" w:space="0" w:color="000000"/>
              <w:right w:val="nil"/>
            </w:tcBorders>
            <w:noWrap/>
            <w:vAlign w:val="center"/>
            <w:hideMark/>
          </w:tcPr>
          <w:p w14:paraId="3DE43ADD"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0.5313</w:t>
            </w:r>
          </w:p>
        </w:tc>
        <w:tc>
          <w:tcPr>
            <w:tcW w:w="1924" w:type="dxa"/>
            <w:tcBorders>
              <w:top w:val="nil"/>
              <w:left w:val="nil"/>
              <w:bottom w:val="single" w:sz="4" w:space="0" w:color="000000"/>
              <w:right w:val="nil"/>
            </w:tcBorders>
            <w:noWrap/>
            <w:vAlign w:val="center"/>
            <w:hideMark/>
          </w:tcPr>
          <w:p w14:paraId="77B30939"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0.5262</w:t>
            </w:r>
          </w:p>
        </w:tc>
        <w:tc>
          <w:tcPr>
            <w:tcW w:w="1439" w:type="dxa"/>
            <w:tcBorders>
              <w:top w:val="nil"/>
              <w:left w:val="nil"/>
              <w:bottom w:val="single" w:sz="4" w:space="0" w:color="000000"/>
              <w:right w:val="nil"/>
            </w:tcBorders>
            <w:noWrap/>
            <w:vAlign w:val="center"/>
            <w:hideMark/>
          </w:tcPr>
          <w:p w14:paraId="2A75C0DA" w14:textId="77777777" w:rsidR="00A45E6F" w:rsidRPr="00A45E6F" w:rsidRDefault="00A45E6F" w:rsidP="00A45E6F">
            <w:pPr>
              <w:widowControl/>
              <w:ind w:firstLineChars="200" w:firstLine="540"/>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hint="eastAsia"/>
                <w:spacing w:val="15"/>
                <w:kern w:val="0"/>
                <w:sz w:val="24"/>
                <w:szCs w:val="24"/>
                <w:shd w:val="clear" w:color="auto" w:fill="FFFFFF"/>
              </w:rPr>
              <w:t>9/10</w:t>
            </w:r>
          </w:p>
        </w:tc>
      </w:tr>
    </w:tbl>
    <w:p w14:paraId="3D676B89" w14:textId="77777777" w:rsidR="00A45E6F" w:rsidRPr="00A45E6F" w:rsidRDefault="00A45E6F" w:rsidP="00A45E6F">
      <w:pPr>
        <w:widowControl/>
        <w:ind w:firstLineChars="200" w:firstLine="540"/>
        <w:jc w:val="left"/>
        <w:rPr>
          <w:rFonts w:ascii="Times New Roman" w:eastAsia="宋体" w:hAnsi="Times New Roman" w:cs="Times New Roman" w:hint="eastAsia"/>
          <w:spacing w:val="15"/>
          <w:kern w:val="0"/>
          <w:sz w:val="24"/>
          <w:szCs w:val="24"/>
          <w:shd w:val="clear" w:color="auto" w:fill="FFFFFF"/>
        </w:rPr>
      </w:pPr>
      <w:r w:rsidRPr="00A45E6F">
        <w:rPr>
          <w:rFonts w:ascii="Times New Roman" w:eastAsia="宋体" w:hAnsi="Times New Roman" w:cs="Times New Roman"/>
          <w:spacing w:val="15"/>
          <w:kern w:val="0"/>
          <w:sz w:val="24"/>
          <w:szCs w:val="24"/>
          <w:shd w:val="clear" w:color="auto" w:fill="FFFFFF"/>
        </w:rPr>
        <w:t xml:space="preserve">Bal.Acc. CV training: training accuracy, where the value range is 0--1; the larger the value is, the higher the prediction accuracy of the model; </w:t>
      </w:r>
      <w:r w:rsidRPr="00A45E6F">
        <w:rPr>
          <w:rFonts w:ascii="Times New Roman" w:eastAsia="宋体" w:hAnsi="Times New Roman" w:cs="Times New Roman"/>
          <w:spacing w:val="15"/>
          <w:kern w:val="0"/>
          <w:sz w:val="24"/>
          <w:szCs w:val="24"/>
          <w:shd w:val="clear" w:color="auto" w:fill="FFFFFF"/>
        </w:rPr>
        <w:lastRenderedPageBreak/>
        <w:t>Bal.Acc. CV testing: When the value range is 0--1, the larger the value is, the higher the prediction accuracy of the model. CV consistency is cross-validation consistency, which indicates that the factor combinations are repeatedly recognized as the best model in multiple cross-validations; the higher the value is, the better the model is. CV Consistency: Cross-validation consistency rate, indicating the number of times a combination of factors is repeatedly recognized as the best model in multiple cross-validations; the higher the value is, the better the model performs.</w:t>
      </w:r>
    </w:p>
    <w:p w14:paraId="43952E2E" w14:textId="38D7D04A" w:rsidR="00A45E6F" w:rsidRPr="00A45E6F" w:rsidRDefault="00A45E6F" w:rsidP="00A45E6F">
      <w:pPr>
        <w:widowControl/>
        <w:ind w:firstLineChars="200" w:firstLine="560"/>
        <w:jc w:val="left"/>
        <w:rPr>
          <w:rFonts w:ascii="Times New Roman" w:eastAsia="宋体" w:hAnsi="Times New Roman" w:cs="Times New Roman"/>
          <w:spacing w:val="15"/>
          <w:kern w:val="0"/>
          <w:sz w:val="28"/>
          <w:szCs w:val="28"/>
          <w:shd w:val="clear" w:color="auto" w:fill="FFFFFF"/>
        </w:rPr>
      </w:pPr>
      <w:r w:rsidRPr="00A45E6F">
        <w:rPr>
          <w:rFonts w:ascii="Times New Roman" w:eastAsia="宋体" w:hAnsi="Times New Roman" w:cs="Times New Roman"/>
          <w:spacing w:val="15"/>
          <w:kern w:val="0"/>
          <w:sz w:val="28"/>
          <w:szCs w:val="28"/>
          <w:shd w:val="clear" w:color="auto" w:fill="FFFFFF"/>
        </w:rPr>
        <w:drawing>
          <wp:inline distT="0" distB="0" distL="0" distR="0" wp14:anchorId="294A2EC6" wp14:editId="444E6CF6">
            <wp:extent cx="5274310" cy="925830"/>
            <wp:effectExtent l="0" t="0" r="2540" b="7620"/>
            <wp:docPr id="471611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925830"/>
                    </a:xfrm>
                    <a:prstGeom prst="rect">
                      <a:avLst/>
                    </a:prstGeom>
                    <a:noFill/>
                    <a:ln>
                      <a:noFill/>
                    </a:ln>
                  </pic:spPr>
                </pic:pic>
              </a:graphicData>
            </a:graphic>
          </wp:inline>
        </w:drawing>
      </w:r>
    </w:p>
    <w:p w14:paraId="4D196929" w14:textId="25FAC772" w:rsidR="00A45E6F" w:rsidRPr="00A45E6F" w:rsidRDefault="00317040" w:rsidP="00A45E6F">
      <w:pPr>
        <w:widowControl/>
        <w:jc w:val="left"/>
        <w:rPr>
          <w:rFonts w:ascii="Times New Roman" w:eastAsia="宋体" w:hAnsi="Times New Roman" w:cs="Times New Roman" w:hint="eastAsia"/>
          <w:spacing w:val="15"/>
          <w:kern w:val="0"/>
          <w:sz w:val="24"/>
          <w:szCs w:val="24"/>
          <w:shd w:val="clear" w:color="auto" w:fill="FFFFFF"/>
        </w:rPr>
      </w:pPr>
      <w:bookmarkStart w:id="3" w:name="_Hlk187266364"/>
      <w:r w:rsidRPr="00317040">
        <w:rPr>
          <w:rFonts w:ascii="Times New Roman" w:eastAsia="宋体" w:hAnsi="Times New Roman" w:cs="Times New Roman" w:hint="eastAsia"/>
          <w:spacing w:val="15"/>
          <w:kern w:val="0"/>
          <w:sz w:val="24"/>
          <w:szCs w:val="24"/>
          <w:shd w:val="clear" w:color="auto" w:fill="FFFFFF"/>
        </w:rPr>
        <w:t>Supplementary</w:t>
      </w:r>
      <w:r w:rsidRPr="00317040">
        <w:rPr>
          <w:rFonts w:ascii="Times New Roman" w:eastAsia="宋体" w:hAnsi="Times New Roman" w:cs="Times New Roman"/>
          <w:spacing w:val="15"/>
          <w:kern w:val="0"/>
          <w:sz w:val="24"/>
          <w:szCs w:val="24"/>
          <w:shd w:val="clear" w:color="auto" w:fill="FFFFFF"/>
        </w:rPr>
        <w:t xml:space="preserve"> </w:t>
      </w:r>
      <w:r w:rsidR="00A45E6F" w:rsidRPr="00A45E6F">
        <w:rPr>
          <w:rFonts w:ascii="Times New Roman" w:eastAsia="宋体" w:hAnsi="Times New Roman" w:cs="Times New Roman"/>
          <w:spacing w:val="15"/>
          <w:kern w:val="0"/>
          <w:sz w:val="24"/>
          <w:szCs w:val="24"/>
          <w:shd w:val="clear" w:color="auto" w:fill="FFFFFF"/>
        </w:rPr>
        <w:t>Figure 1 Clustering dendrogram of the rs1799983 and rs1800780 interactions</w:t>
      </w:r>
    </w:p>
    <w:bookmarkEnd w:id="3"/>
    <w:p w14:paraId="62E42A8D" w14:textId="6F411EB9" w:rsidR="00A45E6F" w:rsidRPr="00A45E6F" w:rsidRDefault="00A45E6F" w:rsidP="00A45E6F">
      <w:pPr>
        <w:widowControl/>
        <w:ind w:firstLineChars="200" w:firstLine="560"/>
        <w:jc w:val="left"/>
        <w:rPr>
          <w:rFonts w:ascii="Times New Roman" w:eastAsia="宋体" w:hAnsi="Times New Roman" w:cs="Times New Roman"/>
          <w:spacing w:val="15"/>
          <w:kern w:val="0"/>
          <w:sz w:val="28"/>
          <w:szCs w:val="28"/>
          <w:shd w:val="clear" w:color="auto" w:fill="FFFFFF"/>
        </w:rPr>
      </w:pPr>
      <w:r w:rsidRPr="00A45E6F">
        <w:rPr>
          <w:rFonts w:ascii="Times New Roman" w:eastAsia="宋体" w:hAnsi="Times New Roman" w:cs="Times New Roman"/>
          <w:spacing w:val="15"/>
          <w:kern w:val="0"/>
          <w:sz w:val="28"/>
          <w:szCs w:val="28"/>
          <w:shd w:val="clear" w:color="auto" w:fill="FFFFFF"/>
        </w:rPr>
        <w:drawing>
          <wp:inline distT="0" distB="0" distL="0" distR="0" wp14:anchorId="1DF11A6E" wp14:editId="0984BCDF">
            <wp:extent cx="2628900" cy="2057400"/>
            <wp:effectExtent l="0" t="0" r="0" b="0"/>
            <wp:docPr id="569344058" name="图片 3" descr="图表, 雷达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表, 雷达图"/>
                    <pic:cNvPicPr>
                      <a:picLocks noChangeAspect="1" noChangeArrowheads="1"/>
                    </pic:cNvPicPr>
                  </pic:nvPicPr>
                  <pic:blipFill>
                    <a:blip r:embed="rId7" cstate="print">
                      <a:extLst>
                        <a:ext uri="{28A0092B-C50C-407E-A947-70E740481C1C}">
                          <a14:useLocalDpi xmlns:a14="http://schemas.microsoft.com/office/drawing/2010/main" val="0"/>
                        </a:ext>
                      </a:extLst>
                    </a:blip>
                    <a:srcRect l="37691" t="18011" r="23994" b="12984"/>
                    <a:stretch>
                      <a:fillRect/>
                    </a:stretch>
                  </pic:blipFill>
                  <pic:spPr bwMode="auto">
                    <a:xfrm>
                      <a:off x="0" y="0"/>
                      <a:ext cx="2628900" cy="2057400"/>
                    </a:xfrm>
                    <a:prstGeom prst="rect">
                      <a:avLst/>
                    </a:prstGeom>
                    <a:noFill/>
                    <a:ln>
                      <a:noFill/>
                    </a:ln>
                  </pic:spPr>
                </pic:pic>
              </a:graphicData>
            </a:graphic>
          </wp:inline>
        </w:drawing>
      </w:r>
    </w:p>
    <w:p w14:paraId="66414933" w14:textId="4DE922AA" w:rsidR="00A45E6F" w:rsidRPr="00A45E6F" w:rsidRDefault="00317040" w:rsidP="00A45E6F">
      <w:pPr>
        <w:widowControl/>
        <w:jc w:val="left"/>
        <w:rPr>
          <w:rFonts w:ascii="Times New Roman" w:eastAsia="宋体" w:hAnsi="Times New Roman" w:cs="Times New Roman" w:hint="eastAsia"/>
          <w:spacing w:val="15"/>
          <w:kern w:val="0"/>
          <w:sz w:val="24"/>
          <w:szCs w:val="24"/>
          <w:shd w:val="clear" w:color="auto" w:fill="FFFFFF"/>
        </w:rPr>
      </w:pPr>
      <w:bookmarkStart w:id="4" w:name="_Hlk187266382"/>
      <w:r w:rsidRPr="00317040">
        <w:rPr>
          <w:rFonts w:ascii="Times New Roman" w:eastAsia="宋体" w:hAnsi="Times New Roman" w:cs="Times New Roman" w:hint="eastAsia"/>
          <w:spacing w:val="15"/>
          <w:kern w:val="0"/>
          <w:sz w:val="24"/>
          <w:szCs w:val="24"/>
          <w:shd w:val="clear" w:color="auto" w:fill="FFFFFF"/>
        </w:rPr>
        <w:t>Supplementary</w:t>
      </w:r>
      <w:r w:rsidRPr="00317040">
        <w:rPr>
          <w:rFonts w:ascii="Times New Roman" w:eastAsia="宋体" w:hAnsi="Times New Roman" w:cs="Times New Roman"/>
          <w:spacing w:val="15"/>
          <w:kern w:val="0"/>
          <w:sz w:val="24"/>
          <w:szCs w:val="24"/>
          <w:shd w:val="clear" w:color="auto" w:fill="FFFFFF"/>
        </w:rPr>
        <w:t xml:space="preserve"> </w:t>
      </w:r>
      <w:r w:rsidR="00A45E6F" w:rsidRPr="00A45E6F">
        <w:rPr>
          <w:rFonts w:ascii="Times New Roman" w:eastAsia="宋体" w:hAnsi="Times New Roman" w:cs="Times New Roman"/>
          <w:spacing w:val="15"/>
          <w:kern w:val="0"/>
          <w:sz w:val="24"/>
          <w:szCs w:val="24"/>
          <w:shd w:val="clear" w:color="auto" w:fill="FFFFFF"/>
        </w:rPr>
        <w:t>Figure 2 MDR ring network diagram of the rs1799983 and rs1800780 gene interactions</w:t>
      </w:r>
      <w:bookmarkEnd w:id="4"/>
    </w:p>
    <w:p w14:paraId="0723F543" w14:textId="77777777" w:rsidR="00A45E6F" w:rsidRDefault="00A45E6F" w:rsidP="00A45E6F">
      <w:pPr>
        <w:widowControl/>
        <w:jc w:val="left"/>
      </w:pPr>
    </w:p>
    <w:p w14:paraId="7A9255A0" w14:textId="156CB9E3" w:rsidR="00A45E6F" w:rsidRPr="00A45E6F" w:rsidRDefault="00A45E6F" w:rsidP="00A45E6F">
      <w:pPr>
        <w:widowControl/>
        <w:jc w:val="left"/>
        <w:rPr>
          <w:rFonts w:ascii="Times New Roman" w:eastAsia="宋体" w:hAnsi="Times New Roman" w:cs="Times New Roman"/>
          <w:spacing w:val="15"/>
          <w:sz w:val="28"/>
          <w:szCs w:val="28"/>
          <w:shd w:val="clear" w:color="auto" w:fill="FFFFFF"/>
        </w:rPr>
      </w:pPr>
      <w:r w:rsidRPr="00A45E6F">
        <w:rPr>
          <w:rFonts w:ascii="Times New Roman" w:eastAsia="宋体" w:hAnsi="Times New Roman" w:cs="Times New Roman"/>
          <w:spacing w:val="15"/>
          <w:sz w:val="28"/>
          <w:szCs w:val="28"/>
          <w:shd w:val="clear" w:color="auto" w:fill="FFFFFF"/>
        </w:rPr>
        <w:t xml:space="preserve">To further explore the relationship between SNP polymorphisms in the eNOS rs1799983 and rs1800780 genes and acute coronary syndrome and the impact of these independent factors when they cooperate with the disease. In this model, the effects of SNP gene polymorphisms (rs1799983, rs1800780) on ACS were explored. We constructed an SNP‒SNP interaction model via the MDR method. In this model, the effects of SNP gene polymorphisms (rs1799983, rs1800780) on acute coronary </w:t>
      </w:r>
      <w:r w:rsidRPr="00A45E6F">
        <w:rPr>
          <w:rFonts w:ascii="Times New Roman" w:eastAsia="宋体" w:hAnsi="Times New Roman" w:cs="Times New Roman"/>
          <w:spacing w:val="15"/>
          <w:sz w:val="28"/>
          <w:szCs w:val="28"/>
          <w:shd w:val="clear" w:color="auto" w:fill="FFFFFF"/>
        </w:rPr>
        <w:lastRenderedPageBreak/>
        <w:t>syndrome were explored. The analysis results show that the rs1799983(TTvsGG+TG), rs1799983(TGvsTT+GG), and rs1800780(GGvsAG+AA) models are the best models, with a training balance accuracy of 0.5313, a test‒parallel accuracy of 0.5262, and a cross-validated agreement rate of 9/10. These data indicate that the MDR analytical model has good predictive performance and stability. The effects of rs1799983TTvsGG+TG and rs1800780 GGvsAG+AA on ACS were similar. The effects of each attribute were as follows: rs1799983TTvsGG+TG (0.19%), rs1800780GGvsAG+AA (0.07%), rs1800780AGvsAA+GG (0.05%), rs1799983GGvsTT+TG (0.03%), rs1799983TGvsTT+GG (0.02%), and rs1800780AAvsGG+AG (0.00%).</w:t>
      </w:r>
      <w:r w:rsidRPr="00A45E6F">
        <w:rPr>
          <w:rFonts w:ascii="Times New Roman" w:eastAsia="宋体" w:hAnsi="Times New Roman" w:cs="Times New Roman" w:hint="eastAsia"/>
          <w:spacing w:val="15"/>
          <w:sz w:val="28"/>
          <w:szCs w:val="28"/>
          <w:shd w:val="clear" w:color="auto" w:fill="FFFFFF"/>
        </w:rPr>
        <w:t xml:space="preserve"> </w:t>
      </w:r>
      <w:r w:rsidRPr="00A45E6F">
        <w:rPr>
          <w:rFonts w:ascii="Times New Roman" w:eastAsia="宋体" w:hAnsi="Times New Roman" w:cs="Times New Roman"/>
          <w:spacing w:val="15"/>
          <w:sz w:val="28"/>
          <w:szCs w:val="28"/>
          <w:shd w:val="clear" w:color="auto" w:fill="FFFFFF"/>
        </w:rPr>
        <w:t>This finding indicates that the polymorphisms rs1799983 and rs1800780, when interacting with ACS, may aid in diagnosing the disease alongside other factors.</w:t>
      </w:r>
    </w:p>
    <w:p w14:paraId="44216374" w14:textId="5AEBC645" w:rsidR="00142D67" w:rsidRPr="00A45E6F" w:rsidRDefault="00142D67" w:rsidP="00A45E6F">
      <w:pPr>
        <w:widowControl/>
        <w:ind w:firstLineChars="200" w:firstLine="420"/>
        <w:jc w:val="left"/>
        <w:rPr>
          <w:rFonts w:hint="eastAsia"/>
        </w:rPr>
      </w:pPr>
    </w:p>
    <w:sectPr w:rsidR="00142D67" w:rsidRPr="00A45E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8521" w14:textId="77777777" w:rsidR="00E02D24" w:rsidRDefault="00E02D24" w:rsidP="000034FA">
      <w:pPr>
        <w:rPr>
          <w:rFonts w:hint="eastAsia"/>
        </w:rPr>
      </w:pPr>
      <w:r>
        <w:separator/>
      </w:r>
    </w:p>
  </w:endnote>
  <w:endnote w:type="continuationSeparator" w:id="0">
    <w:p w14:paraId="7F77EB17" w14:textId="77777777" w:rsidR="00E02D24" w:rsidRDefault="00E02D24" w:rsidP="000034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0F25" w14:textId="77777777" w:rsidR="00E02D24" w:rsidRDefault="00E02D24" w:rsidP="000034FA">
      <w:pPr>
        <w:rPr>
          <w:rFonts w:hint="eastAsia"/>
        </w:rPr>
      </w:pPr>
      <w:r>
        <w:separator/>
      </w:r>
    </w:p>
  </w:footnote>
  <w:footnote w:type="continuationSeparator" w:id="0">
    <w:p w14:paraId="41D1FE4A" w14:textId="77777777" w:rsidR="00E02D24" w:rsidRDefault="00E02D24" w:rsidP="000034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D7"/>
    <w:rsid w:val="000034FA"/>
    <w:rsid w:val="00142D67"/>
    <w:rsid w:val="00317040"/>
    <w:rsid w:val="0034136E"/>
    <w:rsid w:val="003A2BB6"/>
    <w:rsid w:val="007E3867"/>
    <w:rsid w:val="00A45E6F"/>
    <w:rsid w:val="00BD302B"/>
    <w:rsid w:val="00D877EE"/>
    <w:rsid w:val="00E02D24"/>
    <w:rsid w:val="00EE3406"/>
    <w:rsid w:val="00F0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7443E"/>
  <w15:chartTrackingRefBased/>
  <w15:docId w15:val="{76622209-0E54-4241-BF93-40146DB4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4FA"/>
    <w:pPr>
      <w:widowControl w:val="0"/>
      <w:jc w:val="both"/>
    </w:pPr>
  </w:style>
  <w:style w:type="paragraph" w:styleId="1">
    <w:name w:val="heading 1"/>
    <w:basedOn w:val="a"/>
    <w:next w:val="a"/>
    <w:link w:val="10"/>
    <w:uiPriority w:val="9"/>
    <w:qFormat/>
    <w:rsid w:val="00F074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074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074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074D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074D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074D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074D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4D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074D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4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074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074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074D7"/>
    <w:rPr>
      <w:rFonts w:cstheme="majorBidi"/>
      <w:color w:val="0F4761" w:themeColor="accent1" w:themeShade="BF"/>
      <w:sz w:val="28"/>
      <w:szCs w:val="28"/>
    </w:rPr>
  </w:style>
  <w:style w:type="character" w:customStyle="1" w:styleId="50">
    <w:name w:val="标题 5 字符"/>
    <w:basedOn w:val="a0"/>
    <w:link w:val="5"/>
    <w:uiPriority w:val="9"/>
    <w:semiHidden/>
    <w:rsid w:val="00F074D7"/>
    <w:rPr>
      <w:rFonts w:cstheme="majorBidi"/>
      <w:color w:val="0F4761" w:themeColor="accent1" w:themeShade="BF"/>
      <w:sz w:val="24"/>
      <w:szCs w:val="24"/>
    </w:rPr>
  </w:style>
  <w:style w:type="character" w:customStyle="1" w:styleId="60">
    <w:name w:val="标题 6 字符"/>
    <w:basedOn w:val="a0"/>
    <w:link w:val="6"/>
    <w:uiPriority w:val="9"/>
    <w:semiHidden/>
    <w:rsid w:val="00F074D7"/>
    <w:rPr>
      <w:rFonts w:cstheme="majorBidi"/>
      <w:b/>
      <w:bCs/>
      <w:color w:val="0F4761" w:themeColor="accent1" w:themeShade="BF"/>
    </w:rPr>
  </w:style>
  <w:style w:type="character" w:customStyle="1" w:styleId="70">
    <w:name w:val="标题 7 字符"/>
    <w:basedOn w:val="a0"/>
    <w:link w:val="7"/>
    <w:uiPriority w:val="9"/>
    <w:semiHidden/>
    <w:rsid w:val="00F074D7"/>
    <w:rPr>
      <w:rFonts w:cstheme="majorBidi"/>
      <w:b/>
      <w:bCs/>
      <w:color w:val="595959" w:themeColor="text1" w:themeTint="A6"/>
    </w:rPr>
  </w:style>
  <w:style w:type="character" w:customStyle="1" w:styleId="80">
    <w:name w:val="标题 8 字符"/>
    <w:basedOn w:val="a0"/>
    <w:link w:val="8"/>
    <w:uiPriority w:val="9"/>
    <w:semiHidden/>
    <w:rsid w:val="00F074D7"/>
    <w:rPr>
      <w:rFonts w:cstheme="majorBidi"/>
      <w:color w:val="595959" w:themeColor="text1" w:themeTint="A6"/>
    </w:rPr>
  </w:style>
  <w:style w:type="character" w:customStyle="1" w:styleId="90">
    <w:name w:val="标题 9 字符"/>
    <w:basedOn w:val="a0"/>
    <w:link w:val="9"/>
    <w:uiPriority w:val="9"/>
    <w:semiHidden/>
    <w:rsid w:val="00F074D7"/>
    <w:rPr>
      <w:rFonts w:eastAsiaTheme="majorEastAsia" w:cstheme="majorBidi"/>
      <w:color w:val="595959" w:themeColor="text1" w:themeTint="A6"/>
    </w:rPr>
  </w:style>
  <w:style w:type="paragraph" w:styleId="a3">
    <w:name w:val="Title"/>
    <w:basedOn w:val="a"/>
    <w:next w:val="a"/>
    <w:link w:val="a4"/>
    <w:uiPriority w:val="10"/>
    <w:qFormat/>
    <w:rsid w:val="00F074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4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4D7"/>
    <w:pPr>
      <w:spacing w:before="160" w:after="160"/>
      <w:jc w:val="center"/>
    </w:pPr>
    <w:rPr>
      <w:i/>
      <w:iCs/>
      <w:color w:val="404040" w:themeColor="text1" w:themeTint="BF"/>
    </w:rPr>
  </w:style>
  <w:style w:type="character" w:customStyle="1" w:styleId="a8">
    <w:name w:val="引用 字符"/>
    <w:basedOn w:val="a0"/>
    <w:link w:val="a7"/>
    <w:uiPriority w:val="29"/>
    <w:rsid w:val="00F074D7"/>
    <w:rPr>
      <w:i/>
      <w:iCs/>
      <w:color w:val="404040" w:themeColor="text1" w:themeTint="BF"/>
    </w:rPr>
  </w:style>
  <w:style w:type="paragraph" w:styleId="a9">
    <w:name w:val="List Paragraph"/>
    <w:basedOn w:val="a"/>
    <w:uiPriority w:val="34"/>
    <w:qFormat/>
    <w:rsid w:val="00F074D7"/>
    <w:pPr>
      <w:ind w:left="720"/>
      <w:contextualSpacing/>
    </w:pPr>
  </w:style>
  <w:style w:type="character" w:styleId="aa">
    <w:name w:val="Intense Emphasis"/>
    <w:basedOn w:val="a0"/>
    <w:uiPriority w:val="21"/>
    <w:qFormat/>
    <w:rsid w:val="00F074D7"/>
    <w:rPr>
      <w:i/>
      <w:iCs/>
      <w:color w:val="0F4761" w:themeColor="accent1" w:themeShade="BF"/>
    </w:rPr>
  </w:style>
  <w:style w:type="paragraph" w:styleId="ab">
    <w:name w:val="Intense Quote"/>
    <w:basedOn w:val="a"/>
    <w:next w:val="a"/>
    <w:link w:val="ac"/>
    <w:uiPriority w:val="30"/>
    <w:qFormat/>
    <w:rsid w:val="00F07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074D7"/>
    <w:rPr>
      <w:i/>
      <w:iCs/>
      <w:color w:val="0F4761" w:themeColor="accent1" w:themeShade="BF"/>
    </w:rPr>
  </w:style>
  <w:style w:type="character" w:styleId="ad">
    <w:name w:val="Intense Reference"/>
    <w:basedOn w:val="a0"/>
    <w:uiPriority w:val="32"/>
    <w:qFormat/>
    <w:rsid w:val="00F074D7"/>
    <w:rPr>
      <w:b/>
      <w:bCs/>
      <w:smallCaps/>
      <w:color w:val="0F4761" w:themeColor="accent1" w:themeShade="BF"/>
      <w:spacing w:val="5"/>
    </w:rPr>
  </w:style>
  <w:style w:type="paragraph" w:styleId="ae">
    <w:name w:val="header"/>
    <w:basedOn w:val="a"/>
    <w:link w:val="af"/>
    <w:uiPriority w:val="99"/>
    <w:unhideWhenUsed/>
    <w:rsid w:val="000034FA"/>
    <w:pPr>
      <w:tabs>
        <w:tab w:val="center" w:pos="4153"/>
        <w:tab w:val="right" w:pos="8306"/>
      </w:tabs>
      <w:snapToGrid w:val="0"/>
      <w:jc w:val="center"/>
    </w:pPr>
    <w:rPr>
      <w:sz w:val="18"/>
      <w:szCs w:val="18"/>
    </w:rPr>
  </w:style>
  <w:style w:type="character" w:customStyle="1" w:styleId="af">
    <w:name w:val="页眉 字符"/>
    <w:basedOn w:val="a0"/>
    <w:link w:val="ae"/>
    <w:uiPriority w:val="99"/>
    <w:rsid w:val="000034FA"/>
    <w:rPr>
      <w:sz w:val="18"/>
      <w:szCs w:val="18"/>
    </w:rPr>
  </w:style>
  <w:style w:type="paragraph" w:styleId="af0">
    <w:name w:val="footer"/>
    <w:basedOn w:val="a"/>
    <w:link w:val="af1"/>
    <w:uiPriority w:val="99"/>
    <w:unhideWhenUsed/>
    <w:rsid w:val="000034FA"/>
    <w:pPr>
      <w:tabs>
        <w:tab w:val="center" w:pos="4153"/>
        <w:tab w:val="right" w:pos="8306"/>
      </w:tabs>
      <w:snapToGrid w:val="0"/>
      <w:jc w:val="left"/>
    </w:pPr>
    <w:rPr>
      <w:sz w:val="18"/>
      <w:szCs w:val="18"/>
    </w:rPr>
  </w:style>
  <w:style w:type="character" w:customStyle="1" w:styleId="af1">
    <w:name w:val="页脚 字符"/>
    <w:basedOn w:val="a0"/>
    <w:link w:val="af0"/>
    <w:uiPriority w:val="99"/>
    <w:rsid w:val="000034FA"/>
    <w:rPr>
      <w:sz w:val="18"/>
      <w:szCs w:val="18"/>
    </w:rPr>
  </w:style>
  <w:style w:type="paragraph" w:styleId="af2">
    <w:name w:val="Normal (Web)"/>
    <w:basedOn w:val="a"/>
    <w:uiPriority w:val="99"/>
    <w:unhideWhenUsed/>
    <w:rsid w:val="000034F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863">
      <w:bodyDiv w:val="1"/>
      <w:marLeft w:val="0"/>
      <w:marRight w:val="0"/>
      <w:marTop w:val="0"/>
      <w:marBottom w:val="0"/>
      <w:divBdr>
        <w:top w:val="none" w:sz="0" w:space="0" w:color="auto"/>
        <w:left w:val="none" w:sz="0" w:space="0" w:color="auto"/>
        <w:bottom w:val="none" w:sz="0" w:space="0" w:color="auto"/>
        <w:right w:val="none" w:sz="0" w:space="0" w:color="auto"/>
      </w:divBdr>
    </w:div>
    <w:div w:id="279337317">
      <w:bodyDiv w:val="1"/>
      <w:marLeft w:val="0"/>
      <w:marRight w:val="0"/>
      <w:marTop w:val="0"/>
      <w:marBottom w:val="0"/>
      <w:divBdr>
        <w:top w:val="none" w:sz="0" w:space="0" w:color="auto"/>
        <w:left w:val="none" w:sz="0" w:space="0" w:color="auto"/>
        <w:bottom w:val="none" w:sz="0" w:space="0" w:color="auto"/>
        <w:right w:val="none" w:sz="0" w:space="0" w:color="auto"/>
      </w:divBdr>
    </w:div>
    <w:div w:id="515119541">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462</Words>
  <Characters>2929</Characters>
  <Application>Microsoft Office Word</Application>
  <DocSecurity>0</DocSecurity>
  <Lines>81</Lines>
  <Paragraphs>27</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丽婷 蔡</dc:creator>
  <cp:keywords/>
  <dc:description/>
  <cp:lastModifiedBy>丽婷 蔡</cp:lastModifiedBy>
  <cp:revision>6</cp:revision>
  <dcterms:created xsi:type="dcterms:W3CDTF">2025-03-25T16:19:00Z</dcterms:created>
  <dcterms:modified xsi:type="dcterms:W3CDTF">2025-03-28T14:58:00Z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86844fef7d17334d8edcf0e05bcc4ec6bf4e34cf81c6730c3dd97e5525609458</vt:lpwstr>
  </property>
</Properties>
</file>